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版本号：PLRH2025-GP-069F20250814001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购买莲湖区2025年下半年系列招聘活动专业化服务项目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PLRH2025-GP-069F</w:t>
      </w:r>
      <w:r>
        <w:br/>
      </w:r>
      <w:r>
        <w:br/>
      </w:r>
      <w:r>
        <w:br/>
      </w:r>
    </w:p>
    <w:p>
      <w:pPr>
        <w:pStyle w:val="null3"/>
        <w:jc w:val="center"/>
        <w:outlineLvl w:val="2"/>
      </w:pPr>
      <w:r>
        <w:rPr>
          <w:rFonts w:ascii="仿宋_GB2312" w:hAnsi="仿宋_GB2312" w:cs="仿宋_GB2312" w:eastAsia="仿宋_GB2312"/>
          <w:sz w:val="28"/>
          <w:b/>
        </w:rPr>
        <w:t>西安市莲湖区人力资源和社会保障局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西安市莲湖区人力资源和社会保障局</w:t>
      </w:r>
      <w:r>
        <w:rPr>
          <w:rFonts w:ascii="仿宋_GB2312" w:hAnsi="仿宋_GB2312" w:cs="仿宋_GB2312" w:eastAsia="仿宋_GB2312"/>
        </w:rPr>
        <w:t>委托，拟对</w:t>
      </w:r>
      <w:r>
        <w:rPr>
          <w:rFonts w:ascii="仿宋_GB2312" w:hAnsi="仿宋_GB2312" w:cs="仿宋_GB2312" w:eastAsia="仿宋_GB2312"/>
        </w:rPr>
        <w:t>购买莲湖区2025年下半年系列招聘活动专业化服务项目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PLRH2025-GP-069F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购买莲湖区2025年下半年系列招聘活动专业化服务项目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人力资源社会保障部关于开展2025年全国公共就业服务专项活动的工作部署，莲湖区紧扣西安市“三个年”活动要求，聚焦“八场硬仗”“深化六个改革”目标任务，结合我区实际需要，下半年计划面向离校未就业毕业生、登记失业人员、退役军人、务工人员等群体，组织开展人才夜市、金秋招聘月、招聘服务进社区、第七届就业创业服务季等系列招聘活动，着力搭建供需精准对接平台，推动实现更高质量充分就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采购包1（购买莲湖区2025年下半年系列招聘活动专业化服务项目）：属于专门面向中小企业采购。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西安市莲湖区西稍门团结东路6号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029-88623173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西安市莲湖区人力资源和社会保障局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人力资源社会保障部关于开展2025年全国公共就业服务专项活动的工作部署，莲湖区紧扣西安市“三个年”活动要求，聚焦“八场硬仗”“深化六个改革”目标任务，结合我区实际需要，下半年计划面向离校未就业毕业生、登记失业人员、退役军人、务工人员等群体，组织开展人才夜市、金秋招聘月、招聘服务进社区、第七届就业创业服务季等系列招聘活动，着力搭建供需精准对接平台，推动实现更高质量充分就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733,000.00</w:t>
      </w:r>
    </w:p>
    <w:p>
      <w:pPr>
        <w:pStyle w:val="null3"/>
      </w:pPr>
      <w:r>
        <w:rPr>
          <w:rFonts w:ascii="仿宋_GB2312" w:hAnsi="仿宋_GB2312" w:cs="仿宋_GB2312" w:eastAsia="仿宋_GB2312"/>
        </w:rPr>
        <w:t>采购包最高限价（元）: 733,000.00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购买莲湖区2025年下半年系列招聘活动专业化服务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标的名称：购买莲湖区2025年下半年系列招聘活动专业化服务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1.负责莲湖区招聘系列活动的整体策划、对接、宣传及实施，组织开展人才夜市5场、招聘服务进社区18场、金秋招聘月4场、第七届就业创业服务季首场活动。</w:t>
            </w:r>
          </w:p>
          <w:p>
            <w:pPr>
              <w:pStyle w:val="null3"/>
            </w:pPr>
            <w:r>
              <w:rPr>
                <w:rFonts w:ascii="仿宋_GB2312" w:hAnsi="仿宋_GB2312" w:cs="仿宋_GB2312" w:eastAsia="仿宋_GB2312"/>
              </w:rPr>
              <w:t>2.负责每场招聘活动的企业及求职者邀约，企业招聘信息的整理，现场功能区域的布置，职业指导师邀约及岗位推荐官邀约。</w:t>
            </w:r>
          </w:p>
          <w:p>
            <w:pPr>
              <w:pStyle w:val="null3"/>
            </w:pPr>
            <w:r>
              <w:rPr>
                <w:rFonts w:ascii="仿宋_GB2312" w:hAnsi="仿宋_GB2312" w:cs="仿宋_GB2312" w:eastAsia="仿宋_GB2312"/>
              </w:rPr>
              <w:t>3.负责活动现场的场地的协调、搭建及物料设计制作，包括主题桁架、招聘简章、帐篷、长条桌、折叠椅、门楣等，安排专人提供现场服务，确保每场招聘活动的有序开展。</w:t>
            </w:r>
          </w:p>
          <w:p>
            <w:pPr>
              <w:pStyle w:val="null3"/>
            </w:pPr>
            <w:r>
              <w:rPr>
                <w:rFonts w:ascii="仿宋_GB2312" w:hAnsi="仿宋_GB2312" w:cs="仿宋_GB2312" w:eastAsia="仿宋_GB2312"/>
              </w:rPr>
              <w:t>4.配合莲湖区人社局做好系列招聘活动的前后期宣传。</w:t>
            </w:r>
          </w:p>
          <w:p>
            <w:pPr>
              <w:pStyle w:val="null3"/>
            </w:pPr>
            <w:r>
              <w:rPr>
                <w:rFonts w:ascii="仿宋_GB2312" w:hAnsi="仿宋_GB2312" w:cs="仿宋_GB2312" w:eastAsia="仿宋_GB2312"/>
              </w:rPr>
              <w:t>5.做好每场招聘活动的数据统计，建立台账，每场招聘会后提供跟踪回访工作。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1.人才夜市招聘活动，每场组织30家企业参会。</w:t>
            </w:r>
          </w:p>
          <w:p>
            <w:pPr>
              <w:pStyle w:val="null3"/>
            </w:pPr>
            <w:r>
              <w:rPr>
                <w:rFonts w:ascii="仿宋_GB2312" w:hAnsi="仿宋_GB2312" w:cs="仿宋_GB2312" w:eastAsia="仿宋_GB2312"/>
              </w:rPr>
              <w:t>2.招聘服务进社区活动，每场组织10-15家企业参会。</w:t>
            </w:r>
          </w:p>
          <w:p>
            <w:pPr>
              <w:pStyle w:val="null3"/>
            </w:pPr>
            <w:r>
              <w:rPr>
                <w:rFonts w:ascii="仿宋_GB2312" w:hAnsi="仿宋_GB2312" w:cs="仿宋_GB2312" w:eastAsia="仿宋_GB2312"/>
              </w:rPr>
              <w:t>3.金秋招聘月活动，每场组织30家企业参会。</w:t>
            </w:r>
          </w:p>
          <w:p>
            <w:pPr>
              <w:pStyle w:val="null3"/>
            </w:pPr>
            <w:r>
              <w:rPr>
                <w:rFonts w:ascii="仿宋_GB2312" w:hAnsi="仿宋_GB2312" w:cs="仿宋_GB2312" w:eastAsia="仿宋_GB2312"/>
              </w:rPr>
              <w:t>4.第七届就业创业服务季首场招聘活动，组织不少于50家企业参会。</w:t>
            </w:r>
          </w:p>
          <w:p>
            <w:pPr>
              <w:pStyle w:val="null3"/>
            </w:pPr>
            <w:r>
              <w:rPr>
                <w:rFonts w:ascii="仿宋_GB2312" w:hAnsi="仿宋_GB2312" w:cs="仿宋_GB2312" w:eastAsia="仿宋_GB2312"/>
              </w:rPr>
              <w:t>5.每场招聘活动现场设置求职招聘区、政策宣传区、职业指导区、岗位推荐区。</w:t>
            </w:r>
          </w:p>
          <w:p>
            <w:pPr>
              <w:pStyle w:val="null3"/>
            </w:pPr>
            <w:r>
              <w:rPr>
                <w:rFonts w:ascii="仿宋_GB2312" w:hAnsi="仿宋_GB2312" w:cs="仿宋_GB2312" w:eastAsia="仿宋_GB2312"/>
              </w:rPr>
              <w:t>6.所有招聘活动须在2025年12月31日前结束。</w:t>
            </w:r>
          </w:p>
          <w:p>
            <w:pPr>
              <w:pStyle w:val="null3"/>
            </w:pPr>
            <w:r>
              <w:rPr>
                <w:rFonts w:ascii="仿宋_GB2312" w:hAnsi="仿宋_GB2312" w:cs="仿宋_GB2312" w:eastAsia="仿宋_GB2312"/>
              </w:rPr>
              <w:t>7.做好活动前期宣传，对接求职者参加招聘会。</w:t>
            </w:r>
          </w:p>
          <w:p>
            <w:pPr>
              <w:pStyle w:val="null3"/>
            </w:pPr>
            <w:r>
              <w:rPr>
                <w:rFonts w:ascii="仿宋_GB2312" w:hAnsi="仿宋_GB2312" w:cs="仿宋_GB2312" w:eastAsia="仿宋_GB2312"/>
              </w:rPr>
              <w:t>8.做好招聘活动后的跟踪服务，建立就业帮扶台账，于招聘会后3个月内提供持续对参会企业及个人跟踪回访服务，确保参会登记的求职者达成就业去向落实率不低于50%。</w:t>
            </w:r>
          </w:p>
          <w:p>
            <w:pPr>
              <w:pStyle w:val="null3"/>
            </w:pPr>
            <w:r>
              <w:rPr>
                <w:rFonts w:ascii="仿宋_GB2312" w:hAnsi="仿宋_GB2312" w:cs="仿宋_GB2312" w:eastAsia="仿宋_GB2312"/>
              </w:rPr>
              <w:t>9.每场招聘会梳理至少1个典型案例,图文并茂形成书面材料，交由莲湖区人社局留存。</w:t>
            </w:r>
          </w:p>
          <w:p>
            <w:pPr>
              <w:pStyle w:val="null3"/>
            </w:pPr>
            <w:r>
              <w:rPr>
                <w:rFonts w:ascii="仿宋_GB2312" w:hAnsi="仿宋_GB2312" w:cs="仿宋_GB2312" w:eastAsia="仿宋_GB2312"/>
              </w:rPr>
              <w:t>10.莲湖区人社局委托第三方服务机构为服务对象开展的服务均为公益性服务，第三方服务机构不得向服务对象收取任何费用。</w:t>
            </w:r>
          </w:p>
          <w:p>
            <w:pPr>
              <w:pStyle w:val="null3"/>
            </w:pPr>
            <w:r>
              <w:rPr>
                <w:rFonts w:ascii="仿宋_GB2312" w:hAnsi="仿宋_GB2312" w:cs="仿宋_GB2312" w:eastAsia="仿宋_GB2312"/>
              </w:rPr>
              <w:t>11.要严格落实个人信息保护法要求，服务过程中涉及产生的所有数据未经授权不能用于第三方和其他商业用途。</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2.服务期：自合同签订之日起至项目服务结束止。</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4.付款方式：①合同签订后，支付合同金额的40%作为预付款；</w:t>
            </w:r>
          </w:p>
          <w:p>
            <w:pPr>
              <w:pStyle w:val="null3"/>
            </w:pPr>
            <w:r>
              <w:rPr>
                <w:rFonts w:ascii="仿宋_GB2312" w:hAnsi="仿宋_GB2312" w:cs="仿宋_GB2312" w:eastAsia="仿宋_GB2312"/>
              </w:rPr>
              <w:t>②完成所有服务项目进度的70%并验收合格后，支付合同总价的30%；</w:t>
            </w:r>
          </w:p>
          <w:p>
            <w:pPr>
              <w:pStyle w:val="null3"/>
            </w:pPr>
            <w:r>
              <w:rPr>
                <w:rFonts w:ascii="仿宋_GB2312" w:hAnsi="仿宋_GB2312" w:cs="仿宋_GB2312" w:eastAsia="仿宋_GB2312"/>
              </w:rPr>
              <w:t>③完成剩余服务项目并验收合格后，支付剩余合同价款。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四、其他</w:t>
            </w:r>
          </w:p>
          <w:p>
            <w:pPr>
              <w:pStyle w:val="null3"/>
            </w:pPr>
            <w:r>
              <w:rPr>
                <w:rFonts w:ascii="仿宋_GB2312" w:hAnsi="仿宋_GB2312" w:cs="仿宋_GB2312" w:eastAsia="仿宋_GB2312"/>
              </w:rPr>
              <w:t>成果交付要求：提供的就业服务成果符合国家的相关要求，各项就业相关服务成果标准达到双方合同约定。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自合同签订之日起至项目服务结束止。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采购包1：1.按国家、行业现行项目实施规范及采购人要求的验收评定标准等要求进行验收。 2.采购人进行验收，若认为验收不合格，供应商应重新调整且进行重新验收。 3.验收依据： ①本项目磋商文件、磋商响应文件； ②本合同及附件文本； ③合同签订时国家及行业现行的标准和技术规范。 ④供应商应向采购人提交项目实施过程中的所有资料，以便采购人日后整理汇总。 4.具体验收流程按照相关验收规定和合同内容开展。 5.各项招聘活动需按照场次按时完成，如未完成，扣除相应场次费用或待执行完成后进行费用结算支付。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完成所有服务项目进度的70%并验收合格后，支付合同总价的30%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完成剩余服务项目并验收合格后，支付剩余合同价款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2.如乙方所提供的服务内容出现瑕疵及质量问题，或乙方未按合同要求提供服务或服务不能满足合同要求，甲方有权依据《中华人民共和国民法典》有关条款及合同约定终止合同，并要求服务商承担违约责任。 3.甲乙双方应遵守合同并执行合同中的各项规定，保证合同的正常履行。 4.如碰到不可抗力因素造成无法按照原计划提供服务的，由甲乙双方协商解决。 解决争议的方法：合同执行中发生争议的，当事人双方应协商解决，协商达不成一致时，可向西安仲裁委员会申请仲裁。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1.本项目专门面向中小企业采购，供应商应为中小微企业或监狱企业或残疾人福利性单位。 2.本项目合同包1采购标的所属行业为：其他未列明行业；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对本项目背景了解、现状理解透彻及对项目具体措施服务方案技术分析详细得7-10分； 对本项目背景了解基本正确、现状理解较为简单、服务方案技术内容情况分析不够详细得4-7分（含7分）； 对本项目背景了解较为简单、现状不够理解、服务方案技术内容情况分析欠缺得1-4分（含4分）。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总体服务方案编制合理、思路把握准确、描述详细，得7-10分； 总体服务方案编制较合理、思路把握较准确、描述较详细，可行性及针对性较强得4-7分（含7分）； 总体服务方案编制较简洁、思路把握较差、描述较混乱，可行性及针对性较差得1-4分（含4分）。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拟派人员及设备</w:t>
            </w:r>
          </w:p>
        </w:tc>
        <w:tc>
          <w:tcPr>
            <w:tcW w:type="dxa" w:w="2492"/>
          </w:tcPr>
          <w:p>
            <w:pPr>
              <w:pStyle w:val="null3"/>
            </w:pPr>
            <w:r>
              <w:rPr>
                <w:rFonts w:ascii="仿宋_GB2312" w:hAnsi="仿宋_GB2312" w:cs="仿宋_GB2312" w:eastAsia="仿宋_GB2312"/>
              </w:rPr>
              <w:t>针对本项目的组成人员及设备配备的组织计划，计划合理、结构清晰，项目组成人员职责任务明确、人员数量、人员配备设置合理，专业人员配备齐全、分工明确、职责清晰得7-10分； 人员配备设置较合理，专业人员配备齐全、分工及岗位职责较清晰得4-7分（含7分）； 人员配备设置基本合理，专业人员分工及岗位职责不清晰得1-4分（含4分）。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应包括①资料管理制度、②资料管理保存措施，制度及保存措施全面，详细得3-6分； 制度及保存措施较全面详细，具备一定可行性得1-3分（含3分）。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各投标人服务承诺，承诺事项具体、可行、可操作性强得3-5分； 承诺事项较具体可行，可操作性较强得1-3分（含3分）。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8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详见附件：西安市莲湖区人力资源和社会保障局购买莲湖区2025年下半年系列招聘活动专业化服务项目采购合同.docx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