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版本号：PLRH2025-GP-061F20250815001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莲湖区干部医疗健康检查项目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PLRH2025-GP-061F</w:t>
      </w:r>
      <w:r>
        <w:br/>
      </w:r>
      <w:r>
        <w:br/>
      </w:r>
      <w:r>
        <w:br/>
      </w:r>
    </w:p>
    <w:p>
      <w:pPr>
        <w:pStyle w:val="null3"/>
        <w:jc w:val="center"/>
        <w:outlineLvl w:val="2"/>
      </w:pPr>
      <w:r>
        <w:rPr>
          <w:rFonts w:ascii="仿宋_GB2312" w:hAnsi="仿宋_GB2312" w:cs="仿宋_GB2312" w:eastAsia="仿宋_GB2312"/>
          <w:sz w:val="28"/>
          <w:b/>
        </w:rPr>
        <w:t>西安市莲湖区卫生健康局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西安市莲湖区卫生健康局</w:t>
      </w:r>
      <w:r>
        <w:rPr>
          <w:rFonts w:ascii="仿宋_GB2312" w:hAnsi="仿宋_GB2312" w:cs="仿宋_GB2312" w:eastAsia="仿宋_GB2312"/>
        </w:rPr>
        <w:t>委托，拟对</w:t>
      </w:r>
      <w:r>
        <w:rPr>
          <w:rFonts w:ascii="仿宋_GB2312" w:hAnsi="仿宋_GB2312" w:cs="仿宋_GB2312" w:eastAsia="仿宋_GB2312"/>
        </w:rPr>
        <w:t>莲湖区干部医疗健康检查项目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PLRH2025-GP-061F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莲湖区干部医疗健康检查项目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为保障我区干部身体健康，现对干部进行医疗健康检查</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8、医疗机构级别：供应商须为三级甲等医院；</w:t>
      </w:r>
    </w:p>
    <w:p>
      <w:pPr>
        <w:pStyle w:val="null3"/>
      </w:pPr>
      <w:r>
        <w:rPr>
          <w:rFonts w:ascii="仿宋_GB2312" w:hAnsi="仿宋_GB2312" w:cs="仿宋_GB2312" w:eastAsia="仿宋_GB2312"/>
        </w:rPr>
        <w:t>9、许可证书：供应商具备有效的《医疗机构执业许可证》和《放射诊疗许可证》；</w:t>
      </w:r>
    </w:p>
    <w:p>
      <w:pPr>
        <w:pStyle w:val="null3"/>
      </w:pPr>
      <w:r>
        <w:rPr>
          <w:rFonts w:ascii="仿宋_GB2312" w:hAnsi="仿宋_GB2312" w:cs="仿宋_GB2312" w:eastAsia="仿宋_GB2312"/>
        </w:rPr>
        <w:t>10、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11、联合体：本项目不接受联合体投标；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西安市莲湖区卫生健康局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029-87345739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开户名称：鹏领睿恒(陕西)项目管理有限公司； 开户银行：129911262210701； 账 号：招商银行西安枫林绿洲支行；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西安市莲湖区卫生健康局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西安市莲湖区卫生健康局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西安市莲湖区卫生健康局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为保障我区干部身体健康，现对干部进行医疗健康检查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2,430,000.00</w:t>
      </w:r>
    </w:p>
    <w:p>
      <w:pPr>
        <w:pStyle w:val="null3"/>
      </w:pPr>
      <w:r>
        <w:rPr>
          <w:rFonts w:ascii="仿宋_GB2312" w:hAnsi="仿宋_GB2312" w:cs="仿宋_GB2312" w:eastAsia="仿宋_GB2312"/>
        </w:rPr>
        <w:t>采购包最高限价（元）: 2,430,000.00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莲湖区干部医疗健康检查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标的名称：莲湖区干部医疗健康检查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全区体检人数约1926人,男性1531人、女性395人。以实际体检人数为准。</w:t>
            </w:r>
          </w:p>
          <w:p>
            <w:pPr>
              <w:pStyle w:val="null3"/>
            </w:pPr>
            <w:r>
              <w:rPr>
                <w:rFonts w:ascii="仿宋_GB2312" w:hAnsi="仿宋_GB2312" w:cs="仿宋_GB2312" w:eastAsia="仿宋_GB2312"/>
              </w:rPr>
              <w:t>体检套餐</w:t>
            </w:r>
          </w:p>
          <w:p>
            <w:pPr>
              <w:pStyle w:val="null3"/>
            </w:pPr>
            <w:r>
              <w:rPr>
                <w:rFonts w:ascii="仿宋_GB2312" w:hAnsi="仿宋_GB2312" w:cs="仿宋_GB2312" w:eastAsia="仿宋_GB2312"/>
              </w:rPr>
              <w:t>检查项目:一般检查、妇科内诊+白带常规(女)、宫颈液基薄层细胞学检査(女)、宫颈癌筛查(女)、心电图、眼科常规、腹部彩超(肝胆胰脾)、泌尿系彩超(肾脏、输尿管、膀胱、男性前列腺)、子宫附件彩超(女)、乳腺及引流区淋巴结(女)甲状腺及颈部淋巴结、双侧颈部血管彩超(男)、血常规(五分类)、尿常规(十一项)、呼气试验幽门螺杆菌C13、肝功十一项,肾功能四项、空腹血糖、血脂四项、甲功五项、甲胎蛋白定量(AFP)癌胚抗原(CEA)、游离前列腺特异性抗原测定(男)、前列腺特异抗原PSA(男)、胸部CT等项目，男性共计20项、女性共计22项。单人检查费用限价：男性1200元/人、女性1500元/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开展的体检项目与其获准的执业范围相符，具有与体检项目相适应的医疗卫生技术人员，并配备相应仪器设备。</w:t>
            </w:r>
          </w:p>
          <w:p>
            <w:pPr>
              <w:pStyle w:val="null3"/>
            </w:pPr>
            <w:r>
              <w:rPr>
                <w:rFonts w:ascii="仿宋_GB2312" w:hAnsi="仿宋_GB2312" w:cs="仿宋_GB2312" w:eastAsia="仿宋_GB2312"/>
              </w:rPr>
              <w:t>提供优质的服务，提供免费营养早餐。体检后免费专家（专家：具有主诊医师，医疗组长或带组的负责人的聘任，职称副主任医师或以上）就诊（免专业科室专家挂号费）。</w:t>
            </w:r>
          </w:p>
          <w:p>
            <w:pPr>
              <w:pStyle w:val="null3"/>
            </w:pPr>
            <w:r>
              <w:rPr>
                <w:rFonts w:ascii="仿宋_GB2312" w:hAnsi="仿宋_GB2312" w:cs="仿宋_GB2312" w:eastAsia="仿宋_GB2312"/>
              </w:rPr>
              <w:t>全流程智能排队系统；全程导医服务；空腹项目优先、核心项目优先、老人，特殊人群优先等智能化管理服务。</w:t>
            </w:r>
          </w:p>
          <w:p>
            <w:pPr>
              <w:pStyle w:val="null3"/>
            </w:pPr>
            <w:r>
              <w:rPr>
                <w:rFonts w:ascii="仿宋_GB2312" w:hAnsi="仿宋_GB2312" w:cs="仿宋_GB2312" w:eastAsia="仿宋_GB2312"/>
              </w:rPr>
              <w:t>全流程体检质量控制，保证所有体检结果的真实性及时性，危急值第一时间通知本人及时复检，体检后持续跟踪服务。</w:t>
            </w:r>
          </w:p>
          <w:p>
            <w:pPr>
              <w:pStyle w:val="null3"/>
            </w:pPr>
            <w:r>
              <w:rPr>
                <w:rFonts w:ascii="仿宋_GB2312" w:hAnsi="仿宋_GB2312" w:cs="仿宋_GB2312" w:eastAsia="仿宋_GB2312"/>
              </w:rPr>
              <w:t>配备专门的体检车，方便上门为行动不便的老干部及特殊人员服务。</w:t>
            </w:r>
          </w:p>
          <w:p>
            <w:pPr>
              <w:pStyle w:val="null3"/>
            </w:pPr>
            <w:r>
              <w:rPr>
                <w:rFonts w:ascii="仿宋_GB2312" w:hAnsi="仿宋_GB2312" w:cs="仿宋_GB2312" w:eastAsia="仿宋_GB2312"/>
              </w:rPr>
              <w:t>体检结束后10个工作日返回体检结果，体检结果纳入计算机管理、长期保留。</w:t>
            </w:r>
          </w:p>
          <w:p>
            <w:pPr>
              <w:pStyle w:val="null3"/>
            </w:pPr>
            <w:r>
              <w:rPr>
                <w:rFonts w:ascii="仿宋_GB2312" w:hAnsi="仿宋_GB2312" w:cs="仿宋_GB2312" w:eastAsia="仿宋_GB2312"/>
              </w:rPr>
              <w:t>供应商须建立电子健康档案，具有相应的体检信息管理系统可进行体检预约和体检信息综合管理。</w:t>
            </w:r>
          </w:p>
          <w:p>
            <w:pPr>
              <w:pStyle w:val="null3"/>
            </w:pPr>
            <w:r>
              <w:rPr>
                <w:rFonts w:ascii="仿宋_GB2312" w:hAnsi="仿宋_GB2312" w:cs="仿宋_GB2312" w:eastAsia="仿宋_GB2312"/>
              </w:rPr>
              <w:t>体检过程中所需要的设备和耗材，全部由供应商提供；体检表、化验单、报告单由供应商提供；妇科检查和实验室检查均要求使用一次性材料。</w:t>
            </w:r>
          </w:p>
          <w:p>
            <w:pPr>
              <w:pStyle w:val="null3"/>
            </w:pPr>
            <w:r>
              <w:rPr>
                <w:rFonts w:ascii="仿宋_GB2312" w:hAnsi="仿宋_GB2312" w:cs="仿宋_GB2312" w:eastAsia="仿宋_GB2312"/>
              </w:rPr>
              <w:t>本项目服务期内采购人保留分批次统一集中进行体检的权利，供应商不得拒绝，供应商需根据体检人数安排体检事项。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1.服务期限：自合同签订之日起3个月内。</w:t>
            </w:r>
          </w:p>
          <w:p>
            <w:pPr>
              <w:pStyle w:val="null3"/>
            </w:pPr>
            <w:r>
              <w:rPr>
                <w:rFonts w:ascii="仿宋_GB2312" w:hAnsi="仿宋_GB2312" w:cs="仿宋_GB2312" w:eastAsia="仿宋_GB2312"/>
              </w:rPr>
              <w:t>2.服务地点：供应商提供体检地点。</w:t>
            </w:r>
          </w:p>
          <w:p>
            <w:pPr>
              <w:pStyle w:val="null3"/>
            </w:pPr>
            <w:r>
              <w:rPr>
                <w:rFonts w:ascii="仿宋_GB2312" w:hAnsi="仿宋_GB2312" w:cs="仿宋_GB2312" w:eastAsia="仿宋_GB2312"/>
              </w:rPr>
              <w:t>3.付款方式：在完成集中体检及零散前往医院体检结束后三个月内，中标人将《体检报告》(含全部体检人员情况电子数据)及个人体检报告呈交给采购人，经采购人确认核对体检人数及体检项目，体检服务通过采购人验收后，按实际参加体检人数及体检项目进行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供应商提供体检地点。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1.符合国家、行业相关法律法规及采购人需求 2.采购人进行验收，若认为验收不合格，供应商应重新调整且进行重新验收。 3.验收依据： ①本项目招标文件、投标文件； ②本合同及附件文本； ③合同签订时国家及行业现行的标准和技术规范。 ④供应商应向采购人提交全部人员的体检报告，以便采购人日后管理和维护。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完成集中体检及零散前往医院体检结束后三个月内，中标人将《体检报告》(含全部体检人员情况电子数据)及个人体检报告呈交给采购人，经采购人确认核对体检人数及体检项目，体检服务通过采购人验收后，按实际参加体检人数及体检项目进行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(2)未按合同要求提供服务或服务质量不能满足合同要求，采购人有权依据《中华人民共和国民法典》有关条款及合同约定终止合同，并要求供应商承担违约责任。(3)一方或双方出现违约情形但不影响合同实际履行的，在合同未经双方协商、中止、解除之前，中标人仍应按照约定提供服务。(4)采购人、中标人任何一方无法定事由或合同约定事由解除合同，均应向对方支付违约金。 解决争议的方法：合同执行中发生争议的，当事人双方应协商解决。协商不一致时，向有管辖权的人民法院提起诉讼。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1.本项目非专门面向中小企业，符合招标文件规定的小微企业、监狱企业、残疾人福利企业优惠条件的供应商，价格给予10%的扣除，用扣除后的磋商报价参与评审。 2.本项目合同包1采购标的所属行业为：其他未列明行业； 3.本项目是否属于信用担保试点范围：否。 4.本项目为固定单价合同。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2.提供2025年2月至今已缴纳的至少一个月的纳税证明或完税证明（任意税种），依法免税的单位应提供相关证明材料； 3.提供2025年2月至今已缴存的至少一个月的社会保障资金缴存单据或社保机构开具的社会保险参保缴费情况证明，依法不需要缴纳社会保障资金的单位应提供相关证明材料；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医疗机构级别</w:t>
            </w:r>
          </w:p>
        </w:tc>
        <w:tc>
          <w:tcPr>
            <w:tcW w:type="dxa" w:w="3322"/>
          </w:tcPr>
          <w:p>
            <w:pPr>
              <w:pStyle w:val="null3"/>
            </w:pPr>
            <w:r>
              <w:rPr>
                <w:rFonts w:ascii="仿宋_GB2312" w:hAnsi="仿宋_GB2312" w:cs="仿宋_GB2312" w:eastAsia="仿宋_GB2312"/>
              </w:rPr>
              <w:t>供应商须为三级甲等医院；</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许可证书</w:t>
            </w:r>
          </w:p>
        </w:tc>
        <w:tc>
          <w:tcPr>
            <w:tcW w:type="dxa" w:w="3322"/>
          </w:tcPr>
          <w:p>
            <w:pPr>
              <w:pStyle w:val="null3"/>
            </w:pPr>
            <w:r>
              <w:rPr>
                <w:rFonts w:ascii="仿宋_GB2312" w:hAnsi="仿宋_GB2312" w:cs="仿宋_GB2312" w:eastAsia="仿宋_GB2312"/>
              </w:rPr>
              <w:t>供应商具备有效的《医疗机构执业许可证》和《放射诊疗许可证》；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投标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只能有一个有效报价，不得提交选择性报价，且报价不超过最高限价金额；</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根据本项目的六项审查内容提供有针对性完善的服务方案 ①针对本项目的特点，提供有针对性的健康体检服务方案； ②体检流程计划（包括但不限于时间安排、体检项目顺序、体检程序等，流程计划完整详尽、节约时间，体检程序能根据不同人群做出针对性编排）； ③供应商提供体检报告的内容及形式，专家根据体检报告内容详尽程度，形式多样化、便捷化，针对体检问题有专业性解读及建议； ④供应商提供的体检场所环境、基本设施、卫生状况、周边配套服务等详细介绍与说明； ⑤提供体检配套服务方案，包括所提供早餐、增项检查及复查的优惠政策等； ⑥提供后续的绿色就医通道，必要时可提供导医导诊等需求，保障讲座及绿色就医服务。根据投标人提供针对以上六项内容的方案进行评分，每项最高得7分，满分42分。 方案科学合理，描述清晰，且能针对性满足项目需求的得4-7分； 方案合理，但陈述简单，缺乏针对性的得0-4分（含4分）；</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保障措施完整，描述详尽，针对性、可行性强，完全满足项目需求的得4-7分； 保障措施比较完整，描述比较详尽，针对性、可行性一般，基本满足项目要求的得0-4分（含4分）；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拟投入本项目体检的医师医护人员配备情况</w:t>
            </w:r>
          </w:p>
        </w:tc>
        <w:tc>
          <w:tcPr>
            <w:tcW w:type="dxa" w:w="2492"/>
          </w:tcPr>
          <w:p>
            <w:pPr>
              <w:pStyle w:val="null3"/>
            </w:pPr>
            <w:r>
              <w:rPr>
                <w:rFonts w:ascii="仿宋_GB2312" w:hAnsi="仿宋_GB2312" w:cs="仿宋_GB2312" w:eastAsia="仿宋_GB2312"/>
              </w:rPr>
              <w:t>拟投入本项目体检的医师医护人员配备情况（包括但不限于人员数量、职称、工作年限、工作经验、分工等）人员配备充足、合理，能够完全满足项目要求的得4-7分； 人员配备基本充足、合理，基本能够满足项目要求的得0-4分（含4分）；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拟投入的医疗设备</w:t>
            </w:r>
          </w:p>
        </w:tc>
        <w:tc>
          <w:tcPr>
            <w:tcW w:type="dxa" w:w="2492"/>
          </w:tcPr>
          <w:p>
            <w:pPr>
              <w:pStyle w:val="null3"/>
            </w:pPr>
            <w:r>
              <w:rPr>
                <w:rFonts w:ascii="仿宋_GB2312" w:hAnsi="仿宋_GB2312" w:cs="仿宋_GB2312" w:eastAsia="仿宋_GB2312"/>
              </w:rPr>
              <w:t>拟投入的医疗设备（包括但不限于提供医疗设备的规格、型号、生产厂商及使用用途、合格证等）医疗设备科学先进，全面合理，且数量能满足项目需求的得4-7分； （医疗设备先进，较为全面，基本能满足项目需求的得0-4分（含4分）；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体检信息的保密措施</w:t>
            </w:r>
          </w:p>
        </w:tc>
        <w:tc>
          <w:tcPr>
            <w:tcW w:type="dxa" w:w="2492"/>
          </w:tcPr>
          <w:p>
            <w:pPr>
              <w:pStyle w:val="null3"/>
            </w:pPr>
            <w:r>
              <w:rPr>
                <w:rFonts w:ascii="仿宋_GB2312" w:hAnsi="仿宋_GB2312" w:cs="仿宋_GB2312" w:eastAsia="仿宋_GB2312"/>
              </w:rPr>
              <w:t>保密措施科学合理，描述清晰，且能针对性满足项目需求的得4-7分； 保密措施合理，但陈述简单，缺乏针对性的得0-4分（含4分）；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针对体检过程可能出现的特殊情况（如被体检人晕针、晕血、低血糖、仪器伤害等情形）编制预案 预案科学合理，全面，描述清晰，具有针对性的得4-7分； 预案合理，但陈述简单，缺乏针对性的得0-4分（含4分）；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服务承诺描述详尽，针对性、可行性强，完全满足项目需求的得3-5分； 服务承诺描述比较详尽，针对性、可行性一般，基本满足项目要求的得0-3分（含3分）；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供应商提供2022年01月01日至今类似项目业绩，每提供1份得2分，最高得8分； 业绩证明（以合同/协议或中标/成交通知书为准，须在投标文件中附合同/协议或中标/成交通知书的扫描件加盖单位公章）弄虚作假者，取消其中标资格。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2.有效最低报价为基准价得10分。 3.按（有效最低报价/有效投标报价）×10 的公式计算其得分。 4.投标报价不完整的，不进入评标基准价的计算，本项得0分。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详见附件：西安市莲湖区卫生健康局莲湖区干部医疗健康检查项目合同.docx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