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D954B5">
      <w:pPr>
        <w:jc w:val="center"/>
        <w:outlineLvl w:val="0"/>
        <w:rPr>
          <w:rStyle w:val="7"/>
          <w:rFonts w:hint="eastAsia" w:ascii="仿宋" w:hAnsi="仿宋" w:eastAsia="仿宋" w:cs="仿宋"/>
          <w:color w:val="auto"/>
          <w:spacing w:val="0"/>
          <w:sz w:val="36"/>
          <w:szCs w:val="36"/>
          <w:highlight w:val="none"/>
          <w:lang w:val="en-US" w:eastAsia="zh-CN"/>
        </w:rPr>
      </w:pPr>
    </w:p>
    <w:p w14:paraId="3F7A1CB3">
      <w:pPr>
        <w:jc w:val="center"/>
        <w:outlineLvl w:val="0"/>
        <w:rPr>
          <w:rStyle w:val="7"/>
          <w:rFonts w:hint="eastAsia" w:ascii="仿宋" w:hAnsi="仿宋" w:eastAsia="仿宋" w:cs="仿宋"/>
          <w:color w:val="auto"/>
          <w:spacing w:val="0"/>
          <w:sz w:val="36"/>
          <w:szCs w:val="36"/>
          <w:highlight w:val="none"/>
          <w:lang w:val="en-US" w:eastAsia="zh-CN"/>
        </w:rPr>
      </w:pPr>
    </w:p>
    <w:p w14:paraId="4C2B72C5">
      <w:pPr>
        <w:jc w:val="center"/>
        <w:outlineLvl w:val="0"/>
        <w:rPr>
          <w:rStyle w:val="7"/>
          <w:rFonts w:hint="eastAsia" w:ascii="仿宋" w:hAnsi="仿宋" w:eastAsia="仿宋" w:cs="仿宋"/>
          <w:color w:val="auto"/>
          <w:spacing w:val="0"/>
          <w:sz w:val="36"/>
          <w:szCs w:val="36"/>
          <w:highlight w:val="none"/>
          <w:lang w:val="en-US" w:eastAsia="zh-CN"/>
        </w:rPr>
      </w:pPr>
    </w:p>
    <w:p w14:paraId="22216CC7">
      <w:pPr>
        <w:jc w:val="center"/>
        <w:outlineLvl w:val="0"/>
        <w:rPr>
          <w:rStyle w:val="7"/>
          <w:rFonts w:hint="eastAsia" w:ascii="仿宋" w:hAnsi="仿宋" w:eastAsia="仿宋" w:cs="仿宋"/>
          <w:color w:val="auto"/>
          <w:spacing w:val="0"/>
          <w:sz w:val="36"/>
          <w:szCs w:val="36"/>
          <w:highlight w:val="none"/>
          <w:lang w:val="en-US" w:eastAsia="zh-CN"/>
        </w:rPr>
      </w:pPr>
    </w:p>
    <w:p w14:paraId="2B389999">
      <w:pPr>
        <w:jc w:val="center"/>
        <w:outlineLvl w:val="0"/>
        <w:rPr>
          <w:rStyle w:val="7"/>
          <w:rFonts w:hint="eastAsia" w:ascii="仿宋" w:hAnsi="仿宋" w:eastAsia="仿宋" w:cs="仿宋"/>
          <w:color w:val="auto"/>
          <w:spacing w:val="0"/>
          <w:sz w:val="28"/>
          <w:highlight w:val="none"/>
        </w:rPr>
      </w:pPr>
      <w:bookmarkStart w:id="3" w:name="_GoBack"/>
      <w:bookmarkEnd w:id="3"/>
      <w:r>
        <w:rPr>
          <w:rStyle w:val="7"/>
          <w:rFonts w:hint="eastAsia" w:ascii="仿宋" w:hAnsi="仿宋" w:eastAsia="仿宋" w:cs="仿宋"/>
          <w:color w:val="auto"/>
          <w:spacing w:val="0"/>
          <w:sz w:val="36"/>
          <w:szCs w:val="36"/>
          <w:highlight w:val="none"/>
          <w:lang w:val="en-US" w:eastAsia="zh-CN"/>
        </w:rPr>
        <w:t>西安市莲湖区卫生健康局</w:t>
      </w:r>
      <w:r>
        <w:rPr>
          <w:rStyle w:val="7"/>
          <w:rFonts w:hint="eastAsia" w:ascii="仿宋" w:hAnsi="仿宋" w:eastAsia="仿宋" w:cs="仿宋"/>
          <w:color w:val="auto"/>
          <w:spacing w:val="0"/>
          <w:sz w:val="36"/>
          <w:szCs w:val="36"/>
          <w:highlight w:val="none"/>
          <w:lang w:eastAsia="zh-CN"/>
        </w:rPr>
        <w:t>莲湖区干部医疗健康检查项目</w:t>
      </w:r>
      <w:r>
        <w:rPr>
          <w:rStyle w:val="7"/>
          <w:rFonts w:hint="eastAsia" w:ascii="仿宋" w:hAnsi="仿宋" w:eastAsia="仿宋" w:cs="仿宋"/>
          <w:color w:val="auto"/>
          <w:spacing w:val="0"/>
          <w:sz w:val="36"/>
          <w:szCs w:val="36"/>
          <w:highlight w:val="none"/>
        </w:rPr>
        <w:t>合同</w:t>
      </w:r>
    </w:p>
    <w:p w14:paraId="4E2B3055">
      <w:pPr>
        <w:jc w:val="center"/>
        <w:outlineLvl w:val="0"/>
        <w:rPr>
          <w:rStyle w:val="7"/>
          <w:rFonts w:hint="eastAsia" w:ascii="仿宋" w:hAnsi="仿宋" w:eastAsia="仿宋" w:cs="仿宋"/>
          <w:color w:val="auto"/>
          <w:spacing w:val="0"/>
          <w:sz w:val="32"/>
          <w:highlight w:val="none"/>
        </w:rPr>
      </w:pPr>
      <w:r>
        <w:rPr>
          <w:rStyle w:val="7"/>
          <w:rFonts w:hint="eastAsia" w:ascii="仿宋" w:hAnsi="仿宋" w:eastAsia="仿宋" w:cs="仿宋"/>
          <w:color w:val="auto"/>
          <w:spacing w:val="0"/>
          <w:sz w:val="28"/>
          <w:highlight w:val="none"/>
        </w:rPr>
        <w:t>（拟签订的合同</w:t>
      </w:r>
      <w:bookmarkStart w:id="0" w:name="_Hlt487972895"/>
      <w:bookmarkEnd w:id="0"/>
      <w:bookmarkStart w:id="1" w:name="_Toc487900382"/>
      <w:bookmarkStart w:id="2" w:name="_Toc216513788"/>
      <w:r>
        <w:rPr>
          <w:rStyle w:val="7"/>
          <w:rFonts w:hint="eastAsia" w:ascii="仿宋" w:hAnsi="仿宋" w:eastAsia="仿宋" w:cs="仿宋"/>
          <w:color w:val="auto"/>
          <w:spacing w:val="0"/>
          <w:sz w:val="28"/>
          <w:highlight w:val="none"/>
        </w:rPr>
        <w:t>文本）</w:t>
      </w:r>
    </w:p>
    <w:bookmarkEnd w:id="1"/>
    <w:bookmarkEnd w:id="2"/>
    <w:p w14:paraId="548337E1">
      <w:pPr>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br w:type="page"/>
      </w:r>
    </w:p>
    <w:p w14:paraId="2B3B238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甲方（采购人）：</w:t>
      </w:r>
      <w:r>
        <w:rPr>
          <w:rFonts w:hint="eastAsia" w:ascii="仿宋" w:hAnsi="仿宋" w:eastAsia="仿宋" w:cs="仿宋"/>
          <w:color w:val="auto"/>
          <w:spacing w:val="0"/>
          <w:sz w:val="24"/>
          <w:szCs w:val="24"/>
          <w:highlight w:val="none"/>
          <w:u w:val="single"/>
        </w:rPr>
        <w:t xml:space="preserve">                                         </w:t>
      </w:r>
    </w:p>
    <w:p w14:paraId="383C91B9">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乙方（供应商）：</w:t>
      </w:r>
      <w:r>
        <w:rPr>
          <w:rFonts w:hint="eastAsia" w:ascii="仿宋" w:hAnsi="仿宋" w:eastAsia="仿宋" w:cs="仿宋"/>
          <w:color w:val="auto"/>
          <w:spacing w:val="0"/>
          <w:sz w:val="24"/>
          <w:szCs w:val="24"/>
          <w:highlight w:val="none"/>
          <w:u w:val="single"/>
        </w:rPr>
        <w:t xml:space="preserve">                                         </w:t>
      </w:r>
    </w:p>
    <w:p w14:paraId="271E471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根据《中华人民共和国民法典》及其他有关法律、法规，遵循平等、自愿、公平和诚信的原则，双方就下述项目范围与相关服务事项协商一致，订立本合同。</w:t>
      </w:r>
    </w:p>
    <w:p w14:paraId="0B6BBF8B">
      <w:pPr>
        <w:spacing w:line="360" w:lineRule="auto"/>
        <w:ind w:firstLine="200"/>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一、项目概况</w:t>
      </w:r>
    </w:p>
    <w:p w14:paraId="519A6BD2">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1.项目名称：</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3C860393">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2.项目地点：甲方指定地点。</w:t>
      </w:r>
    </w:p>
    <w:p w14:paraId="20445E6E">
      <w:pPr>
        <w:spacing w:line="360" w:lineRule="auto"/>
        <w:ind w:firstLine="489" w:firstLineChars="204"/>
        <w:rPr>
          <w:rFonts w:hint="eastAsia" w:ascii="仿宋" w:hAnsi="仿宋" w:eastAsia="仿宋" w:cs="仿宋"/>
          <w:color w:val="auto"/>
          <w:spacing w:val="0"/>
          <w:sz w:val="24"/>
          <w:szCs w:val="24"/>
          <w:highlight w:val="none"/>
          <w:lang w:val="en-US" w:eastAsia="zh-CN"/>
        </w:rPr>
      </w:pPr>
      <w:r>
        <w:rPr>
          <w:rFonts w:hint="eastAsia" w:ascii="仿宋" w:hAnsi="仿宋" w:eastAsia="仿宋" w:cs="仿宋"/>
          <w:color w:val="auto"/>
          <w:spacing w:val="0"/>
          <w:sz w:val="24"/>
          <w:szCs w:val="24"/>
          <w:highlight w:val="none"/>
        </w:rPr>
        <w:t>3.项目目标：</w:t>
      </w:r>
      <w:r>
        <w:rPr>
          <w:rFonts w:hint="eastAsia" w:ascii="仿宋" w:hAnsi="仿宋" w:eastAsia="仿宋" w:cs="仿宋"/>
          <w:color w:val="auto"/>
          <w:spacing w:val="0"/>
          <w:sz w:val="24"/>
          <w:szCs w:val="24"/>
          <w:highlight w:val="none"/>
          <w:u w:val="single"/>
          <w:lang w:val="en-US" w:eastAsia="zh-CN"/>
        </w:rPr>
        <w:t xml:space="preserve">              </w:t>
      </w:r>
      <w:r>
        <w:rPr>
          <w:rFonts w:hint="eastAsia" w:ascii="仿宋" w:hAnsi="仿宋" w:eastAsia="仿宋" w:cs="仿宋"/>
          <w:color w:val="auto"/>
          <w:spacing w:val="0"/>
          <w:sz w:val="24"/>
          <w:szCs w:val="24"/>
          <w:highlight w:val="none"/>
          <w:u w:val="none"/>
          <w:lang w:val="en-US" w:eastAsia="zh-CN"/>
        </w:rPr>
        <w:t>。</w:t>
      </w:r>
    </w:p>
    <w:p w14:paraId="7850A9F9">
      <w:pPr>
        <w:spacing w:line="360" w:lineRule="auto"/>
        <w:ind w:firstLine="200"/>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二、组成本合同的文件</w:t>
      </w:r>
    </w:p>
    <w:p w14:paraId="3C458B3C">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1.协议书；</w:t>
      </w:r>
    </w:p>
    <w:p w14:paraId="26DF8F1D">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2.中标通知书、投标文件、澄清、补充文件(或委托书)；</w:t>
      </w:r>
    </w:p>
    <w:p w14:paraId="76379D75">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3.相关服务建议书；</w:t>
      </w:r>
    </w:p>
    <w:p w14:paraId="30086D65">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4.附录，即：附表内相关服务的范围和内容；</w:t>
      </w:r>
    </w:p>
    <w:p w14:paraId="3AADAA69">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本合同签订后，双方依法签订的补充协议也是本合同文件的组成部分。</w:t>
      </w:r>
    </w:p>
    <w:p w14:paraId="3C566E3B">
      <w:pPr>
        <w:spacing w:line="360" w:lineRule="auto"/>
        <w:ind w:firstLine="200"/>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三、合同价款</w:t>
      </w:r>
    </w:p>
    <w:p w14:paraId="3E7571CD">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合同</w:t>
      </w:r>
      <w:r>
        <w:rPr>
          <w:rFonts w:hint="eastAsia" w:ascii="仿宋" w:hAnsi="仿宋" w:eastAsia="仿宋" w:cs="仿宋"/>
          <w:color w:val="auto"/>
          <w:spacing w:val="0"/>
          <w:sz w:val="24"/>
          <w:szCs w:val="24"/>
          <w:highlight w:val="none"/>
          <w:lang w:val="en-US" w:eastAsia="zh-CN"/>
        </w:rPr>
        <w:t>暂定</w:t>
      </w:r>
      <w:r>
        <w:rPr>
          <w:rFonts w:hint="eastAsia" w:ascii="仿宋" w:hAnsi="仿宋" w:eastAsia="仿宋" w:cs="仿宋"/>
          <w:color w:val="auto"/>
          <w:spacing w:val="0"/>
          <w:sz w:val="24"/>
          <w:szCs w:val="24"/>
          <w:highlight w:val="none"/>
        </w:rPr>
        <w:t>总金额(大写)：</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tbl>
      <w:tblPr>
        <w:tblStyle w:val="9"/>
        <w:tblW w:w="8607" w:type="dxa"/>
        <w:tblInd w:w="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443"/>
        <w:gridCol w:w="1719"/>
        <w:gridCol w:w="1719"/>
        <w:gridCol w:w="1726"/>
      </w:tblGrid>
      <w:tr w14:paraId="4464E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443" w:type="dxa"/>
            <w:tcBorders>
              <w:bottom w:val="single" w:color="auto" w:sz="4" w:space="0"/>
            </w:tcBorders>
            <w:noWrap w:val="0"/>
            <w:vAlign w:val="top"/>
          </w:tcPr>
          <w:p w14:paraId="2C340500">
            <w:pPr>
              <w:pStyle w:val="8"/>
              <w:spacing w:before="306" w:line="222" w:lineRule="auto"/>
              <w:ind w:left="1260"/>
              <w:rPr>
                <w:highlight w:val="none"/>
              </w:rPr>
            </w:pPr>
            <w:r>
              <w:rPr>
                <w:b/>
                <w:bCs/>
                <w:spacing w:val="-9"/>
                <w:highlight w:val="none"/>
              </w:rPr>
              <w:t>合同内容</w:t>
            </w:r>
          </w:p>
        </w:tc>
        <w:tc>
          <w:tcPr>
            <w:tcW w:w="1719" w:type="dxa"/>
            <w:tcBorders>
              <w:bottom w:val="single" w:color="auto" w:sz="4" w:space="0"/>
            </w:tcBorders>
            <w:noWrap w:val="0"/>
            <w:vAlign w:val="top"/>
          </w:tcPr>
          <w:p w14:paraId="15FC765A">
            <w:pPr>
              <w:pStyle w:val="8"/>
              <w:spacing w:before="94" w:line="223" w:lineRule="auto"/>
              <w:ind w:left="637"/>
              <w:rPr>
                <w:color w:val="auto"/>
                <w:highlight w:val="none"/>
              </w:rPr>
            </w:pPr>
            <w:r>
              <w:rPr>
                <w:color w:val="auto"/>
                <w:spacing w:val="-10"/>
                <w:highlight w:val="none"/>
              </w:rPr>
              <w:t>人数</w:t>
            </w:r>
          </w:p>
          <w:p w14:paraId="1DDFB1B6">
            <w:pPr>
              <w:pStyle w:val="8"/>
              <w:spacing w:before="129" w:line="227" w:lineRule="auto"/>
              <w:ind w:left="518"/>
              <w:rPr>
                <w:highlight w:val="none"/>
              </w:rPr>
            </w:pPr>
            <w:r>
              <w:rPr>
                <w:color w:val="auto"/>
                <w:spacing w:val="-7"/>
                <w:highlight w:val="none"/>
              </w:rPr>
              <w:t>（人）</w:t>
            </w:r>
          </w:p>
        </w:tc>
        <w:tc>
          <w:tcPr>
            <w:tcW w:w="1719" w:type="dxa"/>
            <w:noWrap w:val="0"/>
            <w:vAlign w:val="top"/>
          </w:tcPr>
          <w:p w14:paraId="5123923E">
            <w:pPr>
              <w:pStyle w:val="8"/>
              <w:spacing w:before="94" w:line="221" w:lineRule="auto"/>
              <w:ind w:left="399"/>
              <w:rPr>
                <w:highlight w:val="none"/>
              </w:rPr>
            </w:pPr>
            <w:r>
              <w:rPr>
                <w:spacing w:val="-6"/>
                <w:highlight w:val="none"/>
              </w:rPr>
              <w:t>合同单价</w:t>
            </w:r>
          </w:p>
          <w:p w14:paraId="13803D07">
            <w:pPr>
              <w:pStyle w:val="8"/>
              <w:spacing w:before="132" w:line="227" w:lineRule="auto"/>
              <w:ind w:left="517"/>
              <w:rPr>
                <w:highlight w:val="none"/>
              </w:rPr>
            </w:pPr>
            <w:r>
              <w:rPr>
                <w:spacing w:val="-7"/>
                <w:highlight w:val="none"/>
              </w:rPr>
              <w:t>（元）</w:t>
            </w:r>
          </w:p>
        </w:tc>
        <w:tc>
          <w:tcPr>
            <w:tcW w:w="1726" w:type="dxa"/>
            <w:noWrap w:val="0"/>
            <w:vAlign w:val="top"/>
          </w:tcPr>
          <w:p w14:paraId="6D8FF712">
            <w:pPr>
              <w:pStyle w:val="8"/>
              <w:spacing w:before="94" w:line="222" w:lineRule="auto"/>
              <w:ind w:left="634"/>
              <w:rPr>
                <w:highlight w:val="none"/>
              </w:rPr>
            </w:pPr>
            <w:r>
              <w:rPr>
                <w:spacing w:val="-8"/>
                <w:highlight w:val="none"/>
              </w:rPr>
              <w:t>小计</w:t>
            </w:r>
          </w:p>
          <w:p w14:paraId="4295E264">
            <w:pPr>
              <w:pStyle w:val="8"/>
              <w:spacing w:before="130" w:line="227" w:lineRule="auto"/>
              <w:ind w:left="519"/>
              <w:rPr>
                <w:highlight w:val="none"/>
              </w:rPr>
            </w:pPr>
            <w:r>
              <w:rPr>
                <w:spacing w:val="-7"/>
                <w:highlight w:val="none"/>
              </w:rPr>
              <w:t>（元）</w:t>
            </w:r>
          </w:p>
        </w:tc>
      </w:tr>
      <w:tr w14:paraId="26F79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3" w:type="dxa"/>
            <w:tcBorders>
              <w:top w:val="single" w:color="auto" w:sz="4" w:space="0"/>
              <w:left w:val="single" w:color="auto" w:sz="4" w:space="0"/>
              <w:bottom w:val="single" w:color="auto" w:sz="4" w:space="0"/>
              <w:right w:val="single" w:color="auto" w:sz="4" w:space="0"/>
            </w:tcBorders>
            <w:noWrap w:val="0"/>
            <w:vAlign w:val="center"/>
          </w:tcPr>
          <w:p w14:paraId="51C39F2C">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highlight w:val="none"/>
              </w:rPr>
            </w:pPr>
            <w:r>
              <w:rPr>
                <w:spacing w:val="-12"/>
                <w:highlight w:val="none"/>
              </w:rPr>
              <w:t>男性</w:t>
            </w:r>
          </w:p>
        </w:tc>
        <w:tc>
          <w:tcPr>
            <w:tcW w:w="1719" w:type="dxa"/>
            <w:tcBorders>
              <w:top w:val="single" w:color="auto" w:sz="4" w:space="0"/>
              <w:left w:val="single" w:color="auto" w:sz="4" w:space="0"/>
              <w:bottom w:val="single" w:color="auto" w:sz="4" w:space="0"/>
              <w:right w:val="single" w:color="auto" w:sz="4" w:space="0"/>
            </w:tcBorders>
            <w:noWrap w:val="0"/>
            <w:vAlign w:val="center"/>
          </w:tcPr>
          <w:p w14:paraId="5909D10A">
            <w:pPr>
              <w:pStyle w:val="8"/>
              <w:keepNext w:val="0"/>
              <w:keepLines w:val="0"/>
              <w:pageBreakBefore w:val="0"/>
              <w:widowControl w:val="0"/>
              <w:kinsoku/>
              <w:wordWrap/>
              <w:overflowPunct/>
              <w:topLinePunct w:val="0"/>
              <w:autoSpaceDE/>
              <w:autoSpaceDN/>
              <w:bidi w:val="0"/>
              <w:adjustRightInd/>
              <w:snapToGrid/>
              <w:spacing w:line="241" w:lineRule="auto"/>
              <w:ind w:left="690"/>
              <w:textAlignment w:val="auto"/>
              <w:rPr>
                <w:rFonts w:hint="default" w:eastAsia="仿宋"/>
                <w:highlight w:val="none"/>
                <w:lang w:val="en-US" w:eastAsia="zh-CN"/>
              </w:rPr>
            </w:pPr>
            <w:r>
              <w:rPr>
                <w:rFonts w:hint="eastAsia"/>
                <w:spacing w:val="-5"/>
                <w:highlight w:val="none"/>
                <w:lang w:val="en-US" w:eastAsia="zh-CN"/>
              </w:rPr>
              <w:t>1200</w:t>
            </w:r>
          </w:p>
        </w:tc>
        <w:tc>
          <w:tcPr>
            <w:tcW w:w="1719" w:type="dxa"/>
            <w:tcBorders>
              <w:left w:val="single" w:color="auto" w:sz="4" w:space="0"/>
            </w:tcBorders>
            <w:noWrap w:val="0"/>
            <w:vAlign w:val="top"/>
          </w:tcPr>
          <w:p w14:paraId="692E3DA6">
            <w:pPr>
              <w:rPr>
                <w:rFonts w:ascii="Arial"/>
                <w:sz w:val="21"/>
                <w:highlight w:val="none"/>
              </w:rPr>
            </w:pPr>
          </w:p>
        </w:tc>
        <w:tc>
          <w:tcPr>
            <w:tcW w:w="1726" w:type="dxa"/>
            <w:noWrap w:val="0"/>
            <w:vAlign w:val="top"/>
          </w:tcPr>
          <w:p w14:paraId="2EA6550A">
            <w:pPr>
              <w:rPr>
                <w:rFonts w:ascii="Arial"/>
                <w:sz w:val="21"/>
                <w:highlight w:val="none"/>
              </w:rPr>
            </w:pPr>
          </w:p>
        </w:tc>
      </w:tr>
      <w:tr w14:paraId="594363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3443" w:type="dxa"/>
            <w:tcBorders>
              <w:top w:val="single" w:color="auto" w:sz="4" w:space="0"/>
              <w:left w:val="single" w:color="auto" w:sz="4" w:space="0"/>
              <w:bottom w:val="single" w:color="auto" w:sz="4" w:space="0"/>
              <w:right w:val="single" w:color="auto" w:sz="4" w:space="0"/>
            </w:tcBorders>
            <w:noWrap w:val="0"/>
            <w:vAlign w:val="center"/>
          </w:tcPr>
          <w:p w14:paraId="4D1B0B21">
            <w:pPr>
              <w:pStyle w:val="8"/>
              <w:keepNext w:val="0"/>
              <w:keepLines w:val="0"/>
              <w:pageBreakBefore w:val="0"/>
              <w:widowControl w:val="0"/>
              <w:kinsoku/>
              <w:wordWrap/>
              <w:overflowPunct/>
              <w:topLinePunct w:val="0"/>
              <w:autoSpaceDE/>
              <w:autoSpaceDN/>
              <w:bidi w:val="0"/>
              <w:adjustRightInd/>
              <w:snapToGrid/>
              <w:spacing w:line="220" w:lineRule="auto"/>
              <w:jc w:val="center"/>
              <w:textAlignment w:val="auto"/>
              <w:rPr>
                <w:highlight w:val="none"/>
              </w:rPr>
            </w:pPr>
            <w:r>
              <w:rPr>
                <w:spacing w:val="-12"/>
                <w:highlight w:val="none"/>
              </w:rPr>
              <w:t>女性</w:t>
            </w:r>
          </w:p>
        </w:tc>
        <w:tc>
          <w:tcPr>
            <w:tcW w:w="1719" w:type="dxa"/>
            <w:tcBorders>
              <w:top w:val="single" w:color="auto" w:sz="4" w:space="0"/>
              <w:left w:val="single" w:color="auto" w:sz="4" w:space="0"/>
              <w:bottom w:val="single" w:color="auto" w:sz="4" w:space="0"/>
              <w:right w:val="single" w:color="auto" w:sz="4" w:space="0"/>
            </w:tcBorders>
            <w:noWrap w:val="0"/>
            <w:vAlign w:val="center"/>
          </w:tcPr>
          <w:p w14:paraId="1DA3894B">
            <w:pPr>
              <w:pStyle w:val="8"/>
              <w:keepNext w:val="0"/>
              <w:keepLines w:val="0"/>
              <w:pageBreakBefore w:val="0"/>
              <w:widowControl w:val="0"/>
              <w:kinsoku/>
              <w:wordWrap/>
              <w:overflowPunct/>
              <w:topLinePunct w:val="0"/>
              <w:autoSpaceDE/>
              <w:autoSpaceDN/>
              <w:bidi w:val="0"/>
              <w:adjustRightInd/>
              <w:snapToGrid/>
              <w:spacing w:line="241" w:lineRule="auto"/>
              <w:ind w:left="688"/>
              <w:textAlignment w:val="auto"/>
              <w:rPr>
                <w:rFonts w:hint="default" w:eastAsia="仿宋"/>
                <w:highlight w:val="none"/>
                <w:lang w:val="en-US" w:eastAsia="zh-CN"/>
              </w:rPr>
            </w:pPr>
            <w:r>
              <w:rPr>
                <w:rFonts w:hint="eastAsia"/>
                <w:spacing w:val="-4"/>
                <w:highlight w:val="none"/>
                <w:lang w:val="en-US" w:eastAsia="zh-CN"/>
              </w:rPr>
              <w:t>1500</w:t>
            </w:r>
          </w:p>
        </w:tc>
        <w:tc>
          <w:tcPr>
            <w:tcW w:w="1719" w:type="dxa"/>
            <w:tcBorders>
              <w:left w:val="single" w:color="auto" w:sz="4" w:space="0"/>
            </w:tcBorders>
            <w:noWrap w:val="0"/>
            <w:vAlign w:val="top"/>
          </w:tcPr>
          <w:p w14:paraId="766A798A">
            <w:pPr>
              <w:rPr>
                <w:rFonts w:ascii="Arial"/>
                <w:sz w:val="21"/>
                <w:highlight w:val="none"/>
              </w:rPr>
            </w:pPr>
          </w:p>
        </w:tc>
        <w:tc>
          <w:tcPr>
            <w:tcW w:w="1726" w:type="dxa"/>
            <w:noWrap w:val="0"/>
            <w:vAlign w:val="top"/>
          </w:tcPr>
          <w:p w14:paraId="103DD9EC">
            <w:pPr>
              <w:rPr>
                <w:rFonts w:ascii="Arial"/>
                <w:sz w:val="21"/>
                <w:highlight w:val="none"/>
              </w:rPr>
            </w:pPr>
          </w:p>
        </w:tc>
      </w:tr>
      <w:tr w14:paraId="7E5A1A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9" w:hRule="atLeast"/>
        </w:trPr>
        <w:tc>
          <w:tcPr>
            <w:tcW w:w="8607" w:type="dxa"/>
            <w:gridSpan w:val="4"/>
            <w:noWrap w:val="0"/>
            <w:vAlign w:val="top"/>
          </w:tcPr>
          <w:p w14:paraId="720C6327">
            <w:pPr>
              <w:pStyle w:val="8"/>
              <w:spacing w:before="229" w:line="222" w:lineRule="auto"/>
              <w:ind w:left="130"/>
              <w:rPr>
                <w:highlight w:val="none"/>
              </w:rPr>
            </w:pPr>
            <w:r>
              <w:rPr>
                <w:b/>
                <w:bCs/>
                <w:highlight w:val="none"/>
              </w:rPr>
              <w:t>合同总价</w:t>
            </w:r>
            <w:r>
              <w:rPr>
                <w:rFonts w:hint="eastAsia"/>
                <w:b/>
                <w:bCs/>
                <w:highlight w:val="none"/>
                <w:lang w:val="en-US" w:eastAsia="zh-CN"/>
              </w:rPr>
              <w:t>(暂定）</w:t>
            </w:r>
            <w:r>
              <w:rPr>
                <w:highlight w:val="none"/>
              </w:rPr>
              <w:t>：</w:t>
            </w:r>
            <w:r>
              <w:rPr>
                <w:b/>
                <w:bCs/>
                <w:highlight w:val="none"/>
              </w:rPr>
              <w:t>大写：人民币</w:t>
            </w:r>
            <w:r>
              <w:rPr>
                <w:highlight w:val="none"/>
                <w:u w:val="single" w:color="auto"/>
              </w:rPr>
              <w:t xml:space="preserve">            </w:t>
            </w:r>
            <w:r>
              <w:rPr>
                <w:spacing w:val="-1"/>
                <w:highlight w:val="none"/>
                <w:u w:val="single" w:color="auto"/>
              </w:rPr>
              <w:t xml:space="preserve">   </w:t>
            </w:r>
            <w:r>
              <w:rPr>
                <w:b/>
                <w:bCs/>
                <w:spacing w:val="-1"/>
                <w:highlight w:val="none"/>
                <w:u w:val="none" w:color="auto"/>
              </w:rPr>
              <w:t>元；</w:t>
            </w:r>
          </w:p>
          <w:p w14:paraId="57166A95">
            <w:pPr>
              <w:pStyle w:val="8"/>
              <w:spacing w:before="210" w:line="208" w:lineRule="auto"/>
              <w:ind w:left="1323"/>
              <w:rPr>
                <w:highlight w:val="none"/>
              </w:rPr>
            </w:pPr>
            <w:r>
              <w:rPr>
                <w:b/>
                <w:bCs/>
                <w:spacing w:val="-19"/>
                <w:highlight w:val="none"/>
              </w:rPr>
              <w:t>小写：</w:t>
            </w:r>
            <w:r>
              <w:rPr>
                <w:spacing w:val="-87"/>
                <w:highlight w:val="none"/>
              </w:rPr>
              <w:t xml:space="preserve"> </w:t>
            </w:r>
            <w:r>
              <w:rPr>
                <w:spacing w:val="3"/>
                <w:highlight w:val="none"/>
                <w:u w:val="single"/>
              </w:rPr>
              <w:t xml:space="preserve">                   </w:t>
            </w:r>
            <w:r>
              <w:rPr>
                <w:b/>
                <w:bCs/>
                <w:spacing w:val="-19"/>
                <w:highlight w:val="none"/>
              </w:rPr>
              <w:t>元；</w:t>
            </w:r>
          </w:p>
        </w:tc>
      </w:tr>
    </w:tbl>
    <w:p w14:paraId="05F790E9">
      <w:pPr>
        <w:spacing w:line="360" w:lineRule="auto"/>
        <w:ind w:firstLine="480" w:firstLineChars="200"/>
        <w:rPr>
          <w:rFonts w:hint="eastAsia" w:ascii="仿宋" w:hAnsi="仿宋" w:eastAsia="仿宋" w:cs="仿宋"/>
          <w:b/>
          <w:bCs/>
          <w:color w:val="auto"/>
          <w:spacing w:val="0"/>
          <w:sz w:val="24"/>
          <w:szCs w:val="24"/>
          <w:highlight w:val="none"/>
          <w:lang w:val="en-US" w:eastAsia="zh-CN"/>
        </w:rPr>
      </w:pPr>
      <w:r>
        <w:rPr>
          <w:rFonts w:hint="eastAsia" w:ascii="仿宋" w:hAnsi="仿宋" w:eastAsia="仿宋" w:cs="仿宋"/>
          <w:color w:val="auto"/>
          <w:spacing w:val="0"/>
          <w:sz w:val="24"/>
          <w:szCs w:val="24"/>
          <w:highlight w:val="none"/>
        </w:rPr>
        <w:t>本合同为</w:t>
      </w:r>
      <w:r>
        <w:rPr>
          <w:rFonts w:hint="eastAsia" w:ascii="仿宋" w:hAnsi="仿宋" w:eastAsia="仿宋" w:cs="仿宋"/>
          <w:b/>
          <w:color w:val="auto"/>
          <w:spacing w:val="0"/>
          <w:sz w:val="24"/>
          <w:szCs w:val="24"/>
          <w:highlight w:val="none"/>
          <w:u w:val="single"/>
        </w:rPr>
        <w:t>固定</w:t>
      </w:r>
      <w:r>
        <w:rPr>
          <w:rFonts w:hint="eastAsia" w:ascii="仿宋" w:hAnsi="仿宋" w:eastAsia="仿宋" w:cs="仿宋"/>
          <w:b/>
          <w:color w:val="auto"/>
          <w:spacing w:val="0"/>
          <w:sz w:val="24"/>
          <w:szCs w:val="24"/>
          <w:highlight w:val="none"/>
          <w:u w:val="single"/>
          <w:lang w:val="en-US" w:eastAsia="zh-CN"/>
        </w:rPr>
        <w:t>单</w:t>
      </w:r>
      <w:r>
        <w:rPr>
          <w:rFonts w:hint="eastAsia" w:ascii="仿宋" w:hAnsi="仿宋" w:eastAsia="仿宋" w:cs="仿宋"/>
          <w:b/>
          <w:color w:val="auto"/>
          <w:spacing w:val="0"/>
          <w:sz w:val="24"/>
          <w:szCs w:val="24"/>
          <w:highlight w:val="none"/>
          <w:u w:val="single"/>
        </w:rPr>
        <w:t>价</w:t>
      </w:r>
      <w:r>
        <w:rPr>
          <w:rFonts w:hint="eastAsia" w:ascii="仿宋" w:hAnsi="仿宋" w:eastAsia="仿宋" w:cs="仿宋"/>
          <w:color w:val="auto"/>
          <w:spacing w:val="0"/>
          <w:sz w:val="24"/>
          <w:szCs w:val="24"/>
          <w:highlight w:val="none"/>
        </w:rPr>
        <w:t>合同,是完成本次招标所要求内容且验收合格的所有费用,包括体检费、报告费、早餐费、咨询费、健康管理服务费用、招标代理服务费、利润、税金、风险及完成工作准备阶段、实施阶段、结果报告出具阶段、后续服务阶段等所需的全部费用。</w:t>
      </w:r>
    </w:p>
    <w:p w14:paraId="11B1D240">
      <w:pPr>
        <w:spacing w:line="360" w:lineRule="auto"/>
        <w:ind w:firstLine="200"/>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四、付款方式</w:t>
      </w:r>
    </w:p>
    <w:p w14:paraId="1853E3DC">
      <w:pPr>
        <w:spacing w:line="360" w:lineRule="auto"/>
        <w:ind w:firstLine="480" w:firstLineChars="200"/>
        <w:rPr>
          <w:rFonts w:hint="eastAsia" w:ascii="仿宋" w:hAnsi="仿宋" w:eastAsia="仿宋" w:cs="仿宋"/>
          <w:color w:val="auto"/>
          <w:spacing w:val="0"/>
          <w:sz w:val="24"/>
          <w:szCs w:val="24"/>
          <w:highlight w:val="none"/>
          <w:lang w:val="en-US" w:eastAsia="zh-CN"/>
        </w:rPr>
      </w:pPr>
      <w:r>
        <w:rPr>
          <w:rFonts w:hint="eastAsia" w:ascii="仿宋" w:hAnsi="仿宋" w:eastAsia="仿宋" w:cs="仿宋"/>
          <w:color w:val="auto"/>
          <w:spacing w:val="0"/>
          <w:sz w:val="24"/>
          <w:szCs w:val="24"/>
          <w:highlight w:val="none"/>
        </w:rPr>
        <w:t>1.付款</w:t>
      </w:r>
      <w:r>
        <w:rPr>
          <w:rFonts w:hint="eastAsia" w:ascii="仿宋" w:hAnsi="仿宋" w:eastAsia="仿宋" w:cs="仿宋"/>
          <w:color w:val="auto"/>
          <w:spacing w:val="0"/>
          <w:sz w:val="24"/>
          <w:szCs w:val="24"/>
          <w:highlight w:val="none"/>
          <w:lang w:val="en-US" w:eastAsia="zh-CN"/>
        </w:rPr>
        <w:t>方式</w:t>
      </w:r>
      <w:r>
        <w:rPr>
          <w:rFonts w:hint="eastAsia" w:ascii="仿宋" w:hAnsi="仿宋" w:eastAsia="仿宋" w:cs="仿宋"/>
          <w:color w:val="auto"/>
          <w:spacing w:val="0"/>
          <w:sz w:val="24"/>
          <w:szCs w:val="24"/>
          <w:highlight w:val="none"/>
        </w:rPr>
        <w:t>：</w:t>
      </w:r>
      <w:r>
        <w:rPr>
          <w:rFonts w:hint="eastAsia" w:ascii="仿宋" w:hAnsi="仿宋" w:eastAsia="仿宋" w:cs="仿宋"/>
          <w:color w:val="auto"/>
          <w:spacing w:val="0"/>
          <w:sz w:val="24"/>
          <w:szCs w:val="24"/>
          <w:highlight w:val="none"/>
          <w:lang w:val="en-US" w:eastAsia="zh-CN"/>
        </w:rPr>
        <w:t>在完成集中体检及零散前往医院体检结束后三个月内，中标人将《体检报告》(含全部体检人员情况电子数据)及个人体检报告呈交给采购人，经采购人确认核对体检人数及体检项目，体检服务通过采购人验收后，按实际参加体检人数及体检项目进行结算。</w:t>
      </w:r>
    </w:p>
    <w:p w14:paraId="195C98B7">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2.支付方式：银行对公转账。</w:t>
      </w:r>
    </w:p>
    <w:p w14:paraId="26AC1554">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3.乙方账户信息如下：</w:t>
      </w:r>
    </w:p>
    <w:p w14:paraId="323C4BA8">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账户名称：</w:t>
      </w:r>
    </w:p>
    <w:p w14:paraId="0AFC054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账户：</w:t>
      </w:r>
    </w:p>
    <w:p w14:paraId="67CEE36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开户行：</w:t>
      </w:r>
    </w:p>
    <w:p w14:paraId="0BA4C11D">
      <w:pPr>
        <w:pStyle w:val="4"/>
        <w:spacing w:beforeAutospacing="0" w:afterAutospacing="0"/>
        <w:ind w:firstLine="480" w:firstLineChars="200"/>
        <w:jc w:val="both"/>
        <w:rPr>
          <w:rFonts w:hint="eastAsia" w:ascii="仿宋" w:hAnsi="仿宋" w:eastAsia="仿宋" w:cs="仿宋"/>
          <w:b/>
          <w:bCs/>
          <w:color w:val="auto"/>
          <w:spacing w:val="0"/>
          <w:szCs w:val="24"/>
          <w:highlight w:val="none"/>
        </w:rPr>
      </w:pPr>
      <w:r>
        <w:rPr>
          <w:rFonts w:hint="eastAsia" w:ascii="仿宋" w:hAnsi="仿宋" w:eastAsia="仿宋" w:cs="仿宋"/>
          <w:b w:val="0"/>
          <w:bCs w:val="0"/>
          <w:color w:val="auto"/>
          <w:spacing w:val="0"/>
          <w:szCs w:val="24"/>
          <w:highlight w:val="none"/>
        </w:rPr>
        <w:t>4.结算单位：甲方负责结算，在付款前，必须开具等额发票给甲方。</w:t>
      </w:r>
    </w:p>
    <w:p w14:paraId="5171616D">
      <w:pPr>
        <w:pStyle w:val="4"/>
        <w:spacing w:beforeAutospacing="0" w:afterAutospacing="0"/>
        <w:jc w:val="both"/>
        <w:rPr>
          <w:rFonts w:hint="eastAsia" w:ascii="仿宋" w:hAnsi="仿宋" w:eastAsia="仿宋" w:cs="仿宋"/>
          <w:color w:val="auto"/>
          <w:spacing w:val="0"/>
          <w:szCs w:val="24"/>
          <w:highlight w:val="none"/>
        </w:rPr>
      </w:pPr>
      <w:r>
        <w:rPr>
          <w:rFonts w:hint="eastAsia" w:ascii="仿宋" w:hAnsi="仿宋" w:eastAsia="仿宋" w:cs="仿宋"/>
          <w:b/>
          <w:bCs/>
          <w:color w:val="auto"/>
          <w:spacing w:val="0"/>
          <w:szCs w:val="24"/>
          <w:highlight w:val="none"/>
        </w:rPr>
        <w:t>五、服务期</w:t>
      </w:r>
    </w:p>
    <w:p w14:paraId="2B5D7171">
      <w:pPr>
        <w:pStyle w:val="4"/>
        <w:spacing w:beforeAutospacing="0" w:afterAutospacing="0"/>
        <w:ind w:firstLine="480" w:firstLineChars="200"/>
        <w:jc w:val="both"/>
        <w:rPr>
          <w:rFonts w:hint="eastAsia" w:ascii="仿宋" w:hAnsi="仿宋" w:eastAsia="仿宋" w:cs="仿宋"/>
          <w:color w:val="auto"/>
          <w:spacing w:val="0"/>
          <w:szCs w:val="24"/>
          <w:highlight w:val="none"/>
          <w:lang w:eastAsia="zh-CN"/>
        </w:rPr>
      </w:pPr>
      <w:r>
        <w:rPr>
          <w:rFonts w:hint="eastAsia" w:ascii="仿宋" w:hAnsi="仿宋" w:eastAsia="仿宋" w:cs="仿宋"/>
          <w:color w:val="auto"/>
          <w:spacing w:val="0"/>
          <w:szCs w:val="24"/>
          <w:highlight w:val="none"/>
          <w:lang w:eastAsia="zh-CN"/>
        </w:rPr>
        <w:t>自合同签订之日起</w:t>
      </w:r>
      <w:r>
        <w:rPr>
          <w:rFonts w:hint="eastAsia" w:ascii="仿宋" w:hAnsi="仿宋" w:eastAsia="仿宋" w:cs="仿宋"/>
          <w:color w:val="auto"/>
          <w:spacing w:val="0"/>
          <w:szCs w:val="24"/>
          <w:highlight w:val="none"/>
          <w:lang w:val="en-US" w:eastAsia="zh-CN"/>
        </w:rPr>
        <w:t>3</w:t>
      </w:r>
      <w:r>
        <w:rPr>
          <w:rFonts w:hint="eastAsia" w:ascii="仿宋" w:hAnsi="仿宋" w:eastAsia="仿宋" w:cs="仿宋"/>
          <w:color w:val="auto"/>
          <w:spacing w:val="0"/>
          <w:szCs w:val="24"/>
          <w:highlight w:val="none"/>
          <w:lang w:eastAsia="zh-CN"/>
        </w:rPr>
        <w:t>个月内。</w:t>
      </w:r>
    </w:p>
    <w:p w14:paraId="06BE1FC3">
      <w:pPr>
        <w:spacing w:line="360" w:lineRule="auto"/>
        <w:rPr>
          <w:rFonts w:hint="eastAsia" w:ascii="仿宋" w:hAnsi="仿宋" w:eastAsia="仿宋" w:cs="仿宋"/>
          <w:color w:val="auto"/>
          <w:spacing w:val="0"/>
          <w:sz w:val="24"/>
          <w:szCs w:val="24"/>
          <w:highlight w:val="none"/>
          <w:u w:val="none"/>
        </w:rPr>
      </w:pPr>
      <w:r>
        <w:rPr>
          <w:rFonts w:hint="eastAsia" w:ascii="仿宋" w:hAnsi="仿宋" w:eastAsia="仿宋" w:cs="仿宋"/>
          <w:b/>
          <w:bCs/>
          <w:color w:val="auto"/>
          <w:spacing w:val="0"/>
          <w:sz w:val="24"/>
          <w:szCs w:val="24"/>
          <w:highlight w:val="none"/>
        </w:rPr>
        <w:t>六、甲乙双方的权利、义务</w:t>
      </w:r>
    </w:p>
    <w:p w14:paraId="1C8E83FF">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一、甲方的权利及义务：</w:t>
      </w:r>
    </w:p>
    <w:p w14:paraId="6437D1AA">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组织员工有序的进行体检；</w:t>
      </w:r>
    </w:p>
    <w:p w14:paraId="70B045E2">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2</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为乙方提供统一的信息电子表格；</w:t>
      </w:r>
    </w:p>
    <w:p w14:paraId="49C9C6D2">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3</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体检结束时，按照实际参与人数支付乙方体检费用。</w:t>
      </w:r>
    </w:p>
    <w:p w14:paraId="4F6B871B">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二、乙方的权利及义务：</w:t>
      </w:r>
    </w:p>
    <w:p w14:paraId="734C118C">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乙方须按照体检项目内容及要求做好服务工作；</w:t>
      </w:r>
    </w:p>
    <w:p w14:paraId="5230609C">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2</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乙方须在体检前将体检应注意的事项通知甲方；</w:t>
      </w:r>
    </w:p>
    <w:p w14:paraId="27996E93">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3</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乙方在体检中不得擅自修改体检项目；</w:t>
      </w:r>
    </w:p>
    <w:p w14:paraId="79BA987A">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4.体检过程中所需要的设备和耗材，全部由乙方提供，相关医疗器具必须符合国家规定标准；</w:t>
      </w:r>
    </w:p>
    <w:p w14:paraId="7B9A1736">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5</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乙方负责组织具有医疗资质的医务人员对甲方员工进行体检；</w:t>
      </w:r>
    </w:p>
    <w:p w14:paraId="11596305">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6</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乙方须按本项目要求组织体检，提供绿色通道、现场引导、指导服务，根据不同人群做出针对性编排，确保体检现场井然有序，便利高效。</w:t>
      </w:r>
    </w:p>
    <w:p w14:paraId="5C4509DF">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7</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必须提供高质量营养早餐，未发生过不良体检事件和重大医疗事故；</w:t>
      </w:r>
    </w:p>
    <w:p w14:paraId="5417434A">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8</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体检地点在成交的体检机构，员工未按规定时间进行体检的，视为主动放弃，不再另行组织；</w:t>
      </w:r>
    </w:p>
    <w:p w14:paraId="183CB65C">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9</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可针对体检人员中“三高”人群,免费提供慢性病的健康管理服务，并根据个人体检情况逐人提供个性化健康指导方案；</w:t>
      </w:r>
    </w:p>
    <w:p w14:paraId="13F7836B">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10</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体检人员要求自行增加体检项目的，可以予以增加，相关费用由体检人员自行支付；</w:t>
      </w:r>
    </w:p>
    <w:p w14:paraId="759D81E2">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11</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体检结束后</w:t>
      </w:r>
      <w:r>
        <w:rPr>
          <w:rFonts w:hint="eastAsia" w:ascii="仿宋" w:hAnsi="仿宋" w:eastAsia="仿宋" w:cs="仿宋"/>
          <w:b w:val="0"/>
          <w:bCs w:val="0"/>
          <w:color w:val="auto"/>
          <w:spacing w:val="0"/>
          <w:sz w:val="24"/>
          <w:szCs w:val="24"/>
          <w:highlight w:val="none"/>
          <w:u w:val="single"/>
        </w:rPr>
        <w:t xml:space="preserve"> </w:t>
      </w:r>
      <w:r>
        <w:rPr>
          <w:rFonts w:hint="eastAsia" w:ascii="仿宋" w:hAnsi="仿宋" w:eastAsia="仿宋" w:cs="仿宋"/>
          <w:b w:val="0"/>
          <w:bCs w:val="0"/>
          <w:color w:val="auto"/>
          <w:spacing w:val="0"/>
          <w:sz w:val="24"/>
          <w:szCs w:val="24"/>
          <w:highlight w:val="none"/>
          <w:u w:val="single"/>
          <w:lang w:val="en-US" w:eastAsia="zh-CN"/>
        </w:rPr>
        <w:t>10</w:t>
      </w:r>
      <w:r>
        <w:rPr>
          <w:rFonts w:hint="eastAsia" w:ascii="仿宋" w:hAnsi="仿宋" w:eastAsia="仿宋" w:cs="仿宋"/>
          <w:b w:val="0"/>
          <w:bCs w:val="0"/>
          <w:color w:val="auto"/>
          <w:spacing w:val="0"/>
          <w:sz w:val="24"/>
          <w:szCs w:val="24"/>
          <w:highlight w:val="none"/>
          <w:u w:val="single"/>
        </w:rPr>
        <w:t xml:space="preserve"> </w:t>
      </w:r>
      <w:r>
        <w:rPr>
          <w:rFonts w:hint="eastAsia" w:ascii="仿宋" w:hAnsi="仿宋" w:eastAsia="仿宋" w:cs="仿宋"/>
          <w:b w:val="0"/>
          <w:bCs w:val="0"/>
          <w:color w:val="auto"/>
          <w:spacing w:val="0"/>
          <w:sz w:val="24"/>
          <w:szCs w:val="24"/>
          <w:highlight w:val="none"/>
          <w:u w:val="none"/>
          <w:lang w:val="en-US" w:eastAsia="zh-CN"/>
        </w:rPr>
        <w:t>个</w:t>
      </w:r>
      <w:r>
        <w:rPr>
          <w:rFonts w:hint="eastAsia" w:ascii="仿宋" w:hAnsi="仿宋" w:eastAsia="仿宋" w:cs="仿宋"/>
          <w:b w:val="0"/>
          <w:bCs w:val="0"/>
          <w:color w:val="auto"/>
          <w:spacing w:val="0"/>
          <w:sz w:val="24"/>
          <w:szCs w:val="24"/>
          <w:highlight w:val="none"/>
          <w:lang w:val="en-US" w:eastAsia="zh-CN"/>
        </w:rPr>
        <w:t>工作日</w:t>
      </w:r>
      <w:r>
        <w:rPr>
          <w:rFonts w:hint="eastAsia" w:ascii="仿宋" w:hAnsi="仿宋" w:eastAsia="仿宋" w:cs="仿宋"/>
          <w:b w:val="0"/>
          <w:bCs w:val="0"/>
          <w:color w:val="auto"/>
          <w:spacing w:val="0"/>
          <w:sz w:val="24"/>
          <w:szCs w:val="24"/>
          <w:highlight w:val="none"/>
        </w:rPr>
        <w:t>内，向甲方提交体检报告；</w:t>
      </w:r>
    </w:p>
    <w:p w14:paraId="61EE6D0C">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12</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乙方在体检期间需驻派一名具有内科副主任医师及以上医生作为现场咨询专家，要求专家耐心细致，能认真回答被检查人的相关问题，并且在出具体检报告后为体检员工提供报告解读服务；</w:t>
      </w:r>
    </w:p>
    <w:p w14:paraId="7B05F962">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13</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按甲方要求完成相应的员工健康档案的填写，交甲方存档，并为甲方完成 员工终检统计表；</w:t>
      </w:r>
    </w:p>
    <w:p w14:paraId="658F574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b w:val="0"/>
          <w:bCs w:val="0"/>
          <w:color w:val="auto"/>
          <w:spacing w:val="0"/>
          <w:sz w:val="24"/>
          <w:szCs w:val="24"/>
          <w:highlight w:val="none"/>
        </w:rPr>
        <w:t>14</w:t>
      </w:r>
      <w:r>
        <w:rPr>
          <w:rFonts w:hint="eastAsia" w:ascii="仿宋" w:hAnsi="仿宋" w:eastAsia="仿宋" w:cs="仿宋"/>
          <w:b w:val="0"/>
          <w:bCs w:val="0"/>
          <w:color w:val="auto"/>
          <w:spacing w:val="0"/>
          <w:sz w:val="24"/>
          <w:szCs w:val="24"/>
          <w:highlight w:val="none"/>
          <w:lang w:val="en-US" w:eastAsia="zh-CN"/>
        </w:rPr>
        <w:t>.</w:t>
      </w:r>
      <w:r>
        <w:rPr>
          <w:rFonts w:hint="eastAsia" w:ascii="仿宋" w:hAnsi="仿宋" w:eastAsia="仿宋" w:cs="仿宋"/>
          <w:b w:val="0"/>
          <w:bCs w:val="0"/>
          <w:color w:val="auto"/>
          <w:spacing w:val="0"/>
          <w:sz w:val="24"/>
          <w:szCs w:val="24"/>
          <w:highlight w:val="none"/>
        </w:rPr>
        <w:t>乙方配备的医务人员不具备相应资质，医疗器具不符合国家规定标准而产生的事故责任由乙方全权负责。</w:t>
      </w:r>
    </w:p>
    <w:p w14:paraId="4CAF10EA">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lang w:val="en-US" w:eastAsia="zh-CN"/>
        </w:rPr>
        <w:t>七</w:t>
      </w:r>
      <w:r>
        <w:rPr>
          <w:rFonts w:hint="eastAsia" w:ascii="仿宋" w:hAnsi="仿宋" w:eastAsia="仿宋" w:cs="仿宋"/>
          <w:b/>
          <w:bCs/>
          <w:color w:val="auto"/>
          <w:spacing w:val="0"/>
          <w:sz w:val="24"/>
          <w:szCs w:val="24"/>
          <w:highlight w:val="none"/>
        </w:rPr>
        <w:t>、质量保证</w:t>
      </w:r>
    </w:p>
    <w:p w14:paraId="2CC9F67F">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1</w:t>
      </w:r>
      <w:r>
        <w:rPr>
          <w:rFonts w:hint="eastAsia" w:ascii="仿宋" w:hAnsi="仿宋" w:eastAsia="仿宋" w:cs="仿宋"/>
          <w:b w:val="0"/>
          <w:bCs w:val="0"/>
          <w:color w:val="auto"/>
          <w:spacing w:val="0"/>
          <w:sz w:val="24"/>
          <w:szCs w:val="24"/>
          <w:highlight w:val="none"/>
          <w:lang w:val="en-US" w:eastAsia="zh-CN"/>
        </w:rPr>
        <w:t>.体检</w:t>
      </w:r>
      <w:r>
        <w:rPr>
          <w:rFonts w:hint="eastAsia" w:ascii="仿宋" w:hAnsi="仿宋" w:eastAsia="仿宋" w:cs="仿宋"/>
          <w:b w:val="0"/>
          <w:bCs w:val="0"/>
          <w:color w:val="auto"/>
          <w:spacing w:val="0"/>
          <w:sz w:val="24"/>
          <w:szCs w:val="24"/>
          <w:highlight w:val="none"/>
        </w:rPr>
        <w:t>服务应符合国家有关规范。</w:t>
      </w:r>
    </w:p>
    <w:p w14:paraId="654677E8">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rPr>
        <w:t>2</w:t>
      </w:r>
      <w:r>
        <w:rPr>
          <w:rFonts w:hint="eastAsia" w:ascii="仿宋" w:hAnsi="仿宋" w:eastAsia="仿宋" w:cs="仿宋"/>
          <w:b w:val="0"/>
          <w:bCs w:val="0"/>
          <w:color w:val="auto"/>
          <w:spacing w:val="0"/>
          <w:sz w:val="24"/>
          <w:szCs w:val="24"/>
          <w:highlight w:val="none"/>
          <w:lang w:val="en-US" w:eastAsia="zh-CN"/>
        </w:rPr>
        <w:t>.乙方</w:t>
      </w:r>
      <w:r>
        <w:rPr>
          <w:rFonts w:hint="eastAsia" w:ascii="仿宋" w:hAnsi="仿宋" w:eastAsia="仿宋" w:cs="仿宋"/>
          <w:b w:val="0"/>
          <w:bCs w:val="0"/>
          <w:color w:val="auto"/>
          <w:spacing w:val="0"/>
          <w:sz w:val="24"/>
          <w:szCs w:val="24"/>
          <w:highlight w:val="none"/>
        </w:rPr>
        <w:t>应根据服务方案规范及服务质量要求进行服务工作，</w:t>
      </w:r>
      <w:r>
        <w:rPr>
          <w:rFonts w:hint="eastAsia" w:ascii="仿宋" w:hAnsi="仿宋" w:eastAsia="仿宋" w:cs="仿宋"/>
          <w:b w:val="0"/>
          <w:bCs w:val="0"/>
          <w:color w:val="auto"/>
          <w:spacing w:val="0"/>
          <w:sz w:val="24"/>
          <w:szCs w:val="24"/>
          <w:highlight w:val="none"/>
          <w:lang w:val="en-US" w:eastAsia="zh-CN"/>
        </w:rPr>
        <w:t>甲方</w:t>
      </w:r>
      <w:r>
        <w:rPr>
          <w:rFonts w:hint="eastAsia" w:ascii="仿宋" w:hAnsi="仿宋" w:eastAsia="仿宋" w:cs="仿宋"/>
          <w:b w:val="0"/>
          <w:bCs w:val="0"/>
          <w:color w:val="auto"/>
          <w:spacing w:val="0"/>
          <w:sz w:val="24"/>
          <w:szCs w:val="24"/>
          <w:highlight w:val="none"/>
        </w:rPr>
        <w:t>在服务过程中起到配合、监督的作用。</w:t>
      </w:r>
    </w:p>
    <w:p w14:paraId="664571B2">
      <w:pPr>
        <w:spacing w:line="360" w:lineRule="auto"/>
        <w:ind w:firstLine="480" w:firstLineChars="200"/>
        <w:rPr>
          <w:rFonts w:hint="eastAsia" w:ascii="仿宋" w:hAnsi="仿宋" w:eastAsia="仿宋" w:cs="仿宋"/>
          <w:b w:val="0"/>
          <w:bCs w:val="0"/>
          <w:color w:val="auto"/>
          <w:spacing w:val="0"/>
          <w:sz w:val="24"/>
          <w:szCs w:val="24"/>
          <w:highlight w:val="none"/>
        </w:rPr>
      </w:pPr>
      <w:r>
        <w:rPr>
          <w:rFonts w:hint="eastAsia" w:ascii="仿宋" w:hAnsi="仿宋" w:eastAsia="仿宋" w:cs="仿宋"/>
          <w:b w:val="0"/>
          <w:bCs w:val="0"/>
          <w:color w:val="auto"/>
          <w:spacing w:val="0"/>
          <w:sz w:val="24"/>
          <w:szCs w:val="24"/>
          <w:highlight w:val="none"/>
          <w:lang w:val="en-US" w:eastAsia="zh-CN"/>
        </w:rPr>
        <w:t>3.</w:t>
      </w:r>
      <w:r>
        <w:rPr>
          <w:rFonts w:hint="eastAsia" w:ascii="仿宋" w:hAnsi="仿宋" w:eastAsia="仿宋" w:cs="仿宋"/>
          <w:b w:val="0"/>
          <w:bCs w:val="0"/>
          <w:color w:val="auto"/>
          <w:spacing w:val="0"/>
          <w:sz w:val="24"/>
          <w:szCs w:val="24"/>
          <w:highlight w:val="none"/>
        </w:rPr>
        <w:t>乙方应严格执行服务要求，如遇</w:t>
      </w:r>
      <w:r>
        <w:rPr>
          <w:rFonts w:hint="eastAsia" w:ascii="仿宋" w:hAnsi="仿宋" w:eastAsia="仿宋" w:cs="仿宋"/>
          <w:b w:val="0"/>
          <w:bCs w:val="0"/>
          <w:color w:val="auto"/>
          <w:spacing w:val="0"/>
          <w:sz w:val="24"/>
          <w:szCs w:val="24"/>
          <w:highlight w:val="none"/>
          <w:lang w:val="en-US" w:eastAsia="zh-CN"/>
        </w:rPr>
        <w:t>甲方</w:t>
      </w:r>
      <w:r>
        <w:rPr>
          <w:rFonts w:hint="eastAsia" w:ascii="仿宋" w:hAnsi="仿宋" w:eastAsia="仿宋" w:cs="仿宋"/>
          <w:b w:val="0"/>
          <w:bCs w:val="0"/>
          <w:color w:val="auto"/>
          <w:spacing w:val="0"/>
          <w:sz w:val="24"/>
          <w:szCs w:val="24"/>
          <w:highlight w:val="none"/>
        </w:rPr>
        <w:t>随机抽查发现未按服务要求执行的，处以</w:t>
      </w:r>
      <w:r>
        <w:rPr>
          <w:rFonts w:hint="eastAsia" w:ascii="仿宋" w:hAnsi="仿宋" w:eastAsia="仿宋" w:cs="仿宋"/>
          <w:b w:val="0"/>
          <w:bCs w:val="0"/>
          <w:color w:val="auto"/>
          <w:spacing w:val="0"/>
          <w:sz w:val="24"/>
          <w:szCs w:val="24"/>
          <w:highlight w:val="none"/>
          <w:lang w:val="en-US" w:eastAsia="zh-CN"/>
        </w:rPr>
        <w:t>相应</w:t>
      </w:r>
      <w:r>
        <w:rPr>
          <w:rFonts w:hint="eastAsia" w:ascii="仿宋" w:hAnsi="仿宋" w:eastAsia="仿宋" w:cs="仿宋"/>
          <w:b w:val="0"/>
          <w:bCs w:val="0"/>
          <w:color w:val="auto"/>
          <w:spacing w:val="0"/>
          <w:sz w:val="24"/>
          <w:szCs w:val="24"/>
          <w:highlight w:val="none"/>
        </w:rPr>
        <w:t>罚款，具体以甲方要求为准。</w:t>
      </w:r>
    </w:p>
    <w:p w14:paraId="2EA6D9CD">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lang w:val="en-US" w:eastAsia="zh-CN"/>
        </w:rPr>
        <w:t>八</w:t>
      </w:r>
      <w:r>
        <w:rPr>
          <w:rFonts w:hint="eastAsia" w:ascii="仿宋" w:hAnsi="仿宋" w:eastAsia="仿宋" w:cs="仿宋"/>
          <w:b/>
          <w:bCs/>
          <w:color w:val="auto"/>
          <w:spacing w:val="0"/>
          <w:sz w:val="24"/>
          <w:szCs w:val="24"/>
          <w:highlight w:val="none"/>
        </w:rPr>
        <w:t>、</w:t>
      </w:r>
      <w:r>
        <w:rPr>
          <w:rFonts w:hint="eastAsia" w:ascii="仿宋" w:hAnsi="仿宋" w:eastAsia="仿宋" w:cs="仿宋"/>
          <w:b/>
          <w:color w:val="auto"/>
          <w:spacing w:val="0"/>
          <w:sz w:val="24"/>
          <w:szCs w:val="24"/>
          <w:highlight w:val="none"/>
        </w:rPr>
        <w:t>验收</w:t>
      </w:r>
    </w:p>
    <w:p w14:paraId="22FAF76D">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1.</w:t>
      </w:r>
      <w:r>
        <w:rPr>
          <w:rFonts w:hint="eastAsia" w:ascii="仿宋" w:hAnsi="仿宋" w:eastAsia="仿宋" w:cs="仿宋"/>
          <w:color w:val="auto"/>
          <w:spacing w:val="0"/>
          <w:sz w:val="24"/>
          <w:szCs w:val="24"/>
          <w:highlight w:val="none"/>
        </w:rPr>
        <w:t>符合国家、行业相关法律法规及采购人需求</w:t>
      </w:r>
    </w:p>
    <w:p w14:paraId="53A4A69A">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2.采购人进行验收，若认为验收不合格，供应商应重新调整且进行重新验收。</w:t>
      </w:r>
    </w:p>
    <w:p w14:paraId="5C4590E7">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3.验收依据：</w:t>
      </w:r>
    </w:p>
    <w:p w14:paraId="3CF7DD35">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①本项目招标文件、投标文件；</w:t>
      </w:r>
    </w:p>
    <w:p w14:paraId="76E09C2F">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②本合同及附件文本；</w:t>
      </w:r>
    </w:p>
    <w:p w14:paraId="0FC4B6A6">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③合同签订时国家及行业现行的标准和技术规范。</w:t>
      </w:r>
    </w:p>
    <w:p w14:paraId="07CFD95F">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④供应商应向采购人提交全部人员的体检报告，以便采购人日后管理和维护。</w:t>
      </w:r>
    </w:p>
    <w:p w14:paraId="2A9DE3AC">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lang w:val="en-US" w:eastAsia="zh-CN"/>
        </w:rPr>
        <w:t>九</w:t>
      </w:r>
      <w:r>
        <w:rPr>
          <w:rFonts w:hint="eastAsia" w:ascii="仿宋" w:hAnsi="仿宋" w:eastAsia="仿宋" w:cs="仿宋"/>
          <w:b/>
          <w:bCs/>
          <w:color w:val="auto"/>
          <w:spacing w:val="0"/>
          <w:sz w:val="24"/>
          <w:szCs w:val="24"/>
          <w:highlight w:val="none"/>
        </w:rPr>
        <w:t>、技术要求</w:t>
      </w:r>
    </w:p>
    <w:p w14:paraId="10BC89F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满足招标文件中采购内容及技术要求。</w:t>
      </w:r>
    </w:p>
    <w:p w14:paraId="07C69EF9">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十、知识产权</w:t>
      </w:r>
    </w:p>
    <w:p w14:paraId="7E8A0EC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1.乙方根据本合同取得的成果资料的著作权及其他相关知识产权属甲方所有。未经甲方同意，乙方不得公开发表、使用或向任何第三方提供上述成果资料。</w:t>
      </w:r>
    </w:p>
    <w:p w14:paraId="3605AFFA">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2.乙方所提交的成果资料不应存在任何瑕疵，乙方应保证甲方免于遭受因第三方提起侵权索赔而产生的任何损失。如果任何第三方向甲方提起侵权索赔，乙方应负责与之进行交涉，并承担由此引起的一切责任。</w:t>
      </w:r>
    </w:p>
    <w:p w14:paraId="2DE28481">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一</w:t>
      </w:r>
      <w:r>
        <w:rPr>
          <w:rFonts w:hint="eastAsia" w:ascii="仿宋" w:hAnsi="仿宋" w:eastAsia="仿宋" w:cs="仿宋"/>
          <w:b/>
          <w:bCs/>
          <w:color w:val="auto"/>
          <w:spacing w:val="0"/>
          <w:sz w:val="24"/>
          <w:szCs w:val="24"/>
          <w:highlight w:val="none"/>
        </w:rPr>
        <w:t>、保密</w:t>
      </w:r>
    </w:p>
    <w:p w14:paraId="12A9748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乙方及其工作人员应对成果资料和在合同履行过程中了解到的涉及甲方商业秘密的资料以及其他尚未公开的有关信息承担保密义务，并采取相应的保密措施。乙方应承担的保密义务包括但不限于：</w:t>
      </w:r>
    </w:p>
    <w:p w14:paraId="2DD7D980">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1.未经甲方书面同意，不得将上述成果资料、资料及信息披露给任何第三方；</w:t>
      </w:r>
    </w:p>
    <w:p w14:paraId="1FB194F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2</w:t>
      </w:r>
      <w:r>
        <w:rPr>
          <w:rFonts w:hint="eastAsia" w:ascii="仿宋" w:hAnsi="仿宋" w:eastAsia="仿宋" w:cs="仿宋"/>
          <w:color w:val="auto"/>
          <w:spacing w:val="0"/>
          <w:sz w:val="24"/>
          <w:szCs w:val="24"/>
          <w:highlight w:val="none"/>
        </w:rPr>
        <w:t>.上述保密义务的期限至成果资料及相关资料或信息正式向社会公开之日或甲方书面解除乙方此合同项下保密义务之日止；</w:t>
      </w:r>
    </w:p>
    <w:p w14:paraId="74EE40FB">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3</w:t>
      </w:r>
      <w:r>
        <w:rPr>
          <w:rFonts w:hint="eastAsia" w:ascii="仿宋" w:hAnsi="仿宋" w:eastAsia="仿宋" w:cs="仿宋"/>
          <w:color w:val="auto"/>
          <w:spacing w:val="0"/>
          <w:sz w:val="24"/>
          <w:szCs w:val="24"/>
          <w:highlight w:val="none"/>
        </w:rPr>
        <w:t>.乙方违反保密义务的，应承担一切法律责任并赔偿甲方因此遭受的全部损失。</w:t>
      </w:r>
    </w:p>
    <w:p w14:paraId="5648FB05">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val="en-US" w:eastAsia="zh-CN"/>
        </w:rPr>
        <w:t>4</w:t>
      </w:r>
      <w:r>
        <w:rPr>
          <w:rFonts w:hint="eastAsia" w:ascii="仿宋" w:hAnsi="仿宋" w:eastAsia="仿宋" w:cs="仿宋"/>
          <w:color w:val="auto"/>
          <w:spacing w:val="0"/>
          <w:sz w:val="24"/>
          <w:szCs w:val="24"/>
          <w:highlight w:val="none"/>
        </w:rPr>
        <w:t>.本条约定在本合同履行完毕后仍然继续有效，且不受合同解除、终止或无效的影响。</w:t>
      </w:r>
    </w:p>
    <w:p w14:paraId="75EC52D5">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二</w:t>
      </w:r>
      <w:r>
        <w:rPr>
          <w:rFonts w:hint="eastAsia" w:ascii="仿宋" w:hAnsi="仿宋" w:eastAsia="仿宋" w:cs="仿宋"/>
          <w:b/>
          <w:bCs/>
          <w:color w:val="auto"/>
          <w:spacing w:val="0"/>
          <w:sz w:val="24"/>
          <w:szCs w:val="24"/>
          <w:highlight w:val="none"/>
        </w:rPr>
        <w:t>、合同争议的解决</w:t>
      </w:r>
    </w:p>
    <w:p w14:paraId="1CA8E27D">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合同执行中发生争议的，当事人双方应协商解决。协商不一致时，向有管辖权的人民法院提起诉讼。</w:t>
      </w:r>
    </w:p>
    <w:p w14:paraId="2EAD1A18">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三</w:t>
      </w:r>
      <w:r>
        <w:rPr>
          <w:rFonts w:hint="eastAsia" w:ascii="仿宋" w:hAnsi="仿宋" w:eastAsia="仿宋" w:cs="仿宋"/>
          <w:b/>
          <w:bCs/>
          <w:color w:val="auto"/>
          <w:spacing w:val="0"/>
          <w:sz w:val="24"/>
          <w:szCs w:val="24"/>
          <w:highlight w:val="none"/>
        </w:rPr>
        <w:t>、</w:t>
      </w:r>
      <w:r>
        <w:rPr>
          <w:rFonts w:hint="eastAsia" w:ascii="仿宋" w:hAnsi="仿宋" w:eastAsia="仿宋" w:cs="仿宋"/>
          <w:color w:val="auto"/>
          <w:spacing w:val="0"/>
          <w:sz w:val="24"/>
          <w:szCs w:val="24"/>
          <w:highlight w:val="none"/>
        </w:rPr>
        <w:t>不可抗力情况下的免责约定，双方约定不可抗力情况包括：五级以上地震、大风、大 雨、大雪。。</w:t>
      </w:r>
    </w:p>
    <w:p w14:paraId="39F24525">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四</w:t>
      </w:r>
      <w:r>
        <w:rPr>
          <w:rFonts w:hint="eastAsia" w:ascii="仿宋" w:hAnsi="仿宋" w:eastAsia="仿宋" w:cs="仿宋"/>
          <w:b/>
          <w:bCs/>
          <w:color w:val="auto"/>
          <w:spacing w:val="0"/>
          <w:sz w:val="24"/>
          <w:szCs w:val="24"/>
          <w:highlight w:val="none"/>
        </w:rPr>
        <w:t>、</w:t>
      </w:r>
      <w:r>
        <w:rPr>
          <w:rFonts w:hint="eastAsia" w:ascii="仿宋" w:hAnsi="仿宋" w:eastAsia="仿宋" w:cs="仿宋"/>
          <w:color w:val="auto"/>
          <w:spacing w:val="0"/>
          <w:sz w:val="24"/>
          <w:szCs w:val="24"/>
          <w:highlight w:val="none"/>
        </w:rPr>
        <w:t>除本合同约定，合同一经签订，不得擅自变更、中止或者终止合同。对确需变更、调 整或者中止、终止合同的，应按规定履行相应的手续。</w:t>
      </w:r>
    </w:p>
    <w:p w14:paraId="2EF1E3D4">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五</w:t>
      </w:r>
      <w:r>
        <w:rPr>
          <w:rFonts w:hint="eastAsia" w:ascii="仿宋" w:hAnsi="仿宋" w:eastAsia="仿宋" w:cs="仿宋"/>
          <w:b/>
          <w:bCs/>
          <w:color w:val="auto"/>
          <w:spacing w:val="0"/>
          <w:sz w:val="24"/>
          <w:szCs w:val="24"/>
          <w:highlight w:val="none"/>
        </w:rPr>
        <w:t>、违约责任</w:t>
      </w:r>
    </w:p>
    <w:p w14:paraId="4F364251">
      <w:pPr>
        <w:spacing w:line="360" w:lineRule="auto"/>
        <w:ind w:firstLine="489" w:firstLineChars="204"/>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w:t>
      </w:r>
    </w:p>
    <w:p w14:paraId="37F3BED4">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六</w:t>
      </w:r>
      <w:r>
        <w:rPr>
          <w:rFonts w:hint="eastAsia" w:ascii="仿宋" w:hAnsi="仿宋" w:eastAsia="仿宋" w:cs="仿宋"/>
          <w:b/>
          <w:bCs/>
          <w:color w:val="auto"/>
          <w:spacing w:val="0"/>
          <w:sz w:val="24"/>
          <w:szCs w:val="24"/>
          <w:highlight w:val="none"/>
        </w:rPr>
        <w:t>、其他(在合同中具体明确)</w:t>
      </w:r>
    </w:p>
    <w:p w14:paraId="02215FC6">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十</w:t>
      </w:r>
      <w:r>
        <w:rPr>
          <w:rFonts w:hint="eastAsia" w:ascii="仿宋" w:hAnsi="仿宋" w:eastAsia="仿宋" w:cs="仿宋"/>
          <w:b/>
          <w:bCs/>
          <w:color w:val="auto"/>
          <w:spacing w:val="0"/>
          <w:sz w:val="24"/>
          <w:szCs w:val="24"/>
          <w:highlight w:val="none"/>
          <w:lang w:val="en-US" w:eastAsia="zh-CN"/>
        </w:rPr>
        <w:t>七</w:t>
      </w:r>
      <w:r>
        <w:rPr>
          <w:rFonts w:hint="eastAsia" w:ascii="仿宋" w:hAnsi="仿宋" w:eastAsia="仿宋" w:cs="仿宋"/>
          <w:b/>
          <w:bCs/>
          <w:color w:val="auto"/>
          <w:spacing w:val="0"/>
          <w:sz w:val="24"/>
          <w:szCs w:val="24"/>
          <w:highlight w:val="none"/>
        </w:rPr>
        <w:t>、合同订立</w:t>
      </w:r>
    </w:p>
    <w:p w14:paraId="2660DF49">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1.订立时间：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日。</w:t>
      </w:r>
    </w:p>
    <w:p w14:paraId="760C5D4C">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2.订立地点：</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6813EA28">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3.本合同一式</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份，具有同等法律效力，双方各执</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份，监管部门备案壹份、采购代理机构存档壹份。各方签字盖章后生效，合同执行完毕自动失效。(合同的服务承诺则长期有效)。</w:t>
      </w:r>
    </w:p>
    <w:p w14:paraId="76F35EE4">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甲  方：</w:t>
      </w:r>
      <w:r>
        <w:rPr>
          <w:rFonts w:hint="eastAsia" w:ascii="仿宋" w:hAnsi="仿宋" w:eastAsia="仿宋" w:cs="仿宋"/>
          <w:color w:val="auto"/>
          <w:spacing w:val="0"/>
          <w:sz w:val="24"/>
          <w:szCs w:val="24"/>
          <w:highlight w:val="none"/>
          <w:u w:val="single"/>
        </w:rPr>
        <w:t xml:space="preserve">   （盖章）      </w:t>
      </w:r>
      <w:r>
        <w:rPr>
          <w:rFonts w:hint="eastAsia" w:ascii="仿宋" w:hAnsi="仿宋" w:eastAsia="仿宋" w:cs="仿宋"/>
          <w:color w:val="auto"/>
          <w:spacing w:val="0"/>
          <w:sz w:val="24"/>
          <w:szCs w:val="24"/>
          <w:highlight w:val="none"/>
        </w:rPr>
        <w:t xml:space="preserve">                乙  方：</w:t>
      </w:r>
      <w:r>
        <w:rPr>
          <w:rFonts w:hint="eastAsia" w:ascii="仿宋" w:hAnsi="仿宋" w:eastAsia="仿宋" w:cs="仿宋"/>
          <w:color w:val="auto"/>
          <w:spacing w:val="0"/>
          <w:sz w:val="24"/>
          <w:szCs w:val="24"/>
          <w:highlight w:val="none"/>
          <w:u w:val="single"/>
        </w:rPr>
        <w:t xml:space="preserve">   （盖章）        </w:t>
      </w:r>
    </w:p>
    <w:p w14:paraId="3614ABBD">
      <w:pPr>
        <w:spacing w:line="360" w:lineRule="auto"/>
        <w:ind w:firstLine="240" w:firstLineChars="1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 xml:space="preserve">地  址： </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地  址：</w:t>
      </w:r>
      <w:r>
        <w:rPr>
          <w:rFonts w:hint="eastAsia" w:ascii="仿宋" w:hAnsi="仿宋" w:eastAsia="仿宋" w:cs="仿宋"/>
          <w:color w:val="auto"/>
          <w:spacing w:val="0"/>
          <w:sz w:val="24"/>
          <w:szCs w:val="24"/>
          <w:highlight w:val="none"/>
          <w:u w:val="single"/>
        </w:rPr>
        <w:t xml:space="preserve">                   </w:t>
      </w:r>
    </w:p>
    <w:p w14:paraId="138109A1">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邮政编码：</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邮政编码：</w:t>
      </w:r>
      <w:r>
        <w:rPr>
          <w:rFonts w:hint="eastAsia" w:ascii="仿宋" w:hAnsi="仿宋" w:eastAsia="仿宋" w:cs="仿宋"/>
          <w:color w:val="auto"/>
          <w:spacing w:val="0"/>
          <w:sz w:val="24"/>
          <w:szCs w:val="24"/>
          <w:highlight w:val="none"/>
          <w:u w:val="single"/>
        </w:rPr>
        <w:t xml:space="preserve">                 </w:t>
      </w:r>
    </w:p>
    <w:p w14:paraId="6508511E">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 xml:space="preserve">法定代表人或其授权                       法定代表人或其授权 </w:t>
      </w:r>
    </w:p>
    <w:p w14:paraId="190F98CB">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的代理人：</w:t>
      </w:r>
      <w:r>
        <w:rPr>
          <w:rFonts w:hint="eastAsia" w:ascii="仿宋" w:hAnsi="仿宋" w:eastAsia="仿宋" w:cs="仿宋"/>
          <w:color w:val="auto"/>
          <w:spacing w:val="0"/>
          <w:sz w:val="24"/>
          <w:szCs w:val="24"/>
          <w:highlight w:val="none"/>
          <w:u w:val="single"/>
        </w:rPr>
        <w:t xml:space="preserve">（签字）      </w:t>
      </w:r>
      <w:r>
        <w:rPr>
          <w:rFonts w:hint="eastAsia" w:ascii="仿宋" w:hAnsi="仿宋" w:eastAsia="仿宋" w:cs="仿宋"/>
          <w:color w:val="auto"/>
          <w:spacing w:val="0"/>
          <w:sz w:val="24"/>
          <w:szCs w:val="24"/>
          <w:highlight w:val="none"/>
        </w:rPr>
        <w:t xml:space="preserve">                 的代理人：</w:t>
      </w:r>
      <w:r>
        <w:rPr>
          <w:rFonts w:hint="eastAsia" w:ascii="仿宋" w:hAnsi="仿宋" w:eastAsia="仿宋" w:cs="仿宋"/>
          <w:color w:val="auto"/>
          <w:spacing w:val="0"/>
          <w:sz w:val="24"/>
          <w:szCs w:val="24"/>
          <w:highlight w:val="none"/>
          <w:u w:val="single"/>
        </w:rPr>
        <w:t xml:space="preserve">（签字）           </w:t>
      </w:r>
    </w:p>
    <w:p w14:paraId="4468B6D0">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开户银行：</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开户银行：</w:t>
      </w:r>
      <w:r>
        <w:rPr>
          <w:rFonts w:hint="eastAsia" w:ascii="仿宋" w:hAnsi="仿宋" w:eastAsia="仿宋" w:cs="仿宋"/>
          <w:color w:val="auto"/>
          <w:spacing w:val="0"/>
          <w:sz w:val="24"/>
          <w:szCs w:val="24"/>
          <w:highlight w:val="none"/>
          <w:u w:val="single"/>
        </w:rPr>
        <w:t xml:space="preserve">                 </w:t>
      </w:r>
    </w:p>
    <w:p w14:paraId="60CB48AF">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账号：</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账号：</w:t>
      </w:r>
      <w:r>
        <w:rPr>
          <w:rFonts w:hint="eastAsia" w:ascii="仿宋" w:hAnsi="仿宋" w:eastAsia="仿宋" w:cs="仿宋"/>
          <w:color w:val="auto"/>
          <w:spacing w:val="0"/>
          <w:sz w:val="24"/>
          <w:szCs w:val="24"/>
          <w:highlight w:val="none"/>
          <w:u w:val="single"/>
        </w:rPr>
        <w:t xml:space="preserve">                     </w:t>
      </w:r>
    </w:p>
    <w:p w14:paraId="443EDF64">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电话：</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电话：</w:t>
      </w:r>
      <w:r>
        <w:rPr>
          <w:rFonts w:hint="eastAsia" w:ascii="仿宋" w:hAnsi="仿宋" w:eastAsia="仿宋" w:cs="仿宋"/>
          <w:color w:val="auto"/>
          <w:spacing w:val="0"/>
          <w:sz w:val="24"/>
          <w:szCs w:val="24"/>
          <w:highlight w:val="none"/>
          <w:u w:val="single"/>
        </w:rPr>
        <w:t xml:space="preserve">                     </w:t>
      </w:r>
    </w:p>
    <w:p w14:paraId="2D667AEA">
      <w:pPr>
        <w:spacing w:line="360" w:lineRule="auto"/>
        <w:ind w:firstLine="240" w:firstLineChars="1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传真：</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传真：</w:t>
      </w:r>
      <w:r>
        <w:rPr>
          <w:rFonts w:hint="eastAsia" w:ascii="仿宋" w:hAnsi="仿宋" w:eastAsia="仿宋" w:cs="仿宋"/>
          <w:color w:val="auto"/>
          <w:spacing w:val="0"/>
          <w:sz w:val="24"/>
          <w:szCs w:val="24"/>
          <w:highlight w:val="none"/>
          <w:u w:val="single"/>
        </w:rPr>
        <w:t xml:space="preserve">                     </w:t>
      </w:r>
    </w:p>
    <w:p w14:paraId="7AE86253">
      <w:pPr>
        <w:ind w:firstLine="240" w:firstLineChars="100"/>
      </w:pPr>
      <w:r>
        <w:rPr>
          <w:rFonts w:hint="eastAsia" w:ascii="仿宋" w:hAnsi="仿宋" w:eastAsia="仿宋" w:cs="仿宋"/>
          <w:color w:val="auto"/>
          <w:spacing w:val="0"/>
          <w:sz w:val="24"/>
          <w:szCs w:val="24"/>
          <w:highlight w:val="none"/>
        </w:rPr>
        <w:t>电子邮箱：</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 xml:space="preserve">              电子邮箱：</w:t>
      </w:r>
      <w:r>
        <w:rPr>
          <w:rFonts w:hint="eastAsia" w:ascii="仿宋" w:hAnsi="仿宋" w:eastAsia="仿宋" w:cs="仿宋"/>
          <w:color w:val="auto"/>
          <w:spacing w:val="0"/>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3711B"/>
    <w:rsid w:val="72637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7"/>
    <w:qFormat/>
    <w:uiPriority w:val="0"/>
    <w:pPr>
      <w:keepNext/>
      <w:keepLines/>
      <w:widowControl/>
      <w:spacing w:before="340" w:after="330" w:line="576" w:lineRule="auto"/>
      <w:jc w:val="left"/>
      <w:outlineLvl w:val="0"/>
    </w:pPr>
    <w:rPr>
      <w:rFonts w:ascii="Times New Roman" w:hAnsi="Times New Roman" w:eastAsia="宋体" w:cs="Times New Roman"/>
      <w:b/>
      <w:kern w:val="44"/>
      <w:sz w:val="44"/>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4">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 w:type="character" w:customStyle="1" w:styleId="7">
    <w:name w:val="标题 1 Char"/>
    <w:basedOn w:val="6"/>
    <w:link w:val="3"/>
    <w:qFormat/>
    <w:uiPriority w:val="0"/>
    <w:rPr>
      <w:rFonts w:ascii="Times New Roman" w:hAnsi="Times New Roman" w:eastAsia="宋体" w:cs="Times New Roman"/>
      <w:b/>
      <w:kern w:val="44"/>
      <w:sz w:val="44"/>
      <w:szCs w:val="20"/>
    </w:rPr>
  </w:style>
  <w:style w:type="paragraph" w:customStyle="1" w:styleId="8">
    <w:name w:val="Table Text"/>
    <w:basedOn w:val="1"/>
    <w:semiHidden/>
    <w:qFormat/>
    <w:uiPriority w:val="0"/>
    <w:rPr>
      <w:rFonts w:ascii="仿宋" w:hAnsi="仿宋" w:eastAsia="仿宋" w:cs="仿宋"/>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2025-08-15T09:29:00Z</dcterms:created>
  <dc:creator>苍白假面</dc:creator>
  <cp:lastModifiedBy>苍白假面</cp:lastModifiedBy>
  <dcterms:modified xsi:type="dcterms:W3CDTF">2025-08-15T09:30:32Z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DAB5A323344F43DF88A4AAB8C5183659_11</vt:lpwstr>
  </property>
  <property fmtid="{D5CDD505-2E9C-101B-9397-08002B2CF9AE}" pid="4" name="KSOTemplateDocerSaveRecord">
    <vt:lpwstr>eyJoZGlkIjoiY2U1ZTlkNThkYmUxMjkwM2M5Y2E1YWM0NWQ1ZjUwMDUiLCJ1c2VySWQiOiIyNzI4NDY5MDUifQ==</vt:lpwstr>
  </property>
</Properties>
</file>