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版本号：SXXY-XA-2025080120250822001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西安市LH3-5-3-10号储备地块，管委会LH3-5-481-3号储备地块项目考古发掘配合服务项目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SXXY-XA-20250801</w:t>
      </w:r>
      <w:r>
        <w:br/>
      </w:r>
      <w:r>
        <w:br/>
      </w:r>
      <w:r>
        <w:br/>
      </w:r>
    </w:p>
    <w:p>
      <w:pPr>
        <w:pStyle w:val="null3"/>
        <w:jc w:val="center"/>
        <w:outlineLvl w:val="2"/>
      </w:pPr>
      <w:r>
        <w:rPr>
          <w:rFonts w:ascii="仿宋_GB2312" w:hAnsi="仿宋_GB2312" w:cs="仿宋_GB2312" w:eastAsia="仿宋_GB2312"/>
          <w:sz w:val="28"/>
          <w:b/>
        </w:rPr>
        <w:t>西安大兴新区开发建设管理委员会</w:t>
      </w:r>
    </w:p>
    <w:p>
      <w:pPr>
        <w:pStyle w:val="null3"/>
        <w:jc w:val="center"/>
        <w:outlineLvl w:val="2"/>
      </w:pPr>
      <w:r>
        <w:rPr>
          <w:rFonts w:ascii="仿宋_GB2312" w:hAnsi="仿宋_GB2312" w:cs="仿宋_GB2312" w:eastAsia="仿宋_GB2312"/>
          <w:sz w:val="28"/>
          <w:b/>
        </w:rPr>
        <w:t>陕西新言项目管理有限公司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陕西新言项目管理有限公司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西安大兴新区开发建设管理委员会</w:t>
      </w:r>
      <w:r>
        <w:rPr>
          <w:rFonts w:ascii="仿宋_GB2312" w:hAnsi="仿宋_GB2312" w:cs="仿宋_GB2312" w:eastAsia="仿宋_GB2312"/>
        </w:rPr>
        <w:t>委托，拟对</w:t>
      </w:r>
      <w:r>
        <w:rPr>
          <w:rFonts w:ascii="仿宋_GB2312" w:hAnsi="仿宋_GB2312" w:cs="仿宋_GB2312" w:eastAsia="仿宋_GB2312"/>
        </w:rPr>
        <w:t>西安市LH3-5-3-10号储备地块，管委会LH3-5-481-3号储备地块项目考古发掘配合服务项目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SXXY-XA-20250801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西安市LH3-5-3-10号储备地块，管委会LH3-5-481-3号储备地块项目考古发掘配合服务项目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作区域：LH3-5-481-3宗地位于陕西省西安市莲湖区丰禾路23号。依据考古勘探报告中的资料，总占地面积23354.69平方米（合35.032亩），西安市LH3-5-3-10地块位于陕西省西安市莲湖区，地块北侧为大兴九臻东区，东侧为规划路，西侧为桃园北路，南侧为陕西储备物资管理局五三三处仓库。依据考古勘探报告中的资料，总占地面积8877平方米（合13.316亩）。 工作内容：按照《中华人民共和国文物保护法》等有关法律、法规的规定和采购人的要求，配合考古发掘单位开展考古发掘工作。其中包括配合考古发掘单位开展考古发掘民工劳务工作、土方工作、支护工作及安保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采购包1（西安市LH3-5-3-10号储备地块，管委会LH3-5-481-3号储备地块项目考古发掘配合服务项目）：属于专门面向中小企业采购。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1、落实政府采购政策需满足的资格要求：落实政府采购促进中小企业发展的相关政策，本项目专门面向中小企业。</w:t>
      </w:r>
    </w:p>
    <w:p>
      <w:pPr>
        <w:pStyle w:val="null3"/>
      </w:pPr>
      <w:r>
        <w:rPr>
          <w:rFonts w:ascii="仿宋_GB2312" w:hAnsi="仿宋_GB2312" w:cs="仿宋_GB2312" w:eastAsia="仿宋_GB2312"/>
        </w:rPr>
        <w:t>2、财务状况报告：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3、供应商基本要求：供应商应是独立承担民事责任能力的法人、其他组织或自然人，法人、其他组织须提供合法有效的营业执照或事业单位法人证书等证明资料，自然人须提供身份证明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4、依法纳税证明材料：供应商须提供2024年至今已缴存的至少一个月的依法纳税证明材料，依法免税及依法不需要缴纳的应提供相关文件证明</w:t>
      </w:r>
    </w:p>
    <w:p>
      <w:pPr>
        <w:pStyle w:val="null3"/>
      </w:pPr>
      <w:r>
        <w:rPr>
          <w:rFonts w:ascii="仿宋_GB2312" w:hAnsi="仿宋_GB2312" w:cs="仿宋_GB2312" w:eastAsia="仿宋_GB2312"/>
        </w:rPr>
        <w:t>5、社会保障资金的证明材料：供应商须提供2024年至今已缴存的至少一个月的社会保障资金的证明材料，由第三方代缴的须出具委托第三方代缴合同及社会保障资金的缴纳证明材料;</w:t>
      </w:r>
    </w:p>
    <w:p>
      <w:pPr>
        <w:pStyle w:val="null3"/>
      </w:pPr>
      <w:r>
        <w:rPr>
          <w:rFonts w:ascii="仿宋_GB2312" w:hAnsi="仿宋_GB2312" w:cs="仿宋_GB2312" w:eastAsia="仿宋_GB2312"/>
        </w:rPr>
        <w:t>6、供应商须提供具有履行合同所必需的设备和专业技术能力：供应商须提供具有履行合同所必需的设备和专业技术能力的书面承诺</w:t>
      </w:r>
    </w:p>
    <w:p>
      <w:pPr>
        <w:pStyle w:val="null3"/>
      </w:pPr>
      <w:r>
        <w:rPr>
          <w:rFonts w:ascii="仿宋_GB2312" w:hAnsi="仿宋_GB2312" w:cs="仿宋_GB2312" w:eastAsia="仿宋_GB2312"/>
        </w:rPr>
        <w:t>7、三年内在经营活动中没有重大违法记录：参加本次政府采购活动前三年内在经营活动中没有重大违法记录的书面声明</w:t>
      </w:r>
    </w:p>
    <w:p>
      <w:pPr>
        <w:pStyle w:val="null3"/>
      </w:pPr>
      <w:r>
        <w:rPr>
          <w:rFonts w:ascii="仿宋_GB2312" w:hAnsi="仿宋_GB2312" w:cs="仿宋_GB2312" w:eastAsia="仿宋_GB2312"/>
        </w:rPr>
        <w:t>8、联合体：本项目不接受联合体磋商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陕西省西安市莲湖区西安市莲湖区沣惠北路123号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18629053323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陕西省西安市经济技术开发区凤城二路10号天地时代广场1幢11601室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刘林龙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19992769876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采购包1：1,786,657.26元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下浮10%计取。 2. 成交单位在领取成交通知书前，须向采购代理机构一次性支付招标代理服务费。 3. 招标代理服务费交纳信息： 户 名：陕西新言项目管理有限公司 开户行：中国工商银行股份有限公司汉中北团结支行 账 号：2606050309200253675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西安大兴新区开发建设管理委员会</w:t>
      </w:r>
      <w:r>
        <w:rPr>
          <w:rFonts w:ascii="仿宋_GB2312" w:hAnsi="仿宋_GB2312" w:cs="仿宋_GB2312" w:eastAsia="仿宋_GB2312"/>
        </w:rPr>
        <w:t>和</w:t>
      </w:r>
      <w:r>
        <w:rPr>
          <w:rFonts w:ascii="仿宋_GB2312" w:hAnsi="仿宋_GB2312" w:cs="仿宋_GB2312" w:eastAsia="仿宋_GB2312"/>
        </w:rPr>
        <w:t>陕西新言项目管理有限公司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联系人：刘林龙</w:t>
      </w:r>
    </w:p>
    <w:p>
      <w:pPr>
        <w:pStyle w:val="null3"/>
      </w:pPr>
      <w:r>
        <w:rPr>
          <w:rFonts w:ascii="仿宋_GB2312" w:hAnsi="仿宋_GB2312" w:cs="仿宋_GB2312" w:eastAsia="仿宋_GB2312"/>
        </w:rPr>
        <w:t>联系电话：19992769876</w:t>
      </w:r>
    </w:p>
    <w:p>
      <w:pPr>
        <w:pStyle w:val="null3"/>
      </w:pPr>
      <w:r>
        <w:rPr>
          <w:rFonts w:ascii="仿宋_GB2312" w:hAnsi="仿宋_GB2312" w:cs="仿宋_GB2312" w:eastAsia="仿宋_GB2312"/>
        </w:rPr>
        <w:t>地址：陕西省西安市经济技术开发区凤城二路10号天地时代广场1幢11601室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作区域：LH3-5-481-3宗地位于陕西省西安市莲湖区丰禾路23号。依据考古勘探报告中的资料，总占地面积23354.69平方米（合35.032亩），西安市LH3-5-3-10地块位于陕西省西安市莲湖区，地块北侧为大兴九臻东区，东侧为规划路，西侧为桃园北路，南侧为陕西储备物资管理局五三三处仓库。依据考古勘探报告中的资料，总占地面积8877平方米（合13.316亩）。 工作内容：按照《中华人民共和国文物保护法》等有关法律、法规的规定和采购人的要求，配合考古发掘单位开展考古发掘工作。其中包括配合考古发掘单位开展考古发掘民工劳务工作、土方工作、支护工作及安保工作。 三、技术要求（如有，一般适合于技术服务项目） 配合考古发掘单位开展考古发掘民工劳务工作、土方工作、支护工作及安保工作。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1,786,657.26</w:t>
      </w:r>
    </w:p>
    <w:p>
      <w:pPr>
        <w:pStyle w:val="null3"/>
      </w:pPr>
      <w:r>
        <w:rPr>
          <w:rFonts w:ascii="仿宋_GB2312" w:hAnsi="仿宋_GB2312" w:cs="仿宋_GB2312" w:eastAsia="仿宋_GB2312"/>
        </w:rPr>
        <w:t>采购包最高限价（元）: 1,310,113.34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西安市LH3-5-3-10号储备地块，管委会LH3-5-481-3号储备地块项目考古发掘配合服务项目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1,786,657.26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标的名称：西安市LH3-5-3-10号储备地块，管委会LH3-5-481-3号储备地块项目考古发掘配合服务项目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FF"/>
              </w:rPr>
              <w:t>服务内容：</w:t>
            </w:r>
            <w:r>
              <w:rPr>
                <w:rFonts w:ascii="仿宋_GB2312" w:hAnsi="仿宋_GB2312" w:cs="仿宋_GB2312" w:eastAsia="仿宋_GB2312"/>
                <w:sz w:val="24"/>
                <w:color w:val="0000FF"/>
              </w:rPr>
              <w:t>西安市</w:t>
            </w:r>
            <w:r>
              <w:rPr>
                <w:rFonts w:ascii="仿宋_GB2312" w:hAnsi="仿宋_GB2312" w:cs="仿宋_GB2312" w:eastAsia="仿宋_GB2312"/>
                <w:sz w:val="24"/>
                <w:color w:val="0000FF"/>
              </w:rPr>
              <w:t>LH3-5-3-10号储备地块，管委会LH3-5-481-3号储备地块项目考古发掘配合服务</w:t>
            </w:r>
            <w:r>
              <w:rPr>
                <w:rFonts w:ascii="仿宋_GB2312" w:hAnsi="仿宋_GB2312" w:cs="仿宋_GB2312" w:eastAsia="仿宋_GB2312"/>
                <w:sz w:val="24"/>
                <w:color w:val="0000FF"/>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FF"/>
              </w:rPr>
              <w:t>技术要求：</w:t>
            </w:r>
            <w:r>
              <w:rPr>
                <w:rFonts w:ascii="仿宋_GB2312" w:hAnsi="仿宋_GB2312" w:cs="仿宋_GB2312" w:eastAsia="仿宋_GB2312"/>
                <w:sz w:val="24"/>
                <w:color w:val="0000FF"/>
              </w:rPr>
              <w:t>配合考古发掘单位开展考古发掘民工劳务工作、土方工作、支护工作及安保工作。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FF"/>
              </w:rPr>
              <w:t>服务要求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（一）能够配合采购人对于项目进度要求，配备合理的技术人员和劳务作业人员，按时完成文物发掘工作并出具技术成果。</w:t>
            </w:r>
          </w:p>
          <w:p>
            <w:pPr>
              <w:pStyle w:val="null3"/>
              <w:jc w:val="both"/>
            </w:pPr>
            <w:r>
              <w:rPr>
                <w:rFonts w:ascii="仿宋_GB2312" w:hAnsi="仿宋_GB2312" w:cs="仿宋_GB2312" w:eastAsia="仿宋_GB2312"/>
                <w:sz w:val="24"/>
                <w:color w:val="0000FF"/>
              </w:rPr>
              <w:t>（二）按时参加采购人组织的项目工作相关的会议。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FF"/>
              </w:rPr>
              <w:t>进度要求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按时提交技术成果。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0000FF"/>
              </w:rPr>
              <w:t>成果交付要求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服务商应在规定的服务期限内按期完成发掘工作并提交纸质盖章版报告不少于</w:t>
            </w:r>
            <w:r>
              <w:rPr>
                <w:rFonts w:ascii="仿宋_GB2312" w:hAnsi="仿宋_GB2312" w:cs="仿宋_GB2312" w:eastAsia="仿宋_GB2312"/>
                <w:sz w:val="24"/>
                <w:color w:val="0000FF"/>
              </w:rPr>
              <w:t>6套。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0"/>
              <w:jc w:val="both"/>
            </w:pP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1）《中华人民共和国文物保护法》；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2）《陕西省文物保护条例》；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3）《西安市不可移动文物保护条例》；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4）《考古发掘管理办法》；</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5）《田野考古工作规程》；</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32"/>
                <w:b/>
              </w:rPr>
              <w:t>（一）管委会储备地</w:t>
            </w:r>
            <w:r>
              <w:rPr>
                <w:rFonts w:ascii="仿宋_GB2312" w:hAnsi="仿宋_GB2312" w:cs="仿宋_GB2312" w:eastAsia="仿宋_GB2312"/>
                <w:sz w:val="32"/>
                <w:b/>
              </w:rPr>
              <w:t>LH3-5-481-3地块</w:t>
            </w:r>
          </w:p>
          <w:p>
            <w:pPr>
              <w:pStyle w:val="null3"/>
              <w:ind w:firstLine="640"/>
              <w:jc w:val="left"/>
            </w:pPr>
            <w:r>
              <w:rPr>
                <w:rFonts w:ascii="仿宋_GB2312" w:hAnsi="仿宋_GB2312" w:cs="仿宋_GB2312" w:eastAsia="仿宋_GB2312"/>
                <w:sz w:val="32"/>
              </w:rPr>
              <w:t>五三三处项目</w:t>
            </w:r>
            <w:r>
              <w:rPr>
                <w:rFonts w:ascii="仿宋_GB2312" w:hAnsi="仿宋_GB2312" w:cs="仿宋_GB2312" w:eastAsia="仿宋_GB2312"/>
                <w:sz w:val="32"/>
              </w:rPr>
              <w:t>LH3-5-481-3宗地位于陕西省西安市莲湖区丰禾路23号</w:t>
            </w:r>
            <w:r>
              <w:rPr>
                <w:rFonts w:ascii="仿宋_GB2312" w:hAnsi="仿宋_GB2312" w:cs="仿宋_GB2312" w:eastAsia="仿宋_GB2312"/>
                <w:sz w:val="32"/>
              </w:rPr>
              <w:t>。依据考古勘探报告中的资料，</w:t>
            </w:r>
            <w:r>
              <w:rPr>
                <w:rFonts w:ascii="仿宋_GB2312" w:hAnsi="仿宋_GB2312" w:cs="仿宋_GB2312" w:eastAsia="仿宋_GB2312"/>
                <w:sz w:val="32"/>
              </w:rPr>
              <w:t>总占地面积</w:t>
            </w:r>
            <w:r>
              <w:rPr>
                <w:rFonts w:ascii="仿宋_GB2312" w:hAnsi="仿宋_GB2312" w:cs="仿宋_GB2312" w:eastAsia="仿宋_GB2312"/>
                <w:sz w:val="32"/>
              </w:rPr>
              <w:t>23354.69平方米（合35.032亩），</w:t>
            </w:r>
            <w:r>
              <w:rPr>
                <w:rFonts w:ascii="仿宋_GB2312" w:hAnsi="仿宋_GB2312" w:cs="仿宋_GB2312" w:eastAsia="仿宋_GB2312"/>
                <w:sz w:val="32"/>
              </w:rPr>
              <w:t>勘探完成率为</w:t>
            </w:r>
            <w:r>
              <w:rPr>
                <w:rFonts w:ascii="仿宋_GB2312" w:hAnsi="仿宋_GB2312" w:cs="仿宋_GB2312" w:eastAsia="仿宋_GB2312"/>
                <w:sz w:val="32"/>
              </w:rPr>
              <w:t>51.34%%。经本次考古勘探，共发现各类遗迹102处，其中，古文化遗存50处:墓葬1处（M1）、灰坑41处（H1～H41）、窑3座（Y1～Y3）、沟1条（G1）、井4眼（J13～J16）。近现代遗迹52处：井12眼（J1～J12）、扰土坑40处（K1～K40）。</w:t>
            </w:r>
          </w:p>
          <w:p>
            <w:pPr>
              <w:pStyle w:val="null3"/>
              <w:jc w:val="both"/>
            </w:pPr>
            <w:r>
              <w:rPr>
                <w:rFonts w:ascii="仿宋_GB2312" w:hAnsi="仿宋_GB2312" w:cs="仿宋_GB2312" w:eastAsia="仿宋_GB2312"/>
                <w:sz w:val="32"/>
                <w:b/>
              </w:rPr>
              <w:t>（二）西安市</w:t>
            </w:r>
            <w:r>
              <w:rPr>
                <w:rFonts w:ascii="仿宋_GB2312" w:hAnsi="仿宋_GB2312" w:cs="仿宋_GB2312" w:eastAsia="仿宋_GB2312"/>
                <w:sz w:val="32"/>
                <w:b/>
              </w:rPr>
              <w:t>LH3-5-3-10地块</w:t>
            </w:r>
          </w:p>
          <w:p>
            <w:pPr>
              <w:pStyle w:val="null3"/>
              <w:ind w:firstLine="640"/>
              <w:jc w:val="left"/>
            </w:pPr>
            <w:r>
              <w:rPr>
                <w:rFonts w:ascii="仿宋_GB2312" w:hAnsi="仿宋_GB2312" w:cs="仿宋_GB2312" w:eastAsia="仿宋_GB2312"/>
                <w:sz w:val="32"/>
              </w:rPr>
              <w:t>西安市</w:t>
            </w:r>
            <w:r>
              <w:rPr>
                <w:rFonts w:ascii="仿宋_GB2312" w:hAnsi="仿宋_GB2312" w:cs="仿宋_GB2312" w:eastAsia="仿宋_GB2312"/>
                <w:sz w:val="32"/>
              </w:rPr>
              <w:t>LH3-5-3-10地块位于陕西省西安市莲湖区，地块北侧为大兴九臻东区，东侧为规划路，西侧为桃园北路，南侧为陕西储备物资管理局五三三处仓库。</w:t>
            </w:r>
            <w:r>
              <w:rPr>
                <w:rFonts w:ascii="仿宋_GB2312" w:hAnsi="仿宋_GB2312" w:cs="仿宋_GB2312" w:eastAsia="仿宋_GB2312"/>
                <w:sz w:val="32"/>
              </w:rPr>
              <w:t>依据考古勘探报告中的资料，</w:t>
            </w:r>
            <w:r>
              <w:rPr>
                <w:rFonts w:ascii="仿宋_GB2312" w:hAnsi="仿宋_GB2312" w:cs="仿宋_GB2312" w:eastAsia="仿宋_GB2312"/>
                <w:sz w:val="32"/>
              </w:rPr>
              <w:t>总占地面积</w:t>
            </w:r>
            <w:r>
              <w:rPr>
                <w:rFonts w:ascii="仿宋_GB2312" w:hAnsi="仿宋_GB2312" w:cs="仿宋_GB2312" w:eastAsia="仿宋_GB2312"/>
                <w:sz w:val="32"/>
              </w:rPr>
              <w:t>13.316亩（合8877平方米），</w:t>
            </w:r>
            <w:r>
              <w:rPr>
                <w:rFonts w:ascii="仿宋_GB2312" w:hAnsi="仿宋_GB2312" w:cs="仿宋_GB2312" w:eastAsia="仿宋_GB2312"/>
                <w:sz w:val="32"/>
              </w:rPr>
              <w:t>勘探完成率为</w:t>
            </w:r>
            <w:r>
              <w:rPr>
                <w:rFonts w:ascii="仿宋_GB2312" w:hAnsi="仿宋_GB2312" w:cs="仿宋_GB2312" w:eastAsia="仿宋_GB2312"/>
                <w:sz w:val="32"/>
              </w:rPr>
              <w:t>100%。根据文勘 考古勘探报告，发现遗迹22处，其中墓葬1座、灰坑20座、沟 一条，具备考古发掘条件，现需要开展该地块文勘考古发掘采购工作。</w:t>
            </w:r>
          </w:p>
          <w:p>
            <w:pPr>
              <w:pStyle w:val="null3"/>
              <w:ind w:firstLine="280"/>
              <w:jc w:val="both"/>
            </w:pPr>
            <w:r>
              <w:rPr>
                <w:rFonts w:ascii="仿宋_GB2312" w:hAnsi="仿宋_GB2312" w:cs="仿宋_GB2312" w:eastAsia="仿宋_GB2312"/>
                <w:sz w:val="28"/>
                <w:color w:val="000000"/>
              </w:rPr>
              <w:t>LH3-5-481-3宗地：</w:t>
            </w:r>
          </w:p>
          <w:tbl>
            <w:tblPr>
              <w:tblInd w:type="dxa" w:w="90"/>
              <w:tblBorders>
                <w:top w:val="none" w:color="000000" w:sz="4"/>
                <w:left w:val="none" w:color="000000" w:sz="4"/>
                <w:bottom w:val="none" w:color="000000" w:sz="4"/>
                <w:right w:val="none" w:color="000000" w:sz="4"/>
                <w:insideH w:val="none"/>
                <w:insideV w:val="none"/>
              </w:tblBorders>
            </w:tblPr>
            <w:tblGrid>
              <w:gridCol w:w="188"/>
              <w:gridCol w:w="246"/>
              <w:gridCol w:w="212"/>
              <w:gridCol w:w="212"/>
              <w:gridCol w:w="240"/>
              <w:gridCol w:w="206"/>
              <w:gridCol w:w="246"/>
              <w:gridCol w:w="246"/>
              <w:gridCol w:w="280"/>
              <w:gridCol w:w="268"/>
              <w:gridCol w:w="206"/>
            </w:tblGrid>
            <w:tr>
              <w:tc>
                <w:tcPr>
                  <w:tcW w:type="dxa" w:w="130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墓道</w:t>
                  </w:r>
                  <w:r>
                    <w:rPr>
                      <w:rFonts w:ascii="仿宋_GB2312" w:hAnsi="仿宋_GB2312" w:cs="仿宋_GB2312" w:eastAsia="仿宋_GB2312"/>
                      <w:sz w:val="24"/>
                    </w:rPr>
                    <w:t xml:space="preserve">                     </w:t>
                  </w:r>
                  <w:r>
                    <w:br/>
                  </w:r>
                  <w:r>
                    <w:rPr>
                      <w:rFonts w:ascii="仿宋_GB2312" w:hAnsi="仿宋_GB2312" w:cs="仿宋_GB2312" w:eastAsia="仿宋_GB2312"/>
                      <w:sz w:val="24"/>
                    </w:rPr>
                    <w:t>斜坡墓道</w:t>
                  </w:r>
                </w:p>
              </w:tc>
              <w:tc>
                <w:tcPr>
                  <w:tcW w:type="dxa" w:w="1246"/>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墓室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面积</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深度系数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面积</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深度系数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33.80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H41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J13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J14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J15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J16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950.00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bl>
          <w:p>
            <w:pPr>
              <w:pStyle w:val="null3"/>
              <w:ind w:firstLine="210"/>
              <w:jc w:val="both"/>
            </w:pPr>
            <w:r>
              <w:rPr>
                <w:rFonts w:ascii="仿宋_GB2312" w:hAnsi="仿宋_GB2312" w:cs="仿宋_GB2312" w:eastAsia="仿宋_GB2312"/>
                <w:sz w:val="28"/>
              </w:rPr>
              <w:t>LH3-5-3-10</w:t>
            </w:r>
            <w:r>
              <w:rPr>
                <w:rFonts w:ascii="仿宋_GB2312" w:hAnsi="仿宋_GB2312" w:cs="仿宋_GB2312" w:eastAsia="仿宋_GB2312"/>
                <w:sz w:val="28"/>
              </w:rPr>
              <w:t>：</w:t>
            </w:r>
          </w:p>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98"/>
              <w:gridCol w:w="201"/>
              <w:gridCol w:w="204"/>
              <w:gridCol w:w="201"/>
              <w:gridCol w:w="244"/>
              <w:gridCol w:w="201"/>
              <w:gridCol w:w="241"/>
              <w:gridCol w:w="254"/>
              <w:gridCol w:w="269"/>
              <w:gridCol w:w="337"/>
              <w:gridCol w:w="201"/>
            </w:tblGrid>
            <w:tr>
              <w:tc>
                <w:tcPr>
                  <w:tcW w:type="dxa" w:w="124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墓道</w:t>
                  </w:r>
                  <w:r>
                    <w:rPr>
                      <w:rFonts w:ascii="仿宋_GB2312" w:hAnsi="仿宋_GB2312" w:cs="仿宋_GB2312" w:eastAsia="仿宋_GB2312"/>
                      <w:sz w:val="24"/>
                    </w:rPr>
                    <w:t xml:space="preserve">                     </w:t>
                  </w:r>
                  <w:r>
                    <w:br/>
                  </w:r>
                  <w:r>
                    <w:rPr>
                      <w:rFonts w:ascii="仿宋_GB2312" w:hAnsi="仿宋_GB2312" w:cs="仿宋_GB2312" w:eastAsia="仿宋_GB2312"/>
                      <w:sz w:val="24"/>
                    </w:rPr>
                    <w:t>斜坡墓道</w:t>
                  </w:r>
                </w:p>
              </w:tc>
              <w:tc>
                <w:tcPr>
                  <w:tcW w:type="dxa" w:w="130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墓室</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面积</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深度系数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面积</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深度系数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1178.00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r>
          </w:tbl>
          <w:p>
            <w:pPr>
              <w:pStyle w:val="null3"/>
              <w:ind w:firstLine="2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后续费用待完成所有文物发掘工作并出具报告后，经甲方验收确认成果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专门面向中小企业采购；2.本项目合同包1采购标的所属行业为：其他为列明业3.为保障政府采购电子化交易平台项目实施，供应商需要在线提交所有通过电子化交易平台实施的政府采购项目的响应文件，同时，线下提交响应文件正本壹套、副本贰套、电子版壹套（Word版和PDF版，U盘一套标明供应商名称和包号），正本、副本应胶装、密封（密封封面上标明供应商名称和包号）、签字盖章齐全。若电子响应文件与纸质响应文件不一致的，以纸质响应文件为准；若正本和副本不符，以正本为准。线下递交文件时间：详见本项目竞争性磋商公告文件截止时间；线下递交文件地点：陕西省西安市经济技术开发区凤城二路10号天地时代广场1幢11601室。（于磋商截止时间前递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落实政府采购促进中小企业发展的相关政策，本项目专门面向中小企业。</w:t>
            </w:r>
          </w:p>
        </w:tc>
        <w:tc>
          <w:tcPr>
            <w:tcW w:type="dxa" w:w="1661"/>
          </w:tcPr>
          <w:p>
            <w:pPr>
              <w:pStyle w:val="null3"/>
            </w:pPr>
            <w:r>
              <w:rPr>
                <w:rFonts w:ascii="仿宋_GB2312" w:hAnsi="仿宋_GB2312" w:cs="仿宋_GB2312" w:eastAsia="仿宋_GB2312"/>
              </w:rPr>
              <w:t>服务内容及服务邀请应答表 中小企业声明函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供应商基本要求</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依法纳税证明材料</w:t>
            </w:r>
          </w:p>
        </w:tc>
        <w:tc>
          <w:tcPr>
            <w:tcW w:type="dxa" w:w="3322"/>
          </w:tcPr>
          <w:p>
            <w:pPr>
              <w:pStyle w:val="null3"/>
            </w:pPr>
            <w:r>
              <w:rPr>
                <w:rFonts w:ascii="仿宋_GB2312" w:hAnsi="仿宋_GB2312" w:cs="仿宋_GB2312" w:eastAsia="仿宋_GB2312"/>
              </w:rPr>
              <w:t>供应商须提供2024年至今已缴存的至少一个月的依法纳税证明材料，依法免税及依法不需要缴纳的应提供相关文件证明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社会保障资金的证明材料</w:t>
            </w:r>
          </w:p>
        </w:tc>
        <w:tc>
          <w:tcPr>
            <w:tcW w:type="dxa" w:w="3322"/>
          </w:tcPr>
          <w:p>
            <w:pPr>
              <w:pStyle w:val="null3"/>
            </w:pPr>
            <w:r>
              <w:rPr>
                <w:rFonts w:ascii="仿宋_GB2312" w:hAnsi="仿宋_GB2312" w:cs="仿宋_GB2312" w:eastAsia="仿宋_GB2312"/>
              </w:rPr>
              <w:t>供应商须提供2024年至今已缴存的至少一个月的社会保障资金的证明材料，由第三方代缴的须出具委托第三方代缴合同及社会保障资金的缴纳证明材料;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供应商须提供具有履行合同所必需的设备和专业技术能力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供应商对本项目的理解程度</w:t>
            </w:r>
          </w:p>
        </w:tc>
        <w:tc>
          <w:tcPr>
            <w:tcW w:type="dxa" w:w="2492"/>
          </w:tcPr>
          <w:p>
            <w:pPr>
              <w:pStyle w:val="null3"/>
            </w:pPr>
            <w:r>
              <w:rPr>
                <w:rFonts w:ascii="仿宋_GB2312" w:hAnsi="仿宋_GB2312" w:cs="仿宋_GB2312" w:eastAsia="仿宋_GB2312"/>
              </w:rPr>
              <w:t>根据供应商对本项目的理解程度，从背景、现状、上位规划传导等方面进行描述，全面深入了解项目情况，完全满足磋商文件要求计6.1-10分；比较了解项目情况，基本满足磋商文件要求计3.1-6分；描述内容模糊混乱的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磋商文件的要求，对供应商的实施方案的专业性、技术指标的合理性和可操作性进行赋分，能在完全理解项目要求的基础上具有完善的实施方案，且专业性、科学性高，操作性强的计12.1- 15分；方案的编制完整、可操作性较强，易懂计8.1-12分；基本满足项目要求，方案较详细、合理计4.1-8分；方案简单计1-4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根据磋商文件的要求，对供应商的组织架构的合理性、完整性和体系性进行赋分，能在完全理解项目要求的基础上具有细致的组织构架，且完整性、体系性高的计6.1-8 分；基本满足项目要求，组织构架较详细、合理计3.1-6 分；组织构架简单计1-3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对本项目制定科学、合理的工作进度计划，且具有质量保障、进度控制等技术组织措施，详细合理，完全满足磋商文件要求计6.1-8分，措施较合理，基本满足磋商文件要求计3.1-6分，笼统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针对本项目的重点难点分析及合理化建议，根据分析、建议及可实施性，详细合理，完全满足磋商文件要求计7.1-10分，建议较合理，基本满足磋商文件要求计4.1-7分，笼统简单计1-4分，未提供不计分。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完善的管理体系，项目规划合理，制定有效的管理制度，配备相应的辅助工具，详细合理，完全满足磋商文件要求计6.1-9分，规划较合理，基本满足磋商文件要求计3.1-6分，笼统简单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团队人员及管理方案</w:t>
            </w:r>
          </w:p>
        </w:tc>
        <w:tc>
          <w:tcPr>
            <w:tcW w:type="dxa" w:w="2492"/>
          </w:tcPr>
          <w:p>
            <w:pPr>
              <w:pStyle w:val="null3"/>
            </w:pPr>
            <w:r>
              <w:rPr>
                <w:rFonts w:ascii="仿宋_GB2312" w:hAnsi="仿宋_GB2312" w:cs="仿宋_GB2312" w:eastAsia="仿宋_GB2312"/>
              </w:rPr>
              <w:t>①人员配备与管理方案： 所配人员满足要求，人员结构合理、责任明确，从业经历丰富、人员组织安排科学，计4.1-8分。 所配人员基本满足要求，人员结构一般、从业经历一般、人员组织安排一般；计1-4分。 ②项目负责人（直接负责报告的主管人员）具有相关专业中级职称计1分，相关专业高级职称计2分。 未提供不计分。 （需提供相关证书复印件并加盖公章）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实施及协调过程有明确承诺，并承诺积极按照采购人提出的要求或意见改进工作，且针对本项目作出售后服务保障措施能提供实质性承诺（应包含不能完全履行承诺时愿意接受相关处罚的承诺），详细合理可得3.1-6分，条理模糊、笼统、实质性体现一般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①保密制度健全、措施具体详细可行，得3.1-6分； ②保密制度基本健全、措施基本可行，得1-3分，未提供不计分。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供应商提供自2021年01月至今已完成的类似项目业绩（以合同签订时间或中标通知书时间为准），每提供一个业绩得4分，满分8分。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