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版本号：SXHY-2025-03620250825001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莲湖区土门街道食堂承包项目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SXHY-2025-036</w:t>
      </w:r>
      <w:r>
        <w:br/>
      </w:r>
      <w:r>
        <w:br/>
      </w:r>
      <w:r>
        <w:br/>
      </w:r>
    </w:p>
    <w:p>
      <w:pPr>
        <w:pStyle w:val="null3"/>
        <w:jc w:val="center"/>
        <w:outlineLvl w:val="2"/>
      </w:pPr>
      <w:r>
        <w:rPr>
          <w:rFonts w:ascii="仿宋_GB2312" w:hAnsi="仿宋_GB2312" w:cs="仿宋_GB2312" w:eastAsia="仿宋_GB2312"/>
          <w:sz w:val="28"/>
          <w:b/>
        </w:rPr>
        <w:t>西安市莲湖区土门街道办事处</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西安市莲湖区土门街道办事处</w:t>
      </w:r>
      <w:r>
        <w:rPr>
          <w:rFonts w:ascii="仿宋_GB2312" w:hAnsi="仿宋_GB2312" w:cs="仿宋_GB2312" w:eastAsia="仿宋_GB2312"/>
        </w:rPr>
        <w:t>委托，拟对</w:t>
      </w:r>
      <w:r>
        <w:rPr>
          <w:rFonts w:ascii="仿宋_GB2312" w:hAnsi="仿宋_GB2312" w:cs="仿宋_GB2312" w:eastAsia="仿宋_GB2312"/>
        </w:rPr>
        <w:t>莲湖区土门街道食堂承包项目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SXHY-2025-036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莲湖区土门街道食堂承包项目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土门街道食堂位于街道办公楼四楼，面积约300平方米，单位就餐人数约100人。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采购包1（莲湖区土门街道食堂承包项目）：属于专门面向中小企业采购。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3、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注：各供应商财务状况审计报告需赋加二维码，并附财务状况审计报告扫码截图）</w:t>
      </w:r>
    </w:p>
    <w:p>
      <w:pPr>
        <w:pStyle w:val="null3"/>
      </w:pPr>
      <w:r>
        <w:rPr>
          <w:rFonts w:ascii="仿宋_GB2312" w:hAnsi="仿宋_GB2312" w:cs="仿宋_GB2312" w:eastAsia="仿宋_GB2312"/>
        </w:rPr>
        <w:t>4、税收缴纳证明：提供投标截止日近半年内任意一月的纳税证明或完税证明（任意税种），依法免税的单位应提供相关证明材料；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5、社会保障资金缴纳证明：提供投标截止日近半年内任意一月的社会保障资金缴存单据或社保机构开具的社会保险参保缴费情况证明，依法不需要缴纳社会保障资金的单位应提供相关证明材料；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6、设备和专业技术能力提供声明：提供具有履行合同所必需的设备和专业技术能力的承诺；</w:t>
      </w:r>
    </w:p>
    <w:p>
      <w:pPr>
        <w:pStyle w:val="null3"/>
      </w:pPr>
      <w:r>
        <w:rPr>
          <w:rFonts w:ascii="仿宋_GB2312" w:hAnsi="仿宋_GB2312" w:cs="仿宋_GB2312" w:eastAsia="仿宋_GB2312"/>
        </w:rPr>
        <w:t>7、无重大违法记录声明：参加政府采购活动前三年内，在经营活动中没有重大违法记录的书面声明；</w:t>
      </w:r>
    </w:p>
    <w:p>
      <w:pPr>
        <w:pStyle w:val="null3"/>
      </w:pPr>
      <w:r>
        <w:rPr>
          <w:rFonts w:ascii="仿宋_GB2312" w:hAnsi="仿宋_GB2312" w:cs="仿宋_GB2312" w:eastAsia="仿宋_GB2312"/>
        </w:rPr>
        <w:t>8、《食品经营许可证》：提供合法有效的《食品经营许可证》；</w:t>
      </w:r>
    </w:p>
    <w:p>
      <w:pPr>
        <w:pStyle w:val="null3"/>
      </w:pPr>
      <w:r>
        <w:rPr>
          <w:rFonts w:ascii="仿宋_GB2312" w:hAnsi="仿宋_GB2312" w:cs="仿宋_GB2312" w:eastAsia="仿宋_GB2312"/>
        </w:rPr>
        <w:t>9、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10、不接受联合体：本项目不接受联合体磋商。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西安市莲湖区土门街道办事处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大庆路与团结北路交叉口东南角（团结北路4号）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郭行健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13359295007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029-89553153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此服务费应计入磋商报价中，但不需要单独开列。 2.采购代理服务费收取： 户 名：陕西浩优项目管理有限公司 开户银行：中国建设银行股份有限公司西安曲江支行 账 号：6105 0191 0004 0000 4479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西安市莲湖区土门街道办事处</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西安市莲湖区土门街道办事处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西安市莲湖区土门街道办事处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联系电话：029-89553153</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土门街道食堂位于街道办公楼四楼，面积约300平方米，单位就餐人数约100人。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莲湖区土门街道食堂承包项目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标的名称：莲湖区土门街道食堂承包项目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土门街道食堂位于街道办公楼四楼，面积约</w:t>
            </w:r>
            <w:r>
              <w:rPr>
                <w:rFonts w:ascii="仿宋_GB2312" w:hAnsi="仿宋_GB2312" w:cs="仿宋_GB2312" w:eastAsia="仿宋_GB2312"/>
                <w:sz w:val="24"/>
              </w:rPr>
              <w:t>300平方米，单位就餐人数约100人。</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承担街道职工</w:t>
            </w:r>
            <w:r>
              <w:rPr>
                <w:rFonts w:ascii="仿宋_GB2312" w:hAnsi="仿宋_GB2312" w:cs="仿宋_GB2312" w:eastAsia="仿宋_GB2312"/>
                <w:sz w:val="24"/>
              </w:rPr>
              <w:t>100余人工作日内的早餐及午餐，后厨人员应严格落实资金到人，所有工作人员需持三甲医院体检报告及健康证上岗。倡导绿色健康饮食，餐品制作过程均按国家食品安全相关规定进行。</w:t>
            </w:r>
          </w:p>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 按时供餐:承包方需保证工作日内，早8:10-8:50供应早餐；午12:00-13:00供应午餐。</w:t>
            </w:r>
          </w:p>
          <w:p>
            <w:pPr>
              <w:pStyle w:val="null3"/>
              <w:ind w:firstLine="480"/>
              <w:jc w:val="both"/>
            </w:pPr>
            <w:r>
              <w:rPr>
                <w:rFonts w:ascii="仿宋_GB2312" w:hAnsi="仿宋_GB2312" w:cs="仿宋_GB2312" w:eastAsia="仿宋_GB2312"/>
                <w:sz w:val="24"/>
              </w:rPr>
              <w:t>(2) 菜单制定：承包方需每周四之前向土门街道办上报下周菜单，经街道办确定后自行采购食材进行加工。</w:t>
            </w:r>
          </w:p>
          <w:p>
            <w:pPr>
              <w:pStyle w:val="null3"/>
              <w:ind w:firstLine="480"/>
              <w:jc w:val="both"/>
            </w:pPr>
            <w:r>
              <w:rPr>
                <w:rFonts w:ascii="仿宋_GB2312" w:hAnsi="仿宋_GB2312" w:cs="仿宋_GB2312" w:eastAsia="仿宋_GB2312"/>
                <w:sz w:val="24"/>
              </w:rPr>
              <w:t>(3)环境卫生：每天下班后，承包方应主动打扫食堂卫生，及时清理厨余垃圾。</w:t>
            </w:r>
          </w:p>
          <w:p>
            <w:pPr>
              <w:pStyle w:val="null3"/>
              <w:ind w:firstLine="480"/>
              <w:jc w:val="both"/>
            </w:pPr>
            <w:r>
              <w:rPr>
                <w:rFonts w:ascii="仿宋_GB2312" w:hAnsi="仿宋_GB2312" w:cs="仿宋_GB2312" w:eastAsia="仿宋_GB2312"/>
                <w:sz w:val="24"/>
              </w:rPr>
              <w:t>(4)其他问题：承包方应按照街道办要求，在特殊时期或特殊情况下无条件为街道办提供相应餐食。</w:t>
            </w:r>
          </w:p>
          <w:p>
            <w:pPr>
              <w:pStyle w:val="null3"/>
              <w:jc w:val="both"/>
            </w:pPr>
            <w:r>
              <w:rPr>
                <w:rFonts w:ascii="仿宋_GB2312" w:hAnsi="仿宋_GB2312" w:cs="仿宋_GB2312" w:eastAsia="仿宋_GB2312"/>
                <w:sz w:val="24"/>
                <w:b/>
              </w:rPr>
              <w:t>四、商务要求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自合同签订之日起一年。</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1.费用按月结算。</w:t>
            </w:r>
          </w:p>
          <w:p>
            <w:pPr>
              <w:pStyle w:val="null3"/>
              <w:ind w:firstLine="480"/>
              <w:jc w:val="both"/>
            </w:pPr>
            <w:r>
              <w:rPr>
                <w:rFonts w:ascii="仿宋_GB2312" w:hAnsi="仿宋_GB2312" w:cs="仿宋_GB2312" w:eastAsia="仿宋_GB2312"/>
                <w:sz w:val="24"/>
              </w:rPr>
              <w:t>2.如在合作中乙方有违约情况，甲方可随时终止合同。</w:t>
            </w:r>
          </w:p>
          <w:p>
            <w:pPr>
              <w:pStyle w:val="null3"/>
              <w:jc w:val="both"/>
            </w:pPr>
            <w:r>
              <w:rPr>
                <w:rFonts w:ascii="仿宋_GB2312" w:hAnsi="仿宋_GB2312" w:cs="仿宋_GB2312" w:eastAsia="仿宋_GB2312"/>
                <w:sz w:val="24"/>
                <w:b/>
              </w:rPr>
              <w:t>五、其他</w:t>
            </w:r>
          </w:p>
          <w:p>
            <w:pPr>
              <w:pStyle w:val="null3"/>
              <w:ind w:firstLine="480"/>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近三年内有类似项目业绩。</w:t>
            </w:r>
          </w:p>
          <w:p>
            <w:pPr>
              <w:pStyle w:val="null3"/>
              <w:ind w:firstLine="480"/>
              <w:jc w:val="both"/>
            </w:pPr>
            <w:r>
              <w:rPr>
                <w:rFonts w:ascii="仿宋_GB2312" w:hAnsi="仿宋_GB2312" w:cs="仿宋_GB2312" w:eastAsia="仿宋_GB2312"/>
                <w:sz w:val="24"/>
              </w:rPr>
              <w:t>（二）违约责任</w:t>
            </w:r>
          </w:p>
          <w:p>
            <w:pPr>
              <w:pStyle w:val="null3"/>
              <w:jc w:val="both"/>
            </w:pPr>
            <w:r>
              <w:rPr>
                <w:rFonts w:ascii="仿宋_GB2312" w:hAnsi="仿宋_GB2312" w:cs="仿宋_GB2312" w:eastAsia="仿宋_GB2312"/>
                <w:sz w:val="24"/>
              </w:rPr>
              <w:t xml:space="preserve">    以合同为准。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详见磋商文件相关内容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按月支付，乙方需提前向甲方开具等额发票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1、服务标准：符合国家及行业质量合格标准，并满足采购人本项目服务需求。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提供投标截止日近半年内任意一月的纳税证明或完税证明（任意税种），依法免税的单位应提供相关证明材料；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设备和专业技术能力提供声明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提供合法有效的《食品经营许可证》；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投标文件上法定代表人或其授权代表人的签字 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磋商响应文件格式、语言、计量单位、报价货币</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组织计划和人员构成</w:t>
            </w:r>
          </w:p>
        </w:tc>
        <w:tc>
          <w:tcPr>
            <w:tcW w:type="dxa" w:w="2492"/>
          </w:tcPr>
          <w:p>
            <w:pPr>
              <w:pStyle w:val="null3"/>
            </w:pPr>
            <w:r>
              <w:rPr>
                <w:rFonts w:ascii="仿宋_GB2312" w:hAnsi="仿宋_GB2312" w:cs="仿宋_GB2312" w:eastAsia="仿宋_GB2312"/>
              </w:rPr>
              <w:t>评审小组根据供应商针对本项目特点、组织计划、考核细则、项目组成人员进行综合赋分，组织计划合理、结构清晰，考核细则明确详细，项目组成人员职责任务明确、人员数量和人员专业结构配备合理，完全满足本项目服务要求的得(6-12]；组织计划较合理，考核细则完成项目组成人员职责分工安排较清晰合理、人员数量和专业结构配备较合理，基本满足磋商文件要求的得[0-6]分；注：项目组成人员须具有区级或市级卫生防疫中心发出的有效健康证等相关资格证（以加盖供应商公章的复印件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供餐方案和菜品种类</w:t>
            </w:r>
          </w:p>
        </w:tc>
        <w:tc>
          <w:tcPr>
            <w:tcW w:type="dxa" w:w="2492"/>
          </w:tcPr>
          <w:p>
            <w:pPr>
              <w:pStyle w:val="null3"/>
            </w:pPr>
            <w:r>
              <w:rPr>
                <w:rFonts w:ascii="仿宋_GB2312" w:hAnsi="仿宋_GB2312" w:cs="仿宋_GB2312" w:eastAsia="仿宋_GB2312"/>
              </w:rPr>
              <w:t>评审小组根据供应商针对本项目的供餐方案的合理性、可行性以及菜品的种类、颜色搭配、营养搭配等进行综合比较，合理、突出、详细得(8-12]分；较合理得(4-8]分；不详细，对响应本项目有潜在风险得[0-4]分。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食品质量安全的保证措施</w:t>
            </w:r>
          </w:p>
        </w:tc>
        <w:tc>
          <w:tcPr>
            <w:tcW w:type="dxa" w:w="2492"/>
          </w:tcPr>
          <w:p>
            <w:pPr>
              <w:pStyle w:val="null3"/>
            </w:pPr>
            <w:r>
              <w:rPr>
                <w:rFonts w:ascii="仿宋_GB2312" w:hAnsi="仿宋_GB2312" w:cs="仿宋_GB2312" w:eastAsia="仿宋_GB2312"/>
              </w:rPr>
              <w:t>评审小组根据供应商针对食品质量、食品安全与卫生、安全执行标准、检验检查、日常维护措施和出现事故的处理方案及责任范围等相关内容进行综合比较，实施方案内容科学合理，保障措施制度健全完整的得（8-12]分；实施方案内容基本合理，保障措施制度基本健全得（4-8]分；实施方案和内容有所欠缺，保障措施制度一般，可行性差，需要修改后满足采购人要求的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特色化服务方案及服务承诺</w:t>
            </w:r>
          </w:p>
        </w:tc>
        <w:tc>
          <w:tcPr>
            <w:tcW w:type="dxa" w:w="2492"/>
          </w:tcPr>
          <w:p>
            <w:pPr>
              <w:pStyle w:val="null3"/>
            </w:pPr>
            <w:r>
              <w:rPr>
                <w:rFonts w:ascii="仿宋_GB2312" w:hAnsi="仿宋_GB2312" w:cs="仿宋_GB2312" w:eastAsia="仿宋_GB2312"/>
              </w:rPr>
              <w:t>评审小组根据供应商针对本项目的服务方案以及项目实施过程中针对本项目的可行性服务方案进行比较，合理、突出、详细得(6-9]分；基本合理、突出、详细得(3-6]分；不详细，对响应本项目有潜在风险得[0-3]分。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评审小组根据供应商提供的管理方案进行赋分：具有完善的管理方案及合理、科学、可行的(6-9]分;具有完善的管理方案及基本合理、科学、可行的(3-6]分;管理方案不完善及合理、科学、可行较差的[0-3]分。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原材料验收方案</w:t>
            </w:r>
          </w:p>
        </w:tc>
        <w:tc>
          <w:tcPr>
            <w:tcW w:type="dxa" w:w="2492"/>
          </w:tcPr>
          <w:p>
            <w:pPr>
              <w:pStyle w:val="null3"/>
            </w:pPr>
            <w:r>
              <w:rPr>
                <w:rFonts w:ascii="仿宋_GB2312" w:hAnsi="仿宋_GB2312" w:cs="仿宋_GB2312" w:eastAsia="仿宋_GB2312"/>
              </w:rPr>
              <w:t>评审小组根据供应商针对原材料的安全性、数量、质量把关提供的验收方案进行综合比较，合理、突出 、详细得(6-9]分；基本合理、突出、详细得(3-6]分；不详细，对响应本项目有潜在风险得[0-3]分。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w:t>
            </w:r>
          </w:p>
        </w:tc>
        <w:tc>
          <w:tcPr>
            <w:tcW w:type="dxa" w:w="2492"/>
          </w:tcPr>
          <w:p>
            <w:pPr>
              <w:pStyle w:val="null3"/>
            </w:pPr>
            <w:r>
              <w:rPr>
                <w:rFonts w:ascii="仿宋_GB2312" w:hAnsi="仿宋_GB2312" w:cs="仿宋_GB2312" w:eastAsia="仿宋_GB2312"/>
              </w:rPr>
              <w:t>评审小组根据供应商针对本项目所提供的厨具、餐具卫生、餐厅环境卫生、食品卫生及服务人员个人卫生等方面提供的管理方案及相关内容进行综合赋分，科学、合理的完全满足本项目要求的得（3-6]分；管理方案和内容基本合理，满足本项目要求的得[0-3]。</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垃圾分类及清运</w:t>
            </w:r>
          </w:p>
        </w:tc>
        <w:tc>
          <w:tcPr>
            <w:tcW w:type="dxa" w:w="2492"/>
          </w:tcPr>
          <w:p>
            <w:pPr>
              <w:pStyle w:val="null3"/>
            </w:pPr>
            <w:r>
              <w:rPr>
                <w:rFonts w:ascii="仿宋_GB2312" w:hAnsi="仿宋_GB2312" w:cs="仿宋_GB2312" w:eastAsia="仿宋_GB2312"/>
              </w:rPr>
              <w:t>评审小组根据供应商提供的详实的垃圾分类及清运方案，能够按照采购人及相关垃圾分类的规定进行垃圾分类工作，合理、突出、详细得(3-6]分；基本合理，对响应本项目有潜在风险得[0-3]分。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评审小组根据供应商提供的应急突发事件处理措施进行赋分：应急和突发事件的处理措施方案全面、科学、合理、可行得（3-6]分；应急和突发事件的处理措施方案基本全面、合理、可行的[0-3]分。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供应商须提供2022年8月1日至响应文件递交截止日以来类似项目业绩，每提供1份得2分，最高得6 分。（业绩时间以合同签订时间为准，附完整合同复印件并加盖供应商公章，未提供或提供不完整或不清晰均不得分）。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评审小组根据供应商提出的有利于项目实施及采购人的合理化建议得[0-3]分。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供应商认为需要提交的其他资料.docx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实质性满足磋商文件要求且最后报价最低者为磋商基准价，其价格分值为满分。 磋商报价得分=（磋商基准价/最后报价）*价格分值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