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版本号：PLRH2025-GP-057F20250829003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生态环境保护专项工作相关服务采购项目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PLRH2025-GP-057F</w:t>
      </w:r>
      <w:r>
        <w:br/>
      </w:r>
      <w:r>
        <w:br/>
      </w:r>
      <w:r>
        <w:br/>
      </w:r>
    </w:p>
    <w:p>
      <w:pPr>
        <w:pStyle w:val="null3"/>
        <w:jc w:val="center"/>
        <w:outlineLvl w:val="2"/>
      </w:pPr>
      <w:r>
        <w:rPr>
          <w:rFonts w:ascii="仿宋_GB2312" w:hAnsi="仿宋_GB2312" w:cs="仿宋_GB2312" w:eastAsia="仿宋_GB2312"/>
          <w:sz w:val="28"/>
          <w:b/>
        </w:rPr>
        <w:t>西安市莲湖区机关事务服务中心</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西安市莲湖区机关事务服务中心</w:t>
      </w:r>
      <w:r>
        <w:rPr>
          <w:rFonts w:ascii="仿宋_GB2312" w:hAnsi="仿宋_GB2312" w:cs="仿宋_GB2312" w:eastAsia="仿宋_GB2312"/>
        </w:rPr>
        <w:t>委托，拟对</w:t>
      </w:r>
      <w:r>
        <w:rPr>
          <w:rFonts w:ascii="仿宋_GB2312" w:hAnsi="仿宋_GB2312" w:cs="仿宋_GB2312" w:eastAsia="仿宋_GB2312"/>
        </w:rPr>
        <w:t>生态环境保护专项工作相关服务采购项目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PLRH2025-GP-057F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生态环境保护专项工作相关服务采购项目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同包1：为进一步加强我区大气污染治理力度，稳步推进空气质量提升，改善区域环境空气质量，保障群众身体健康，依据相关法律法规和政策要求，现对我区重点区域周边，餐饮经营区域餐饮单位油烟排放行为开展专项整治，确保所有产生油烟的餐饮单位均安装合格且正规正常运行的油烟净化设施，并且做现场油烟排放检测与登记，实现油烟达标排放。 合同包2：为贯彻落实《中华人民共和国大气污染防治法》、《陕西省大气污染防治条例》、《西安市大气污染防治条例》等相关法律法规和《莲湖区推进实现“十四五”空气质量目标暨大气污染治理专项行动2025年工作方案》文件要求，加强对含挥发性有机物原辅材料及车用燃油质量的监管，改善区域空气质量。 合同包3：为进一步做好我区大气污染治理工作，督促各部门认清各自责任，做好沟通工作，我办需对区域内大气污染相关现场情况进行实景拍摄，对存在问题及时曝光，本着求实事求是的工作原则，需花大量时间、精力在全区范围内进行拍摄录制，并对所拍摄的视频进行后期剪辑、配音、字幕编辑等相关工作，为保证所拍摄视频的质量，需要专业团队负责。 合同包4：为进一步加强我区大气污染治理力度，稳步推进空气质量提升，改善区域环境空气质量，准确掌握企业排放挥发性有机物气体是否达到环保标准，其中挥发性有机物（VOCs）已成为PM2.5和臭氧（O₃）协同控制的核心污染物之一，VOCs既是大气PM2.5中有机组分的重要前体污染物，也是O₃的重要前体污染物。而且，由于O₃是表征大气氧化能力的重要指标，其浓度的升高意味着大气氧化能力的提升，也可能加剧二次颗粒物的生成，因此加强VOCs治理是现阶段控制O₃污染的有效途径。现采用便携式VOCs气体检测设备对重点区域周边进行巡查和监管，实时监测VOC浓度，根据监测结果开展精准检查和治理，为管理者提供直观、高效、便捷的管理手段，提高环保业务管理能力，综合管理与分析的决策能力，为环境治理提供有利的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采购包1（西安市莲湖区重点区域餐饮油烟专项检测服务）：属于专门面向中小企业采购。</w:t>
      </w:r>
    </w:p>
    <w:p>
      <w:pPr>
        <w:pStyle w:val="null3"/>
      </w:pPr>
      <w:r>
        <w:rPr>
          <w:rFonts w:ascii="仿宋_GB2312" w:hAnsi="仿宋_GB2312" w:cs="仿宋_GB2312" w:eastAsia="仿宋_GB2312"/>
        </w:rPr>
        <w:t>采购包2（西安市莲湖区2025年含挥发性有机物原辅材料和车用燃油质量监督抽检）：属于专门面向中小企业采购。</w:t>
      </w:r>
    </w:p>
    <w:p>
      <w:pPr>
        <w:pStyle w:val="null3"/>
      </w:pPr>
      <w:r>
        <w:rPr>
          <w:rFonts w:ascii="仿宋_GB2312" w:hAnsi="仿宋_GB2312" w:cs="仿宋_GB2312" w:eastAsia="仿宋_GB2312"/>
        </w:rPr>
        <w:t>采购包3（大气污染治理问题警示分析片拍摄及制作）：属于专门面向中小企业采购。</w:t>
      </w:r>
    </w:p>
    <w:p>
      <w:pPr>
        <w:pStyle w:val="null3"/>
      </w:pPr>
      <w:r>
        <w:rPr>
          <w:rFonts w:ascii="仿宋_GB2312" w:hAnsi="仿宋_GB2312" w:cs="仿宋_GB2312" w:eastAsia="仿宋_GB2312"/>
        </w:rPr>
        <w:t>采购包4（一国两省重点区域周边VOCs气体检测）：属于专门面向中小企业采购。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8、资质证书：具有检验检测机构资质认定证书（CMA）；</w:t>
      </w:r>
    </w:p>
    <w:p>
      <w:pPr>
        <w:pStyle w:val="null3"/>
      </w:pPr>
      <w:r>
        <w:rPr>
          <w:rFonts w:ascii="仿宋_GB2312" w:hAnsi="仿宋_GB2312" w:cs="仿宋_GB2312" w:eastAsia="仿宋_GB2312"/>
        </w:rPr>
        <w:t>9、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10、联合体：本项目不接受联合体磋商；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029-87236107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p>
          <w:p>
            <w:pPr>
              <w:pStyle w:val="null3"/>
            </w:pPr>
            <w:r>
              <w:rPr>
                <w:rFonts w:ascii="仿宋_GB2312" w:hAnsi="仿宋_GB2312" w:cs="仿宋_GB2312" w:eastAsia="仿宋_GB2312"/>
              </w:rPr>
              <w:t>采购包2：150,400.00元</w:t>
            </w:r>
          </w:p>
          <w:p>
            <w:pPr>
              <w:pStyle w:val="null3"/>
            </w:pPr>
            <w:r>
              <w:rPr>
                <w:rFonts w:ascii="仿宋_GB2312" w:hAnsi="仿宋_GB2312" w:cs="仿宋_GB2312" w:eastAsia="仿宋_GB2312"/>
              </w:rPr>
              <w:t>采购包3：300,000.00元</w:t>
            </w:r>
          </w:p>
          <w:p>
            <w:pPr>
              <w:pStyle w:val="null3"/>
            </w:pPr>
            <w:r>
              <w:rPr>
                <w:rFonts w:ascii="仿宋_GB2312" w:hAnsi="仿宋_GB2312" w:cs="仿宋_GB2312" w:eastAsia="仿宋_GB2312"/>
              </w:rPr>
              <w:t>采购包4：267,000.00元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西安市莲湖区机关事务服务中心</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《环境空气质量标准》、《大气污染物综合排放标准》、《VOC污染防治技术政策》、《大气污染防治行动计划》、《中华人民共和国大气污染防治法》、《环境监测管理办法》、《大气环境质量标准》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符合国家、行业相关法律法规及采购人需求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符合国家、行业相关法律法规及采购人需求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《环境空气质量标准》、《大气污染物综合排放标准》、《VOC污染防治技术政策》、《大气污染防治行动计划》、《中华人民共和国大气污染防治法》、《环境监测管理办法》、《大气环境质量标准》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同包1：为进一步加强我区大气污染治理力度，稳步推进空气质量提升，改善区域环境空气质量，保障群众身体健康，依据相关法律法规和政策要求，现对我区重点区域周边，餐饮经营区域餐饮单位油烟排放行为开展专项整治，确保所有产生油烟的餐饮单位均安装合格且正规正常运行的油烟净化设施，并且做现场油烟排放检测与登记，实现油烟达标排放。 合同包2：为贯彻落实《中华人民共和国大气污染防治法》、《陕西省大气污染防治条例》、《西安市大气污染防治条例》等相关法律法规和《莲湖区推进实现“十四五”空气质量目标暨大气污染治理专项行动2025年工作方案》文件要求，加强对含挥发性有机物原辅材料及车用燃油质量的监管，改善区域空气质量。 合同包3：为进一步做好我区大气污染治理工作，督促各部门认清各自责任，做好沟通工作，我办需对区域内大气污染相关现场情况进行实景拍摄，对存在问题及时曝光，本着求实事求是的工作原则，需花大量时间、精力在全区范围内进行拍摄录制，并对所拍摄的视频进行后期剪辑、配音、字幕编辑等相关工作，为保证所拍摄视频的质量，需要专业团队负责。 合同包4：为进一步加强我区大气污染治理力度，稳步推进空气质量提升，改善区域环境空气质量，准确掌握企业排放挥发性有机物气体是否达到环保标准，其中挥发性有机物（VOCs）已成为PM2.5和臭氧（O₃）协同控制的核心污染物之一，VOCs既是大气PM2.5中有机组分的重要前体污染物，也是O₃的重要前体污染物。而且，由于O₃是表征大气氧化能力的重要指标，其浓度的升高意味着大气氧化能力的提升，也可能加剧二次颗粒物的生成，因此加强VOCs治理是现阶段控制O₃污染的有效途径。现采用便携式VOCs气体检测设备对重点区域周边进行巡查和监管，实时监测VOC浓度，根据监测结果开展精准检查和治理，为管理者提供直观、高效、便捷的管理手段，提高环保业务管理能力，综合管理与分析的决策能力，为环境治理提供有利的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西安市莲湖区重点区域餐饮油烟专项检测服务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150,400.00</w:t>
      </w:r>
    </w:p>
    <w:p>
      <w:pPr>
        <w:pStyle w:val="null3"/>
      </w:pPr>
      <w:r>
        <w:rPr>
          <w:rFonts w:ascii="仿宋_GB2312" w:hAnsi="仿宋_GB2312" w:cs="仿宋_GB2312" w:eastAsia="仿宋_GB2312"/>
        </w:rPr>
        <w:t>采购包最高限价（元）: 150,400.00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西安市莲湖区2025年含挥发性有机物原辅材料和车用燃油质量监督抽检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大气污染治理问题警示分析片拍摄及制作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267,000.00</w:t>
      </w:r>
    </w:p>
    <w:p>
      <w:pPr>
        <w:pStyle w:val="null3"/>
      </w:pPr>
      <w:r>
        <w:rPr>
          <w:rFonts w:ascii="仿宋_GB2312" w:hAnsi="仿宋_GB2312" w:cs="仿宋_GB2312" w:eastAsia="仿宋_GB2312"/>
        </w:rPr>
        <w:t>采购包最高限价（元）: 267,000.00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一国两省重点区域周边VOCs气体检测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标的名称：西安市莲湖区重点区域餐饮油烟专项检测服务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服务区域：西安市莲湖区餐饮经营区域餐饮单位</w:t>
            </w:r>
          </w:p>
          <w:p>
            <w:pPr>
              <w:pStyle w:val="null3"/>
            </w:pPr>
            <w:r>
              <w:rPr>
                <w:rFonts w:ascii="仿宋_GB2312" w:hAnsi="仿宋_GB2312" w:cs="仿宋_GB2312" w:eastAsia="仿宋_GB2312"/>
              </w:rPr>
              <w:t>服务内容：对西安市莲湖区餐饮单位进行油烟检测，清洗报告登记，并利用油烟检测仪对餐饮单位进行现场油烟检测，并出具相应单位的现场检测数据。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二、技术要求</w:t>
            </w:r>
          </w:p>
          <w:p>
            <w:pPr>
              <w:pStyle w:val="null3"/>
            </w:pPr>
            <w:r>
              <w:rPr>
                <w:rFonts w:ascii="仿宋_GB2312" w:hAnsi="仿宋_GB2312" w:cs="仿宋_GB2312" w:eastAsia="仿宋_GB2312"/>
              </w:rPr>
              <w:t>由专业检测员使用型号LB-7025B便携式油烟检测仪，通过激光电化学综合方式传感器，在餐饮单位正常制作，净化设施正常开启时在油烟管道内进行油烟浓度，颗粒物，非甲烷总烃等参数的测量。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三、服务要求</w:t>
            </w:r>
          </w:p>
          <w:p>
            <w:pPr>
              <w:pStyle w:val="null3"/>
            </w:pPr>
            <w:r>
              <w:rPr>
                <w:rFonts w:ascii="仿宋_GB2312" w:hAnsi="仿宋_GB2312" w:cs="仿宋_GB2312" w:eastAsia="仿宋_GB2312"/>
              </w:rPr>
              <w:t>1.油烟检测员（6名）：对餐饮单位做现场油烟检测。</w:t>
            </w:r>
          </w:p>
          <w:p>
            <w:pPr>
              <w:pStyle w:val="null3"/>
            </w:pPr>
            <w:r>
              <w:rPr>
                <w:rFonts w:ascii="仿宋_GB2312" w:hAnsi="仿宋_GB2312" w:cs="仿宋_GB2312" w:eastAsia="仿宋_GB2312"/>
              </w:rPr>
              <w:t>2.报告分析制作员（1名）：对各餐饮单位油烟检测结果数据与票据分析汇总。</w:t>
            </w:r>
          </w:p>
          <w:p>
            <w:pPr>
              <w:pStyle w:val="null3"/>
            </w:pPr>
            <w:r>
              <w:rPr>
                <w:rFonts w:ascii="仿宋_GB2312" w:hAnsi="仿宋_GB2312" w:cs="仿宋_GB2312" w:eastAsia="仿宋_GB2312"/>
              </w:rPr>
              <w:t>3.工程车（3辆）：承载工作人员以及检测设备。</w:t>
            </w:r>
          </w:p>
          <w:p>
            <w:pPr>
              <w:pStyle w:val="null3"/>
            </w:pPr>
            <w:r>
              <w:rPr>
                <w:rFonts w:ascii="仿宋_GB2312" w:hAnsi="仿宋_GB2312" w:cs="仿宋_GB2312" w:eastAsia="仿宋_GB2312"/>
              </w:rPr>
              <w:t>4.登记员（3名）：对餐饮单位名称，地址，负责人联系方式，油烟清洗报告，油烟检测报告进行登记，确保真实性。</w:t>
            </w:r>
          </w:p>
          <w:p>
            <w:pPr>
              <w:pStyle w:val="null3"/>
            </w:pPr>
            <w:r>
              <w:rPr>
                <w:rFonts w:ascii="仿宋_GB2312" w:hAnsi="仿宋_GB2312" w:cs="仿宋_GB2312" w:eastAsia="仿宋_GB2312"/>
              </w:rPr>
              <w:t>5.油烟检测仪（3台）：型号LB-7025B便携式油烟检测仪，进行现场检测。</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四、成果要求</w:t>
            </w:r>
          </w:p>
          <w:p>
            <w:pPr>
              <w:pStyle w:val="null3"/>
            </w:pPr>
            <w:r>
              <w:rPr>
                <w:rFonts w:ascii="仿宋_GB2312" w:hAnsi="仿宋_GB2312" w:cs="仿宋_GB2312" w:eastAsia="仿宋_GB2312"/>
              </w:rPr>
              <w:t>1.行知小学周边检测数量根据现场商户数量进行检测与登记，出具每单位检测数据票据报告，出具一份行知小学周边检测单位报表。</w:t>
            </w:r>
          </w:p>
          <w:p>
            <w:pPr>
              <w:pStyle w:val="null3"/>
            </w:pPr>
            <w:r>
              <w:rPr>
                <w:rFonts w:ascii="仿宋_GB2312" w:hAnsi="仿宋_GB2312" w:cs="仿宋_GB2312" w:eastAsia="仿宋_GB2312"/>
              </w:rPr>
              <w:t xml:space="preserve">2.丰庆公园周边检测数量根据现场商户数量进行检测与登记，出具每单位检测数据票据报告，出具一份丰庆公园周边检测单位报表。        </w:t>
            </w:r>
          </w:p>
          <w:p>
            <w:pPr>
              <w:pStyle w:val="null3"/>
            </w:pPr>
            <w:r>
              <w:rPr>
                <w:rFonts w:ascii="仿宋_GB2312" w:hAnsi="仿宋_GB2312" w:cs="仿宋_GB2312" w:eastAsia="仿宋_GB2312"/>
              </w:rPr>
              <w:t>3.儿童公园周边检测数量根据现场商户数量进行检测与登记，出具每单位检测数据票据报告，出具一份儿童公园周边检测单位报表。</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五、商务要求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2.服务期限：自合同签订之日起75日内完成（雨天除外）。</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4.付款方式：合同签订后，一次性支付合同总额。</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标的名称：西安市莲湖区2025年含挥发性有机物原辅材料和车用燃油质量监督抽检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1.工作区域</w:t>
            </w:r>
          </w:p>
          <w:p>
            <w:pPr>
              <w:pStyle w:val="null3"/>
            </w:pPr>
            <w:r>
              <w:rPr>
                <w:rFonts w:ascii="仿宋_GB2312" w:hAnsi="仿宋_GB2312" w:cs="仿宋_GB2312" w:eastAsia="仿宋_GB2312"/>
              </w:rPr>
              <w:t>本次抽检工作覆盖西安市莲湖区全区，主要包括但不限于以下重点场所：</w:t>
            </w:r>
          </w:p>
          <w:p>
            <w:pPr>
              <w:pStyle w:val="null3"/>
            </w:pPr>
            <w:r>
              <w:rPr>
                <w:rFonts w:ascii="仿宋_GB2312" w:hAnsi="仿宋_GB2312" w:cs="仿宋_GB2312" w:eastAsia="仿宋_GB2312"/>
              </w:rPr>
              <w:t>（1）企业 ：涉及油漆、涂料等生产、销售、使用企业。</w:t>
            </w:r>
          </w:p>
          <w:p>
            <w:pPr>
              <w:pStyle w:val="null3"/>
            </w:pPr>
            <w:r>
              <w:rPr>
                <w:rFonts w:ascii="仿宋_GB2312" w:hAnsi="仿宋_GB2312" w:cs="仿宋_GB2312" w:eastAsia="仿宋_GB2312"/>
              </w:rPr>
              <w:t>（2）加油站及储油库：全区范围内所有加油站（汽油、柴油）及储油库。</w:t>
            </w:r>
          </w:p>
          <w:p>
            <w:pPr>
              <w:pStyle w:val="null3"/>
            </w:pPr>
            <w:r>
              <w:rPr>
                <w:rFonts w:ascii="仿宋_GB2312" w:hAnsi="仿宋_GB2312" w:cs="仿宋_GB2312" w:eastAsia="仿宋_GB2312"/>
              </w:rPr>
              <w:t>（3）物流场所柴油货车及建筑工地非道移机械：柴油检测。</w:t>
            </w:r>
          </w:p>
          <w:p>
            <w:pPr>
              <w:pStyle w:val="null3"/>
            </w:pPr>
            <w:r>
              <w:rPr>
                <w:rFonts w:ascii="仿宋_GB2312" w:hAnsi="仿宋_GB2312" w:cs="仿宋_GB2312" w:eastAsia="仿宋_GB2312"/>
              </w:rPr>
              <w:t>（二）工作内容</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项目</w:t>
                  </w:r>
                </w:p>
              </w:tc>
              <w:tc>
                <w:tcPr>
                  <w:tcW w:type="dxa" w:w="426"/>
                </w:tcPr>
                <w:p>
                  <w:pPr>
                    <w:pStyle w:val="null3"/>
                  </w:pPr>
                  <w:r>
                    <w:rPr>
                      <w:rFonts w:ascii="仿宋_GB2312" w:hAnsi="仿宋_GB2312" w:cs="仿宋_GB2312" w:eastAsia="仿宋_GB2312"/>
                    </w:rPr>
                    <w:t>检测参数</w:t>
                  </w:r>
                </w:p>
              </w:tc>
              <w:tc>
                <w:tcPr>
                  <w:tcW w:type="dxa" w:w="426"/>
                </w:tcPr>
                <w:p>
                  <w:pPr>
                    <w:pStyle w:val="null3"/>
                  </w:pPr>
                  <w:r>
                    <w:rPr>
                      <w:rFonts w:ascii="仿宋_GB2312" w:hAnsi="仿宋_GB2312" w:cs="仿宋_GB2312" w:eastAsia="仿宋_GB2312"/>
                    </w:rPr>
                    <w:t>执行标准</w:t>
                  </w:r>
                </w:p>
              </w:tc>
              <w:tc>
                <w:tcPr>
                  <w:tcW w:type="dxa" w:w="426"/>
                </w:tcPr>
                <w:p>
                  <w:pPr>
                    <w:pStyle w:val="null3"/>
                  </w:pPr>
                  <w:r>
                    <w:rPr>
                      <w:rFonts w:ascii="仿宋_GB2312" w:hAnsi="仿宋_GB2312" w:cs="仿宋_GB2312" w:eastAsia="仿宋_GB2312"/>
                    </w:rPr>
                    <w:t>批次/个</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含挥发性有机物产品（清洗剂、胶粘剂、涂料、油墨产品）</w:t>
                  </w:r>
                </w:p>
              </w:tc>
              <w:tc>
                <w:tcPr>
                  <w:tcW w:type="dxa" w:w="426"/>
                </w:tcPr>
                <w:p>
                  <w:pPr>
                    <w:pStyle w:val="null3"/>
                  </w:pPr>
                  <w:r>
                    <w:rPr>
                      <w:rFonts w:ascii="仿宋_GB2312" w:hAnsi="仿宋_GB2312" w:cs="仿宋_GB2312" w:eastAsia="仿宋_GB2312"/>
                    </w:rPr>
                    <w:t>VOCs</w:t>
                  </w:r>
                </w:p>
              </w:tc>
              <w:tc>
                <w:tcPr>
                  <w:tcW w:type="dxa" w:w="426"/>
                </w:tcPr>
                <w:p>
                  <w:pPr>
                    <w:pStyle w:val="null3"/>
                  </w:pPr>
                  <w:r>
                    <w:rPr>
                      <w:rFonts w:ascii="仿宋_GB2312" w:hAnsi="仿宋_GB2312" w:cs="仿宋_GB2312" w:eastAsia="仿宋_GB2312"/>
                    </w:rPr>
                    <w:t>GB 18581-2020 《木器涂料中有害物质限量》</w:t>
                  </w:r>
                  <w:r>
                    <w:br/>
                  </w:r>
                  <w:r>
                    <w:rPr>
                      <w:rFonts w:ascii="仿宋_GB2312" w:hAnsi="仿宋_GB2312" w:cs="仿宋_GB2312" w:eastAsia="仿宋_GB2312"/>
                    </w:rPr>
                    <w:t xml:space="preserve"> GB 18582-2020 《建涂料筑用墙面中有害质限量》</w:t>
                  </w:r>
                  <w:r>
                    <w:br/>
                  </w:r>
                  <w:r>
                    <w:rPr>
                      <w:rFonts w:ascii="仿宋_GB2312" w:hAnsi="仿宋_GB2312" w:cs="仿宋_GB2312" w:eastAsia="仿宋_GB2312"/>
                    </w:rPr>
                    <w:t xml:space="preserve"> GB 18583-2008 《室内装饰装修材料 胶粘剂中有害物质限量》</w:t>
                  </w:r>
                  <w:r>
                    <w:br/>
                  </w:r>
                  <w:r>
                    <w:rPr>
                      <w:rFonts w:ascii="仿宋_GB2312" w:hAnsi="仿宋_GB2312" w:cs="仿宋_GB2312" w:eastAsia="仿宋_GB2312"/>
                    </w:rPr>
                    <w:t xml:space="preserve"> GB 38508-2020 《清洗剂挥发性有机化合物含量限值》</w:t>
                  </w:r>
                  <w:r>
                    <w:br/>
                  </w:r>
                  <w:r>
                    <w:rPr>
                      <w:rFonts w:ascii="仿宋_GB2312" w:hAnsi="仿宋_GB2312" w:cs="仿宋_GB2312" w:eastAsia="仿宋_GB2312"/>
                    </w:rPr>
                    <w:t xml:space="preserve"> 等</w:t>
                  </w:r>
                </w:p>
              </w:tc>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1—5月和10—12月，每月抽2个批次，共计16个批次；6—9月，每月抽4个批次，共计16个批次。</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车用汽油</w:t>
                  </w:r>
                </w:p>
              </w:tc>
              <w:tc>
                <w:tcPr>
                  <w:tcW w:type="dxa" w:w="426"/>
                </w:tcPr>
                <w:p>
                  <w:pPr>
                    <w:pStyle w:val="null3"/>
                  </w:pPr>
                  <w:r>
                    <w:rPr>
                      <w:rFonts w:ascii="仿宋_GB2312" w:hAnsi="仿宋_GB2312" w:cs="仿宋_GB2312" w:eastAsia="仿宋_GB2312"/>
                    </w:rPr>
                    <w:t>车用汽油</w:t>
                  </w:r>
                </w:p>
              </w:tc>
              <w:tc>
                <w:tcPr>
                  <w:tcW w:type="dxa" w:w="426"/>
                </w:tcPr>
                <w:p>
                  <w:pPr>
                    <w:pStyle w:val="null3"/>
                  </w:pPr>
                  <w:r>
                    <w:rPr>
                      <w:rFonts w:ascii="仿宋_GB2312" w:hAnsi="仿宋_GB2312" w:cs="仿宋_GB2312" w:eastAsia="仿宋_GB2312"/>
                    </w:rPr>
                    <w:t>研究法辛烷值、硫含量、机械杂质及水分、甲醇含量、氧含量、芳烃含量、烯烃含量、密度、溶剂洗胶质含量、铜片腐蚀、蒸气压</w:t>
                  </w:r>
                </w:p>
              </w:tc>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含油库3批次汽油</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车用柴油</w:t>
                  </w:r>
                </w:p>
              </w:tc>
              <w:tc>
                <w:tcPr>
                  <w:tcW w:type="dxa" w:w="426"/>
                </w:tcPr>
                <w:p>
                  <w:pPr>
                    <w:pStyle w:val="null3"/>
                  </w:pPr>
                  <w:r>
                    <w:rPr>
                      <w:rFonts w:ascii="仿宋_GB2312" w:hAnsi="仿宋_GB2312" w:cs="仿宋_GB2312" w:eastAsia="仿宋_GB2312"/>
                    </w:rPr>
                    <w:t>车用柴油GB 19147-2016</w:t>
                  </w:r>
                </w:p>
              </w:tc>
              <w:tc>
                <w:tcPr>
                  <w:tcW w:type="dxa" w:w="426"/>
                </w:tcPr>
                <w:p>
                  <w:pPr>
                    <w:pStyle w:val="null3"/>
                  </w:pPr>
                  <w:r>
                    <w:rPr>
                      <w:rFonts w:ascii="仿宋_GB2312" w:hAnsi="仿宋_GB2312" w:cs="仿宋_GB2312" w:eastAsia="仿宋_GB2312"/>
                    </w:rPr>
                    <w:t>闪点(闭口)、硫含量、冷滤点、凝点、水含量、密度、铜片腐蚀、十六烷指数、馏程</w:t>
                  </w:r>
                </w:p>
              </w:tc>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含油库1批次柴油</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货车油箱内柴油</w:t>
                  </w:r>
                </w:p>
              </w:tc>
              <w:tc>
                <w:tcPr>
                  <w:tcW w:type="dxa" w:w="426"/>
                </w:tcPr>
                <w:p>
                  <w:pPr>
                    <w:pStyle w:val="null3"/>
                  </w:pPr>
                  <w:r>
                    <w:rPr>
                      <w:rFonts w:ascii="仿宋_GB2312" w:hAnsi="仿宋_GB2312" w:cs="仿宋_GB2312" w:eastAsia="仿宋_GB2312"/>
                    </w:rPr>
                    <w:t>车用柴油GB 19147-2016</w:t>
                  </w:r>
                </w:p>
              </w:tc>
              <w:tc>
                <w:tcPr>
                  <w:tcW w:type="dxa" w:w="426"/>
                </w:tcPr>
                <w:p>
                  <w:pPr>
                    <w:pStyle w:val="null3"/>
                  </w:pPr>
                  <w:r>
                    <w:rPr>
                      <w:rFonts w:ascii="仿宋_GB2312" w:hAnsi="仿宋_GB2312" w:cs="仿宋_GB2312" w:eastAsia="仿宋_GB2312"/>
                    </w:rPr>
                    <w:t>闪点(闭口)、硫含量、冷滤点、凝点、水含量、密度、铜片腐蚀、十六烷指数、馏程</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非道移机械油箱柴油</w:t>
                  </w:r>
                </w:p>
              </w:tc>
              <w:tc>
                <w:tcPr>
                  <w:tcW w:type="dxa" w:w="426"/>
                </w:tcPr>
                <w:p>
                  <w:pPr>
                    <w:pStyle w:val="null3"/>
                  </w:pPr>
                  <w:r>
                    <w:rPr>
                      <w:rFonts w:ascii="仿宋_GB2312" w:hAnsi="仿宋_GB2312" w:cs="仿宋_GB2312" w:eastAsia="仿宋_GB2312"/>
                    </w:rPr>
                    <w:t>车用柴油GB 19147-2016</w:t>
                  </w:r>
                </w:p>
              </w:tc>
              <w:tc>
                <w:tcPr>
                  <w:tcW w:type="dxa" w:w="426"/>
                </w:tcPr>
                <w:p>
                  <w:pPr>
                    <w:pStyle w:val="null3"/>
                  </w:pPr>
                  <w:r>
                    <w:rPr>
                      <w:rFonts w:ascii="仿宋_GB2312" w:hAnsi="仿宋_GB2312" w:cs="仿宋_GB2312" w:eastAsia="仿宋_GB2312"/>
                    </w:rPr>
                    <w:t>闪点(闭口)、硫含量、冷滤点、凝点、水含量、密度、铜片腐蚀、十六烷指数、馏程</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1.检测标准：依据国家及行业现行有效的产品质量标准、检验方法标准进行检测。</w:t>
            </w:r>
          </w:p>
          <w:p>
            <w:pPr>
              <w:pStyle w:val="null3"/>
            </w:pPr>
            <w:r>
              <w:rPr>
                <w:rFonts w:ascii="仿宋_GB2312" w:hAnsi="仿宋_GB2312" w:cs="仿宋_GB2312" w:eastAsia="仿宋_GB2312"/>
              </w:rPr>
              <w:t>2.检验要求：</w:t>
            </w:r>
          </w:p>
          <w:p>
            <w:pPr>
              <w:pStyle w:val="null3"/>
            </w:pPr>
            <w:r>
              <w:rPr>
                <w:rFonts w:ascii="仿宋_GB2312" w:hAnsi="仿宋_GB2312" w:cs="仿宋_GB2312" w:eastAsia="仿宋_GB2312"/>
              </w:rPr>
              <w:t>（1）1—5月和10—12月，每月抽2个批次，共计16个批次；6—9月，每月抽4个批次，共计16个批次。</w:t>
            </w:r>
          </w:p>
          <w:p>
            <w:pPr>
              <w:pStyle w:val="null3"/>
            </w:pPr>
            <w:r>
              <w:rPr>
                <w:rFonts w:ascii="仿宋_GB2312" w:hAnsi="仿宋_GB2312" w:cs="仿宋_GB2312" w:eastAsia="仿宋_GB2312"/>
              </w:rPr>
              <w:t>（2）车用汽油：除加油站外，还应抽检油库3批次车用汽油样品；</w:t>
            </w:r>
          </w:p>
          <w:p>
            <w:pPr>
              <w:pStyle w:val="null3"/>
            </w:pPr>
            <w:r>
              <w:rPr>
                <w:rFonts w:ascii="仿宋_GB2312" w:hAnsi="仿宋_GB2312" w:cs="仿宋_GB2312" w:eastAsia="仿宋_GB2312"/>
              </w:rPr>
              <w:t>（3）车用柴油：除加油站外，还应抽检油库1批次车用柴油样品；</w:t>
            </w:r>
          </w:p>
          <w:p>
            <w:pPr>
              <w:pStyle w:val="null3"/>
            </w:pPr>
            <w:r>
              <w:rPr>
                <w:rFonts w:ascii="仿宋_GB2312" w:hAnsi="仿宋_GB2312" w:cs="仿宋_GB2312" w:eastAsia="仿宋_GB2312"/>
              </w:rPr>
              <w:t>（4）货车油箱内柴油：针对货车油箱内柴油进行抽检；</w:t>
            </w:r>
          </w:p>
          <w:p>
            <w:pPr>
              <w:pStyle w:val="null3"/>
            </w:pPr>
            <w:r>
              <w:rPr>
                <w:rFonts w:ascii="仿宋_GB2312" w:hAnsi="仿宋_GB2312" w:cs="仿宋_GB2312" w:eastAsia="仿宋_GB2312"/>
              </w:rPr>
              <w:t>（5）非道移机械油箱柴油：针对非道移机械油箱内柴油进行抽检；</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2.服务期限：自合同签订之日起一年。</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4.付款方式：项目服务完成经验收合格后，90日历日内支付合同总价款100%。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四、其他要求</w:t>
            </w:r>
          </w:p>
          <w:p>
            <w:pPr>
              <w:pStyle w:val="null3"/>
            </w:pPr>
            <w:r>
              <w:rPr>
                <w:rFonts w:ascii="仿宋_GB2312" w:hAnsi="仿宋_GB2312" w:cs="仿宋_GB2312" w:eastAsia="仿宋_GB2312"/>
              </w:rPr>
              <w:t>进度要求：检测机构抽样后2周内提交检测报告一式三份。</w:t>
            </w:r>
          </w:p>
          <w:p>
            <w:pPr>
              <w:pStyle w:val="null3"/>
            </w:pPr>
            <w:r>
              <w:rPr>
                <w:rFonts w:ascii="仿宋_GB2312" w:hAnsi="仿宋_GB2312" w:cs="仿宋_GB2312" w:eastAsia="仿宋_GB2312"/>
              </w:rPr>
              <w:t>成果交付要求：检测机构抽样后2周内提交检测报告一式三份。</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标的名称：大气污染治理问题警示分析片拍摄及制作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1.视频录制：需要用专业摄影器材，包括高空摄像等器材进行录制，保证视频清晰明确，问题突出。</w:t>
            </w:r>
          </w:p>
          <w:p>
            <w:pPr>
              <w:pStyle w:val="null3"/>
            </w:pPr>
            <w:r>
              <w:rPr>
                <w:rFonts w:ascii="仿宋_GB2312" w:hAnsi="仿宋_GB2312" w:cs="仿宋_GB2312" w:eastAsia="仿宋_GB2312"/>
              </w:rPr>
              <w:t>2.后期制作：包括后期视频剪辑、配音、字幕、画面等，剪辑合理，字幕、画面要符合要求。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1.录制视频至少配5名工作人员，分别负责录制、剪辑等工作，要保质保量完成；</w:t>
            </w:r>
          </w:p>
          <w:p>
            <w:pPr>
              <w:pStyle w:val="null3"/>
            </w:pPr>
            <w:r>
              <w:rPr>
                <w:rFonts w:ascii="仿宋_GB2312" w:hAnsi="仿宋_GB2312" w:cs="仿宋_GB2312" w:eastAsia="仿宋_GB2312"/>
              </w:rPr>
              <w:t>2.视频画面清晰，最终剪辑要在20分钟以内，要求剪辑简短重点突出；</w:t>
            </w:r>
          </w:p>
          <w:p>
            <w:pPr>
              <w:pStyle w:val="null3"/>
            </w:pPr>
            <w:r>
              <w:rPr>
                <w:rFonts w:ascii="仿宋_GB2312" w:hAnsi="仿宋_GB2312" w:cs="仿宋_GB2312" w:eastAsia="仿宋_GB2312"/>
              </w:rPr>
              <w:t>3.视频内容合法合规。</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2.服务期限：自合同签订之日起一年。</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4.付款方式：合同签订后，一次性支付合同总额。</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四、其他要求</w:t>
            </w:r>
          </w:p>
          <w:p>
            <w:pPr>
              <w:pStyle w:val="null3"/>
            </w:pPr>
            <w:r>
              <w:rPr>
                <w:rFonts w:ascii="仿宋_GB2312" w:hAnsi="仿宋_GB2312" w:cs="仿宋_GB2312" w:eastAsia="仿宋_GB2312"/>
              </w:rPr>
              <w:t>1.进度要求：根据采购人工作需要完成视频录制及后期制作。</w:t>
            </w:r>
          </w:p>
          <w:p>
            <w:pPr>
              <w:pStyle w:val="null3"/>
            </w:pPr>
            <w:r>
              <w:rPr>
                <w:rFonts w:ascii="仿宋_GB2312" w:hAnsi="仿宋_GB2312" w:cs="仿宋_GB2312" w:eastAsia="仿宋_GB2312"/>
              </w:rPr>
              <w:t>2.成果交付要求：每期剪辑制作完成的视频电子版1份。</w:t>
            </w:r>
          </w:p>
          <w:p>
            <w:pPr>
              <w:pStyle w:val="null3"/>
            </w:pPr>
            <w:r>
              <w:rPr>
                <w:rFonts w:ascii="仿宋_GB2312" w:hAnsi="仿宋_GB2312" w:cs="仿宋_GB2312" w:eastAsia="仿宋_GB2312"/>
              </w:rPr>
              <w:t>3.视频在20分钟以内，画质清晰，剪辑合理，字幕、配音正能量，符合政府规范，不得出现违反法律法规的字样及音乐。</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标的名称：一国两省重点区域周边VOCs气体检测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以重点区域周边3公里范围为主要工作区域，在9-11月份期间，利用便携式PID对涉VOCs源进行检测，根据检测结果，提交详细的分析报告，同时出具67份数据分析报告。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二、技术要求</w:t>
            </w:r>
          </w:p>
          <w:p>
            <w:pPr>
              <w:pStyle w:val="null3"/>
            </w:pPr>
            <w:r>
              <w:rPr>
                <w:rFonts w:ascii="仿宋_GB2312" w:hAnsi="仿宋_GB2312" w:cs="仿宋_GB2312" w:eastAsia="仿宋_GB2312"/>
              </w:rPr>
              <w:t>供应商须自行配备便携式VOCs气体检测仪，需要具有零点自标定，取样泵转速可调等功能，最大可对10000ppm浓度挥发性有机物进行准确实时检测。配置高能效锂电池；可以通过USB连接线下载到电脑上直接对数据进行处理，可快速检测和储存现场的挥发性有机物气体浓度，温度，湿度。实现现场比对检测、环境执法检测、人身安全防护等要求。</w:t>
            </w:r>
          </w:p>
          <w:p>
            <w:pPr>
              <w:pStyle w:val="null3"/>
            </w:pPr>
            <w:r>
              <w:rPr>
                <w:rFonts w:ascii="仿宋_GB2312" w:hAnsi="仿宋_GB2312" w:cs="仿宋_GB2312" w:eastAsia="仿宋_GB2312"/>
              </w:rPr>
              <w:t>功能要求：</w:t>
            </w:r>
          </w:p>
          <w:p>
            <w:pPr>
              <w:pStyle w:val="null3"/>
            </w:pPr>
            <w:r>
              <w:rPr>
                <w:rFonts w:ascii="仿宋_GB2312" w:hAnsi="仿宋_GB2312" w:cs="仿宋_GB2312" w:eastAsia="仿宋_GB2312"/>
              </w:rPr>
              <w:t>（1）检测精度达到ppb级；</w:t>
            </w:r>
          </w:p>
          <w:p>
            <w:pPr>
              <w:pStyle w:val="null3"/>
            </w:pPr>
            <w:r>
              <w:rPr>
                <w:rFonts w:ascii="仿宋_GB2312" w:hAnsi="仿宋_GB2312" w:cs="仿宋_GB2312" w:eastAsia="仿宋_GB2312"/>
              </w:rPr>
              <w:t>（2）内置温度湿度压力传感器，自动进行补偿，保证检测的准确性；</w:t>
            </w:r>
          </w:p>
          <w:p>
            <w:pPr>
              <w:pStyle w:val="null3"/>
            </w:pPr>
            <w:r>
              <w:rPr>
                <w:rFonts w:ascii="仿宋_GB2312" w:hAnsi="仿宋_GB2312" w:cs="仿宋_GB2312" w:eastAsia="仿宋_GB2312"/>
              </w:rPr>
              <w:t>（3）内置强力采样泵，高低转速可调，高速挡采样距离大于10米，响应迅速广谱性检测，内置200多种VOC监测因子；</w:t>
            </w:r>
          </w:p>
          <w:p>
            <w:pPr>
              <w:pStyle w:val="null3"/>
            </w:pPr>
            <w:r>
              <w:rPr>
                <w:rFonts w:ascii="仿宋_GB2312" w:hAnsi="仿宋_GB2312" w:cs="仿宋_GB2312" w:eastAsia="仿宋_GB2312"/>
              </w:rPr>
              <w:t>（4）外置传感器仓，无需拆卸即可更换传感器和过滤件；</w:t>
            </w:r>
          </w:p>
          <w:p>
            <w:pPr>
              <w:pStyle w:val="null3"/>
            </w:pPr>
            <w:r>
              <w:rPr>
                <w:rFonts w:ascii="仿宋_GB2312" w:hAnsi="仿宋_GB2312" w:cs="仿宋_GB2312" w:eastAsia="仿宋_GB2312"/>
              </w:rPr>
              <w:t>（5）内置水汽，粉尘过滤器；</w:t>
            </w:r>
          </w:p>
          <w:p>
            <w:pPr>
              <w:pStyle w:val="null3"/>
            </w:pPr>
            <w:r>
              <w:rPr>
                <w:rFonts w:ascii="仿宋_GB2312" w:hAnsi="仿宋_GB2312" w:cs="仿宋_GB2312" w:eastAsia="仿宋_GB2312"/>
              </w:rPr>
              <w:t>（6）充电时间：≤7小时；</w:t>
            </w:r>
          </w:p>
          <w:p>
            <w:pPr>
              <w:pStyle w:val="null3"/>
            </w:pPr>
            <w:r>
              <w:rPr>
                <w:rFonts w:ascii="仿宋_GB2312" w:hAnsi="仿宋_GB2312" w:cs="仿宋_GB2312" w:eastAsia="仿宋_GB2312"/>
              </w:rPr>
              <w:t>（7）分辨率：0.1-1ppm；</w:t>
            </w:r>
          </w:p>
          <w:p>
            <w:pPr>
              <w:pStyle w:val="null3"/>
            </w:pPr>
            <w:r>
              <w:rPr>
                <w:rFonts w:ascii="仿宋_GB2312" w:hAnsi="仿宋_GB2312" w:cs="仿宋_GB2312" w:eastAsia="仿宋_GB2312"/>
              </w:rPr>
              <w:t>（8）运行时间：≥10小时；</w:t>
            </w:r>
          </w:p>
          <w:p>
            <w:pPr>
              <w:pStyle w:val="null3"/>
            </w:pPr>
            <w:r>
              <w:rPr>
                <w:rFonts w:ascii="仿宋_GB2312" w:hAnsi="仿宋_GB2312" w:cs="仿宋_GB2312" w:eastAsia="仿宋_GB2312"/>
              </w:rPr>
              <w:t>（8）检测气体：不少于200种VOC气体；</w:t>
            </w:r>
          </w:p>
          <w:p>
            <w:pPr>
              <w:pStyle w:val="null3"/>
            </w:pPr>
            <w:r>
              <w:rPr>
                <w:rFonts w:ascii="仿宋_GB2312" w:hAnsi="仿宋_GB2312" w:cs="仿宋_GB2312" w:eastAsia="仿宋_GB2312"/>
              </w:rPr>
              <w:t>（9）显示屏：≥2.4英寸240x320点阵65K色TFT屏；</w:t>
            </w:r>
          </w:p>
          <w:p>
            <w:pPr>
              <w:pStyle w:val="null3"/>
            </w:pPr>
            <w:r>
              <w:rPr>
                <w:rFonts w:ascii="仿宋_GB2312" w:hAnsi="仿宋_GB2312" w:cs="仿宋_GB2312" w:eastAsia="仿宋_GB2312"/>
              </w:rPr>
              <w:t>（10）检测原理：PID光离子；</w:t>
            </w:r>
          </w:p>
          <w:p>
            <w:pPr>
              <w:pStyle w:val="null3"/>
            </w:pPr>
            <w:r>
              <w:rPr>
                <w:rFonts w:ascii="仿宋_GB2312" w:hAnsi="仿宋_GB2312" w:cs="仿宋_GB2312" w:eastAsia="仿宋_GB2312"/>
              </w:rPr>
              <w:t>（11）菜单：中文；</w:t>
            </w:r>
          </w:p>
          <w:p>
            <w:pPr>
              <w:pStyle w:val="null3"/>
            </w:pPr>
            <w:r>
              <w:rPr>
                <w:rFonts w:ascii="仿宋_GB2312" w:hAnsi="仿宋_GB2312" w:cs="仿宋_GB2312" w:eastAsia="仿宋_GB2312"/>
              </w:rPr>
              <w:t>（12）稳定时间：＜15s；</w:t>
            </w:r>
          </w:p>
          <w:p>
            <w:pPr>
              <w:pStyle w:val="null3"/>
            </w:pPr>
            <w:r>
              <w:rPr>
                <w:rFonts w:ascii="仿宋_GB2312" w:hAnsi="仿宋_GB2312" w:cs="仿宋_GB2312" w:eastAsia="仿宋_GB2312"/>
              </w:rPr>
              <w:t>（13）报警灯：红色LED，闪烁；</w:t>
            </w:r>
          </w:p>
          <w:p>
            <w:pPr>
              <w:pStyle w:val="null3"/>
            </w:pPr>
            <w:r>
              <w:rPr>
                <w:rFonts w:ascii="仿宋_GB2312" w:hAnsi="仿宋_GB2312" w:cs="仿宋_GB2312" w:eastAsia="仿宋_GB2312"/>
              </w:rPr>
              <w:t>（14）按键：不少于4个操作键</w:t>
            </w:r>
          </w:p>
          <w:p>
            <w:pPr>
              <w:pStyle w:val="null3"/>
            </w:pPr>
            <w:r>
              <w:rPr>
                <w:rFonts w:ascii="仿宋_GB2312" w:hAnsi="仿宋_GB2312" w:cs="仿宋_GB2312" w:eastAsia="仿宋_GB2312"/>
              </w:rPr>
              <w:t>（15）采样方式：内置泵吸式，流量250-550ml/min；</w:t>
            </w:r>
          </w:p>
          <w:p>
            <w:pPr>
              <w:pStyle w:val="null3"/>
            </w:pPr>
            <w:r>
              <w:rPr>
                <w:rFonts w:ascii="仿宋_GB2312" w:hAnsi="仿宋_GB2312" w:cs="仿宋_GB2312" w:eastAsia="仿宋_GB2312"/>
              </w:rPr>
              <w:t>（16）振动报警：有；</w:t>
            </w:r>
          </w:p>
          <w:p>
            <w:pPr>
              <w:pStyle w:val="null3"/>
            </w:pPr>
            <w:r>
              <w:rPr>
                <w:rFonts w:ascii="仿宋_GB2312" w:hAnsi="仿宋_GB2312" w:cs="仿宋_GB2312" w:eastAsia="仿宋_GB2312"/>
              </w:rPr>
              <w:t>（17）测量精度：＜±3%；</w:t>
            </w:r>
          </w:p>
          <w:p>
            <w:pPr>
              <w:pStyle w:val="null3"/>
            </w:pPr>
            <w:r>
              <w:rPr>
                <w:rFonts w:ascii="仿宋_GB2312" w:hAnsi="仿宋_GB2312" w:cs="仿宋_GB2312" w:eastAsia="仿宋_GB2312"/>
              </w:rPr>
              <w:t>（18）通讯端口：USB；</w:t>
            </w:r>
          </w:p>
          <w:p>
            <w:pPr>
              <w:pStyle w:val="null3"/>
            </w:pPr>
            <w:r>
              <w:rPr>
                <w:rFonts w:ascii="仿宋_GB2312" w:hAnsi="仿宋_GB2312" w:cs="仿宋_GB2312" w:eastAsia="仿宋_GB2312"/>
              </w:rPr>
              <w:t>（19）响应时间：（T90）小于5s；’</w:t>
            </w:r>
          </w:p>
          <w:p>
            <w:pPr>
              <w:pStyle w:val="null3"/>
            </w:pPr>
            <w:r>
              <w:rPr>
                <w:rFonts w:ascii="仿宋_GB2312" w:hAnsi="仿宋_GB2312" w:cs="仿宋_GB2312" w:eastAsia="仿宋_GB2312"/>
              </w:rPr>
              <w:t>（20）防护等级：IP66</w:t>
            </w:r>
          </w:p>
          <w:p>
            <w:pPr>
              <w:pStyle w:val="null3"/>
            </w:pPr>
            <w:r>
              <w:rPr>
                <w:rFonts w:ascii="仿宋_GB2312" w:hAnsi="仿宋_GB2312" w:cs="仿宋_GB2312" w:eastAsia="仿宋_GB2312"/>
              </w:rPr>
              <w:t>（21）智能传感器：湿度 0~95%RH</w:t>
            </w:r>
          </w:p>
          <w:p>
            <w:pPr>
              <w:pStyle w:val="null3"/>
            </w:pPr>
            <w:r>
              <w:rPr>
                <w:rFonts w:ascii="仿宋_GB2312" w:hAnsi="仿宋_GB2312" w:cs="仿宋_GB2312" w:eastAsia="仿宋_GB2312"/>
              </w:rPr>
              <w:t>（22）万向采样探头，方便特殊角度，狭窄空间检测。</w:t>
            </w:r>
          </w:p>
          <w:p>
            <w:pPr>
              <w:pStyle w:val="null3"/>
            </w:pPr>
            <w:r>
              <w:rPr>
                <w:rFonts w:ascii="仿宋_GB2312" w:hAnsi="仿宋_GB2312" w:cs="仿宋_GB2312" w:eastAsia="仿宋_GB2312"/>
              </w:rPr>
              <w:t>（23）声音，灯光、振动报警、多方位立体显示报警状态。</w:t>
            </w:r>
          </w:p>
          <w:p>
            <w:pPr>
              <w:pStyle w:val="null3"/>
            </w:pPr>
            <w:r>
              <w:rPr>
                <w:rFonts w:ascii="仿宋_GB2312" w:hAnsi="仿宋_GB2312" w:cs="仿宋_GB2312" w:eastAsia="仿宋_GB2312"/>
              </w:rPr>
              <w:t>（24）气体单位可自由切换，单位可选ppm或mg/m3。</w:t>
            </w:r>
          </w:p>
          <w:p>
            <w:pPr>
              <w:pStyle w:val="null3"/>
            </w:pPr>
            <w:r>
              <w:rPr>
                <w:rFonts w:ascii="仿宋_GB2312" w:hAnsi="仿宋_GB2312" w:cs="仿宋_GB2312" w:eastAsia="仿宋_GB2312"/>
              </w:rPr>
              <w:t>（25）≥60万条数据存储容量具有报警记录及标定记录功能。</w:t>
            </w:r>
          </w:p>
          <w:p>
            <w:pPr>
              <w:pStyle w:val="null3"/>
            </w:pPr>
            <w:r>
              <w:rPr>
                <w:rFonts w:ascii="仿宋_GB2312" w:hAnsi="仿宋_GB2312" w:cs="仿宋_GB2312" w:eastAsia="仿宋_GB2312"/>
              </w:rPr>
              <w:t>（26）一键恢复出厂设置，开机自检。</w:t>
            </w:r>
          </w:p>
          <w:p>
            <w:pPr>
              <w:pStyle w:val="null3"/>
            </w:pPr>
            <w:r>
              <w:rPr>
                <w:rFonts w:ascii="仿宋_GB2312" w:hAnsi="仿宋_GB2312" w:cs="仿宋_GB2312" w:eastAsia="仿宋_GB2312"/>
              </w:rPr>
              <w:t>（27）TFT彩屏实时显示状态信息，智能提示仪器故障、浓度报警、操作错误。</w:t>
            </w:r>
          </w:p>
          <w:p>
            <w:pPr>
              <w:pStyle w:val="null3"/>
            </w:pPr>
            <w:r>
              <w:rPr>
                <w:rFonts w:ascii="仿宋_GB2312" w:hAnsi="仿宋_GB2312" w:cs="仿宋_GB2312" w:eastAsia="仿宋_GB2312"/>
              </w:rPr>
              <w:t>（28）Mini USB数据导出，上传电脑进行数据和存储、打印。</w:t>
            </w:r>
          </w:p>
          <w:p>
            <w:pPr>
              <w:pStyle w:val="null3"/>
            </w:pPr>
            <w:r>
              <w:rPr>
                <w:rFonts w:ascii="仿宋_GB2312" w:hAnsi="仿宋_GB2312" w:cs="仿宋_GB2312" w:eastAsia="仿宋_GB2312"/>
              </w:rPr>
              <w:t>（29）抗静电，抗电磁干扰。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三、服务要求</w:t>
            </w:r>
          </w:p>
          <w:p>
            <w:pPr>
              <w:pStyle w:val="null3"/>
            </w:pPr>
            <w:r>
              <w:rPr>
                <w:rFonts w:ascii="仿宋_GB2312" w:hAnsi="仿宋_GB2312" w:cs="仿宋_GB2312" w:eastAsia="仿宋_GB2312"/>
              </w:rPr>
              <w:t>1.团队为生态环境治理工作及时提供技术支持，应承诺保质保量按时完成相关工作任务，工作质量达到招标人要求。</w:t>
            </w:r>
          </w:p>
          <w:p>
            <w:pPr>
              <w:pStyle w:val="null3"/>
            </w:pPr>
            <w:r>
              <w:rPr>
                <w:rFonts w:ascii="仿宋_GB2312" w:hAnsi="仿宋_GB2312" w:cs="仿宋_GB2312" w:eastAsia="仿宋_GB2312"/>
              </w:rPr>
              <w:t>2.团队人员4人，工作人员应具备大专及以上学历，并有从事大气污染防治工作经验。</w:t>
            </w:r>
          </w:p>
          <w:p>
            <w:pPr>
              <w:pStyle w:val="null3"/>
            </w:pPr>
            <w:r>
              <w:rPr>
                <w:rFonts w:ascii="仿宋_GB2312" w:hAnsi="仿宋_GB2312" w:cs="仿宋_GB2312" w:eastAsia="仿宋_GB2312"/>
              </w:rPr>
              <w:t>3.团队应配备开展工作所需的PID便携式检测仪不少于1台。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四、成果要求</w:t>
            </w:r>
          </w:p>
          <w:p>
            <w:pPr>
              <w:pStyle w:val="null3"/>
            </w:pPr>
            <w:r>
              <w:rPr>
                <w:rFonts w:ascii="仿宋_GB2312" w:hAnsi="仿宋_GB2312" w:cs="仿宋_GB2312" w:eastAsia="仿宋_GB2312"/>
              </w:rPr>
              <w:t>拟输出VOCs检测分析及管控建议报告，共67份。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五、商务要求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2.服务期限：自合同签订之日起60日内完成（雨天除外）。</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4.付款方式：合同签订后，一次性支付合同总额。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自合同签订之日起75日内完成（雨天除外）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自合同签订之日起60日内完成（雨天除外）</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《环境空气质量标准》、《大气污染物综合排放标准》、《VOC污染防治技术政策》、《大气污染防治行动计划》、《中华人民共和国大气污染防治法》、《环境监测管理办法》、《大气环境质量标准》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符合国家、行业相关法律法规及采购人需求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符合国家、行业相关法律法规及采购人需求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《环境空气质量标准》、《大气污染物综合排放标准》、《VOC污染防治技术政策》、《大气污染防治行动计划》、《中华人民共和国大气污染防治法》、《环境监测管理办法》、《大气环境质量标准》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合同签订后，一次性支付合同总额。</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项目服务完成经验收合格后，90日历日内支付合同总价款100%。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合同签订后，一次性支付合同总额。</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合同签订后，一次性支付合同总额。</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违约责任：1.甲乙双方均应按合同的约定履行合同义务，任何一方违反合同的约定给对方造成损失的，都应当赔偿另一方因此而遭受的损失。 2.甲方逾期付款超过60个日历日的，乙方有权解除合同，并要求甲方应按合同总价款的10％向乙方支付违约金。 3.乙方在约定期限内不能按要求提供技术服务或未完成工作任务的，则每迟延一天，乙方向甲方支付逾期服务部分对应合同款的0.5％的违约金，逾期超过20个日历日的，甲方有权解除合同，并要求乙方应按本合同总价款的10％向甲方支付违约金。若乙方未按照合同要求向甲方提供工作成果，或者提供的工作成果给甲方造成损失的，乙方应当赔偿甲方因此而遭受的全部损失。 4.合同履行中任何一方无正当理由，单方提出解除或终止合同，均属单方违约，违约方除承担赔偿因此造成对方的全部经济损失外，还必须向对方支付本合同总价款的5%违约金。 5.本合同中规定的赔偿费用，违约一方必须在终止本合同后，一个月内一次性支付给对方。 解决争议的方法：合同执行中发生争议的，当事人双方应协商解决。协商不一致时，向西安仲裁委员会申请仲裁。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违约责任：1.按《中华人民共和国民法典》中的相关条款和本合同的约定执行。2.未按合同或磋商文件要求提供服务质量不能满足甲方技术要求，甲方有权终止合同，甚至对乙方违约行为进行追究 解决争议的方法：合同执行中发生争议的，当事人双方应协商解决。协商不一致时，向采购人所在地人民法院提起诉讼。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违约责任：1.按《中华人民共和国民法典》中的相关条款和本合同的约定执行。2.未按合同或磋商文件要求提供服务质量不能满足甲方技术要求，甲方有权终止合同，甚至对乙方违约行为进行追究。 解决争议的方法：合同执行中发生争议的，当事人双方应协商解决。协商不一致时，向采购人所在地人民法院提起诉讼。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违约责任：1.甲乙双方均应按合同的约定履行合同义务，任何一方违反合同的约定给对方造成损失的，都应当赔偿另一方因此而遭受的损失。 2.甲方逾期付款超过 60 个日历日的，乙方有权解除合同，并要求甲方应按合同总价款的 10％向乙方支付违约金。 3.乙方在约定期限内不能按要求提供技术服务或未完成工作任务的，则每迟延一天，乙方向甲方支付逾期服务部分对应合同款的 0.5％的违约金，逾期超过 20 个日历日的，甲方有权解除合同，并要求乙方应按本合同总价款的 10％向甲方支付违约金。若乙方未按照合同要求向甲方提供工作成果，或者提供的工作成果给甲方造成损失的，乙方应当赔偿甲方因此而遭受的全部损失。 4.合同履行中任何一方无正当理由，单方提出解除或终止合同，均属单方违约，违约方除承担赔偿因此造成对方的全部经济损失外，还必须向对方支付本合同总价款的 5%违约金。 5.本合同中规定的赔偿费用，违约一方必须在终止本合同后，一个月内一次性支付给对方。 解决争议的方法：合同执行中发生争议的，当事人双方应协商解决。协商不一致时，向西安仲裁委员会申请仲裁。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1.本项目专门面向中小企业采购，供应商应为中小微企业或监狱企业或残疾人福利性单位。 2.本项目合同包1采购标的所属行业为：其他未列明行业； 3.本项目合同包2采购标的所属行业为：其他未列明行业； 4.本项目合同包3采购标的所属行业为：其他未列明行业； 5.本项目合同包4采购标的所属行业为：其他未列明行业； 6.本项目是否属于信用担保试点范围：否。 7.本项目为固定总价合同。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具有检验检测机构资质认定证书（CMA）；</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对本项目背景了解、现状理解透彻及对项目具体措施服务方案技术分析详细得7-10分； 对本项目背景了解基本正确、现状理解较为简单、服务方案技术内容情况分析不够详细得4-7分（含7分）； 对本项目背景了解较为简单、现状不够理解、服务方案技术内容情况分析欠缺得1-4分（含4分）。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总体服务方案编制合理、思路把握准确、描述详细，得7-10分； 总体服务方案编制较合理、思路把握较准确、描述较详细，可行性及针对性较强得4-7分（含7分）； 总体服务方案编制较简洁、思路把握较差、描述较混乱，可行性及针对性较差得1-4分（含4分）。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拟派人员及设备</w:t>
            </w:r>
          </w:p>
        </w:tc>
        <w:tc>
          <w:tcPr>
            <w:tcW w:type="dxa" w:w="2492"/>
          </w:tcPr>
          <w:p>
            <w:pPr>
              <w:pStyle w:val="null3"/>
            </w:pPr>
            <w:r>
              <w:rPr>
                <w:rFonts w:ascii="仿宋_GB2312" w:hAnsi="仿宋_GB2312" w:cs="仿宋_GB2312" w:eastAsia="仿宋_GB2312"/>
              </w:rPr>
              <w:t>针对本项目的组成人员及设备配备的组织计划，计划合理、结构清晰，项目组成人员职责任务明确、人员数量、人员配备设置合理，专业人员配备齐全、分工明确、职责清晰得7-10分； 人员配备设置较合理，专业人员配备齐全、分工及岗位职责较清晰得4-7分（含7分）； 人员配备设置基本合理，专业人员分工及岗位职责不清晰得1-4分（含4分）。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应包括①资料管理制度、②资料管理保存措施，制度及保存措施全面，详细得3-6分； 制度及保存措施较全面详细，具备一定可行性得1-3分（含3分）。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各供应商服务承诺，承诺事项具体、可行、可操作性强得3-5分； 承诺事项较具体可行，可操作性较强得1-3分（含3分）。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8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对本项目背景了解、现状理解透彻及对项目具体措施服务方案技术分析详细得7-10分； 对本项目背景了解基本正确、现状理解较为简单、服务方案技术内容情况分析不够详细得4-7分（含7分）； 对本项目背景了解较为简单、现状不够理解、服务方案技术内容情况分析欠缺得1-4分（含4分）。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总体服务方案编制合理、思路把握准确、描述详细，得7-10分； 总体服务方案编制较合理、思路把握较准确、描述较详细，可行性及针对性较强得4-7分（含7分）； 总体服务方案编制较简洁、思路把握较差、描述较混乱，可行性及针对性较差得1-4分（含4分）。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拟派人员及设备</w:t>
            </w:r>
          </w:p>
        </w:tc>
        <w:tc>
          <w:tcPr>
            <w:tcW w:type="dxa" w:w="2492"/>
          </w:tcPr>
          <w:p>
            <w:pPr>
              <w:pStyle w:val="null3"/>
            </w:pPr>
            <w:r>
              <w:rPr>
                <w:rFonts w:ascii="仿宋_GB2312" w:hAnsi="仿宋_GB2312" w:cs="仿宋_GB2312" w:eastAsia="仿宋_GB2312"/>
              </w:rPr>
              <w:t>针对本项目的组成人员及设备配备的组织计划，计划合理、结构清晰，项目组成人员职责任务明确、人员数量、人员配备设置合理，专业人员配备齐全、分工明确、职责清晰得7-10分； 人员配备设置较合理，专业人员配备齐全、分工及岗位职责较清晰得4-7分（含7分）； 人员配备设置基本合理，专业人员分工及岗位职责不清晰得1-4分（含4分）。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应包括①资料管理制度、②资料管理保存措施，制度及保存措施全面，详细得3-6分； 制度及保存措施较全面详细，具备一定可行性得1-3分（含3分）。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各供应商服务承诺，承诺事项具体、可行、可操作性强得3-5分； 承诺事项较具体可行，可操作性较强得1-3分（含3分）。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8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对本项目背景了解、现状理解透彻及对项目具体措施服务方案技术分析详细得7-10分； 对本项目背景了解基本正确、现状理解较为简单、服务方案技术内容情况分析不够详细得4-7分（含7分）； 对本项目背景了解较为简单、现状不够理解、服务方案技术内容情况分析欠缺得1-4分（含4分）。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总体服务方案编制合理、思路把握准确、描述详细，得7-10分； 总体服务方案编制较合理、思路把握较准确、描述较详细，可行性及针对性较强得4-7分（含7分）； 总体服务方案编制较简洁、思路把握较差、描述较混乱，可行性及针对性较差得1-4分（含4分）。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拟派人员及设备</w:t>
            </w:r>
          </w:p>
        </w:tc>
        <w:tc>
          <w:tcPr>
            <w:tcW w:type="dxa" w:w="2492"/>
          </w:tcPr>
          <w:p>
            <w:pPr>
              <w:pStyle w:val="null3"/>
            </w:pPr>
            <w:r>
              <w:rPr>
                <w:rFonts w:ascii="仿宋_GB2312" w:hAnsi="仿宋_GB2312" w:cs="仿宋_GB2312" w:eastAsia="仿宋_GB2312"/>
              </w:rPr>
              <w:t>针对本项目的组成人员及设备配备的组织计划，计划合理、结构清晰，项目组成人员职责任务明确、人员数量、人员配备设置合理，专业人员配备齐全、分工明确、职责清晰得7-10分； 人员配备设置较合理，专业人员配备齐全、分工及岗位职责较清晰得4-7分（含7分）； 人员配备设置基本合理，专业人员分工及岗位职责不清晰得1-4分（含4分）。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应包括①资料管理制度、②资料管理保存措施，制度及保存措施全面，详细得3-6分； 制度及保存措施较全面详细，具备一定可行性得1-3分（含3分）。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各供应商服务承诺，承诺事项具体、可行、可操作性强得3-5分； 承诺事项较具体可行，可操作性较强得1-3分（含3分）。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8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对本项目背景了解、现状理解透彻及对项目具体措施服务方案技术分析详细得7-10分； 对本项目背景了解基本正确、现状理解较为简单、服务方案技术内容情况分析不够详细得4-7分（含7分）； 对本项目背景了解较为简单、现状不够理解、服务方案技术内容情况分析欠缺得1-4分（含4分）。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总体服务方案编制合理、思路把握准确、描述详细，得7-10分； 总体服务方案编制较合理、思路把握较准确、描述较详细，可行性及针对性较强得4-7分（含7分）； 总体服务方案编制较简洁、思路把握较差、描述较混乱，可行性及针对性较差得1-4分（含4分）。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拟派人员及设备</w:t>
            </w:r>
          </w:p>
        </w:tc>
        <w:tc>
          <w:tcPr>
            <w:tcW w:type="dxa" w:w="2492"/>
          </w:tcPr>
          <w:p>
            <w:pPr>
              <w:pStyle w:val="null3"/>
            </w:pPr>
            <w:r>
              <w:rPr>
                <w:rFonts w:ascii="仿宋_GB2312" w:hAnsi="仿宋_GB2312" w:cs="仿宋_GB2312" w:eastAsia="仿宋_GB2312"/>
              </w:rPr>
              <w:t>针对本项目的组成人员及设备配备的组织计划，计划合理、结构清晰，项目组成人员职责任务明确、人员数量、人员配备设置合理，专业人员配备齐全、分工明确、职责清晰得7-10分； 人员配备设置较合理，专业人员配备齐全、分工及岗位职责较清晰得4-7分（含7分）； 人员配备设置基本合理，专业人员分工及岗位职责不清晰得1-4分（含4分）。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应包括①资料管理制度、②资料管理保存措施，制度及保存措施全面，详细得3-6分； 制度及保存措施较全面详细，具备一定可行性得1-3分（含3分）。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各供应商服务承诺，承诺事项具体、可行、可操作性强得3-5分； 承诺事项较具体可行，可操作性较强得1-3分（含3分）。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8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详见附件：西安市莲湖区机关事务服务中心生态环境保护专项工作相关服务采购项目采购合同.docx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