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0170B">
      <w:pPr>
        <w:jc w:val="center"/>
        <w:rPr>
          <w:rFonts w:hint="eastAsia" w:ascii="仿宋" w:hAnsi="仿宋" w:eastAsia="仿宋" w:cs="仿宋"/>
          <w:b/>
          <w:bCs/>
          <w:sz w:val="44"/>
          <w:szCs w:val="44"/>
          <w:highlight w:val="none"/>
          <w:lang w:eastAsia="zh-CN"/>
        </w:rPr>
      </w:pPr>
    </w:p>
    <w:p w14:paraId="13FEC21D">
      <w:pPr>
        <w:jc w:val="center"/>
        <w:rPr>
          <w:rFonts w:hint="eastAsia" w:ascii="仿宋" w:hAnsi="仿宋" w:eastAsia="仿宋" w:cs="仿宋"/>
          <w:b/>
          <w:bCs/>
          <w:sz w:val="44"/>
          <w:szCs w:val="44"/>
          <w:highlight w:val="none"/>
          <w:lang w:eastAsia="zh-CN"/>
        </w:rPr>
      </w:pPr>
    </w:p>
    <w:p w14:paraId="2C2394F9">
      <w:pPr>
        <w:jc w:val="center"/>
        <w:rPr>
          <w:rFonts w:hint="eastAsia" w:ascii="仿宋" w:hAnsi="仿宋" w:eastAsia="仿宋" w:cs="仿宋"/>
          <w:b/>
          <w:bCs/>
          <w:sz w:val="44"/>
          <w:szCs w:val="44"/>
          <w:highlight w:val="none"/>
          <w:lang w:eastAsia="zh-CN"/>
        </w:rPr>
      </w:pPr>
    </w:p>
    <w:p w14:paraId="45DD0AC5">
      <w:pPr>
        <w:jc w:val="center"/>
        <w:rPr>
          <w:rFonts w:hint="eastAsia" w:ascii="仿宋" w:hAnsi="仿宋" w:eastAsia="仿宋" w:cs="仿宋"/>
          <w:b/>
          <w:bCs/>
          <w:sz w:val="44"/>
          <w:szCs w:val="44"/>
          <w:highlight w:val="none"/>
          <w:lang w:eastAsia="zh-CN"/>
        </w:rPr>
      </w:pPr>
    </w:p>
    <w:p w14:paraId="0AE9556B">
      <w:pPr>
        <w:jc w:val="center"/>
        <w:rPr>
          <w:rFonts w:hint="eastAsia" w:ascii="仿宋" w:hAnsi="仿宋" w:eastAsia="仿宋" w:cs="仿宋"/>
          <w:b/>
          <w:bCs/>
          <w:sz w:val="44"/>
          <w:szCs w:val="44"/>
          <w:highlight w:val="none"/>
          <w:lang w:eastAsia="zh-CN"/>
        </w:rPr>
      </w:pPr>
    </w:p>
    <w:p w14:paraId="6CBE2325">
      <w:pPr>
        <w:jc w:val="center"/>
        <w:rPr>
          <w:rFonts w:hint="eastAsia" w:ascii="仿宋" w:hAnsi="仿宋" w:eastAsia="仿宋" w:cs="仿宋"/>
          <w:b/>
          <w:bCs/>
          <w:sz w:val="44"/>
          <w:szCs w:val="44"/>
          <w:highlight w:val="none"/>
        </w:rPr>
      </w:pPr>
      <w:bookmarkStart w:id="31" w:name="_GoBack"/>
      <w:bookmarkEnd w:id="31"/>
      <w:r>
        <w:rPr>
          <w:rFonts w:hint="eastAsia" w:ascii="仿宋" w:hAnsi="仿宋" w:eastAsia="仿宋" w:cs="仿宋"/>
          <w:b/>
          <w:bCs/>
          <w:sz w:val="44"/>
          <w:szCs w:val="44"/>
          <w:highlight w:val="none"/>
          <w:lang w:eastAsia="zh-CN"/>
        </w:rPr>
        <w:t>西安市莲湖区文化和旅游体育局全民健身园区建设项目</w:t>
      </w:r>
      <w:r>
        <w:rPr>
          <w:rFonts w:hint="eastAsia" w:ascii="仿宋" w:hAnsi="仿宋" w:eastAsia="仿宋" w:cs="仿宋"/>
          <w:b/>
          <w:bCs/>
          <w:sz w:val="44"/>
          <w:szCs w:val="44"/>
          <w:highlight w:val="none"/>
        </w:rPr>
        <w:t>合同</w:t>
      </w:r>
    </w:p>
    <w:p w14:paraId="087A8164">
      <w:pPr>
        <w:pStyle w:val="3"/>
        <w:rPr>
          <w:rFonts w:hint="eastAsia" w:ascii="仿宋" w:hAnsi="仿宋" w:eastAsia="仿宋" w:cs="仿宋"/>
          <w:highlight w:val="none"/>
        </w:rPr>
      </w:pPr>
    </w:p>
    <w:p w14:paraId="305C0C8A">
      <w:pPr>
        <w:rPr>
          <w:rFonts w:hint="eastAsia" w:ascii="仿宋" w:hAnsi="仿宋" w:eastAsia="仿宋" w:cs="仿宋"/>
          <w:highlight w:val="none"/>
        </w:rPr>
      </w:pPr>
    </w:p>
    <w:p w14:paraId="4FFE14ED">
      <w:pPr>
        <w:rPr>
          <w:rFonts w:hint="eastAsia" w:ascii="仿宋" w:hAnsi="仿宋" w:eastAsia="仿宋" w:cs="仿宋"/>
          <w:highlight w:val="none"/>
        </w:rPr>
      </w:pPr>
    </w:p>
    <w:p w14:paraId="14631485">
      <w:pPr>
        <w:pStyle w:val="5"/>
        <w:ind w:firstLine="210"/>
        <w:rPr>
          <w:rFonts w:hint="eastAsia" w:ascii="仿宋" w:hAnsi="仿宋" w:eastAsia="仿宋" w:cs="仿宋"/>
          <w:highlight w:val="none"/>
        </w:rPr>
      </w:pPr>
    </w:p>
    <w:p w14:paraId="507D539E">
      <w:pPr>
        <w:pStyle w:val="5"/>
        <w:ind w:firstLine="210"/>
        <w:rPr>
          <w:rFonts w:hint="eastAsia" w:ascii="仿宋" w:hAnsi="仿宋" w:eastAsia="仿宋" w:cs="仿宋"/>
          <w:highlight w:val="none"/>
        </w:rPr>
      </w:pPr>
    </w:p>
    <w:p w14:paraId="20FA48F6">
      <w:pPr>
        <w:rPr>
          <w:rFonts w:hint="eastAsia" w:ascii="仿宋" w:hAnsi="仿宋" w:eastAsia="仿宋" w:cs="仿宋"/>
          <w:highlight w:val="none"/>
        </w:rPr>
      </w:pPr>
    </w:p>
    <w:p w14:paraId="6FF37245">
      <w:pPr>
        <w:pStyle w:val="9"/>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3E223FCD">
      <w:pPr>
        <w:rPr>
          <w:rFonts w:hint="eastAsia" w:ascii="仿宋" w:hAnsi="仿宋" w:eastAsia="仿宋" w:cs="仿宋"/>
          <w:b/>
          <w:sz w:val="36"/>
          <w:szCs w:val="36"/>
          <w:highlight w:val="none"/>
        </w:rPr>
      </w:pPr>
      <w:r>
        <w:rPr>
          <w:rFonts w:hint="eastAsia" w:ascii="仿宋" w:hAnsi="仿宋" w:eastAsia="仿宋" w:cs="仿宋"/>
          <w:b/>
          <w:sz w:val="36"/>
          <w:szCs w:val="36"/>
          <w:highlight w:val="none"/>
        </w:rPr>
        <w:br w:type="page"/>
      </w:r>
    </w:p>
    <w:p w14:paraId="4D21DB51">
      <w:pPr>
        <w:adjustRightInd w:val="0"/>
        <w:snapToGrid w:val="0"/>
        <w:spacing w:line="360" w:lineRule="auto"/>
        <w:ind w:firstLine="422" w:firstLineChars="200"/>
        <w:rPr>
          <w:rFonts w:hint="eastAsia" w:ascii="仿宋" w:hAnsi="仿宋" w:eastAsia="仿宋" w:cs="仿宋"/>
          <w:b/>
          <w:highlight w:val="none"/>
        </w:rPr>
      </w:pPr>
    </w:p>
    <w:p w14:paraId="6863BFE6">
      <w:pPr>
        <w:adjustRightInd w:val="0"/>
        <w:snapToGrid w:val="0"/>
        <w:spacing w:line="360" w:lineRule="auto"/>
        <w:ind w:firstLine="422" w:firstLineChars="200"/>
        <w:rPr>
          <w:rFonts w:hint="eastAsia" w:ascii="仿宋" w:hAnsi="仿宋" w:eastAsia="仿宋" w:cs="仿宋"/>
          <w:b/>
          <w:highlight w:val="none"/>
          <w:lang w:val="en-US" w:eastAsia="zh-CN"/>
        </w:rPr>
      </w:pPr>
      <w:r>
        <w:rPr>
          <w:rFonts w:hint="eastAsia" w:ascii="仿宋" w:hAnsi="仿宋" w:eastAsia="仿宋" w:cs="仿宋"/>
          <w:b/>
          <w:highlight w:val="none"/>
        </w:rPr>
        <w:t>采购人（全称）：</w:t>
      </w:r>
      <w:r>
        <w:rPr>
          <w:rFonts w:hint="eastAsia" w:ascii="仿宋" w:hAnsi="仿宋" w:eastAsia="仿宋" w:cs="仿宋"/>
          <w:b/>
          <w:highlight w:val="none"/>
          <w:u w:val="single"/>
        </w:rPr>
        <w:t xml:space="preserve">                                      </w:t>
      </w:r>
    </w:p>
    <w:p w14:paraId="61D4981E">
      <w:pPr>
        <w:adjustRightInd w:val="0"/>
        <w:snapToGrid w:val="0"/>
        <w:spacing w:line="360" w:lineRule="auto"/>
        <w:ind w:firstLine="422" w:firstLineChars="200"/>
        <w:rPr>
          <w:rFonts w:hint="eastAsia" w:ascii="仿宋" w:hAnsi="仿宋" w:eastAsia="仿宋" w:cs="仿宋"/>
          <w:highlight w:val="none"/>
        </w:rPr>
      </w:pPr>
      <w:r>
        <w:rPr>
          <w:rFonts w:hint="eastAsia" w:ascii="仿宋" w:hAnsi="仿宋" w:eastAsia="仿宋" w:cs="仿宋"/>
          <w:b/>
          <w:highlight w:val="none"/>
        </w:rPr>
        <w:t>供应商（全称）：</w:t>
      </w:r>
      <w:r>
        <w:rPr>
          <w:rFonts w:hint="eastAsia" w:ascii="仿宋" w:hAnsi="仿宋" w:eastAsia="仿宋" w:cs="仿宋"/>
          <w:b/>
          <w:highlight w:val="none"/>
          <w:u w:val="single"/>
        </w:rPr>
        <w:t xml:space="preserve">                                   </w:t>
      </w:r>
      <w:r>
        <w:rPr>
          <w:rFonts w:hint="eastAsia" w:ascii="仿宋" w:hAnsi="仿宋" w:eastAsia="仿宋" w:cs="仿宋"/>
          <w:highlight w:val="none"/>
          <w:u w:val="single"/>
        </w:rPr>
        <w:t xml:space="preserve">   </w:t>
      </w:r>
    </w:p>
    <w:p w14:paraId="23B73251">
      <w:pPr>
        <w:adjustRightInd w:val="0"/>
        <w:snapToGrid w:val="0"/>
        <w:spacing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highlight w:val="none"/>
        </w:rPr>
      </w:pPr>
      <w:r>
        <w:rPr>
          <w:rFonts w:hint="eastAsia" w:ascii="仿宋" w:hAnsi="仿宋" w:eastAsia="仿宋" w:cs="仿宋"/>
          <w:b/>
          <w:highlight w:val="none"/>
        </w:rPr>
        <w:t>一、项目概况</w:t>
      </w:r>
    </w:p>
    <w:p w14:paraId="7F34072E">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1.项目名称：</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6E5CE64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2.项目地点：</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63B1C935">
      <w:pPr>
        <w:spacing w:line="360" w:lineRule="auto"/>
        <w:rPr>
          <w:rFonts w:hint="eastAsia" w:ascii="仿宋" w:hAnsi="仿宋" w:eastAsia="仿宋" w:cs="仿宋"/>
          <w:b/>
          <w:highlight w:val="none"/>
        </w:rPr>
      </w:pPr>
      <w:r>
        <w:rPr>
          <w:rFonts w:hint="eastAsia" w:ascii="仿宋" w:hAnsi="仿宋" w:eastAsia="仿宋" w:cs="仿宋"/>
          <w:b/>
          <w:highlight w:val="none"/>
        </w:rPr>
        <w:t>二、组成本合同的文件</w:t>
      </w:r>
    </w:p>
    <w:p w14:paraId="7677CF73">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1.协议书；</w:t>
      </w:r>
    </w:p>
    <w:p w14:paraId="51C370F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2.成交通知书、竞争性谈判响应文件、竞争性谈判文件、澄清、采购补充文件；</w:t>
      </w:r>
    </w:p>
    <w:p w14:paraId="0562428F">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3.相关服务建议书；</w:t>
      </w:r>
    </w:p>
    <w:p w14:paraId="461C48D9">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本合同签订后，双方依法签订的补充协议也是本合同文件的组成部分。</w:t>
      </w:r>
    </w:p>
    <w:p w14:paraId="70F0F9A4">
      <w:pPr>
        <w:spacing w:line="360" w:lineRule="auto"/>
        <w:rPr>
          <w:rFonts w:hint="eastAsia" w:ascii="仿宋" w:hAnsi="仿宋" w:eastAsia="仿宋" w:cs="仿宋"/>
          <w:b/>
          <w:highlight w:val="none"/>
        </w:rPr>
      </w:pPr>
      <w:r>
        <w:rPr>
          <w:rFonts w:hint="eastAsia" w:ascii="仿宋" w:hAnsi="仿宋" w:eastAsia="仿宋" w:cs="仿宋"/>
          <w:b/>
          <w:highlight w:val="none"/>
        </w:rPr>
        <w:t>三、合同金额</w:t>
      </w:r>
    </w:p>
    <w:p w14:paraId="5EADC8D1">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1.本合同为</w:t>
      </w:r>
      <w:r>
        <w:rPr>
          <w:rFonts w:hint="eastAsia" w:ascii="仿宋" w:hAnsi="仿宋" w:eastAsia="仿宋" w:cs="仿宋"/>
          <w:highlight w:val="none"/>
          <w:lang w:val="en-US" w:eastAsia="zh-CN"/>
        </w:rPr>
        <w:t>总</w:t>
      </w:r>
      <w:r>
        <w:rPr>
          <w:rFonts w:hint="eastAsia" w:ascii="仿宋" w:hAnsi="仿宋" w:eastAsia="仿宋" w:cs="仿宋"/>
          <w:highlight w:val="none"/>
        </w:rPr>
        <w:t>价合同。</w:t>
      </w:r>
    </w:p>
    <w:p w14:paraId="607530B3">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合同总价（大写）：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1D3DED9">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合同总价即成交价，合同总价包干，不受市场价变化或实际工作量变化的影响，合同价格为含税价，供应商（成交人）提供产品所发生的一切税（包括增值税）费等都已包含于合同价款中。</w:t>
      </w:r>
    </w:p>
    <w:p w14:paraId="193045BF">
      <w:pPr>
        <w:pStyle w:val="3"/>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2.合同单价详见附件清单。</w:t>
      </w:r>
    </w:p>
    <w:p w14:paraId="7F595C3D">
      <w:pPr>
        <w:adjustRightInd w:val="0"/>
        <w:snapToGrid w:val="0"/>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23C15365">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w:t>
      </w:r>
      <w:r>
        <w:rPr>
          <w:rFonts w:hint="eastAsia" w:ascii="仿宋" w:hAnsi="仿宋" w:eastAsia="仿宋" w:cs="仿宋"/>
          <w:szCs w:val="24"/>
          <w:highlight w:val="none"/>
          <w:lang w:val="en-US" w:eastAsia="zh-CN"/>
        </w:rPr>
        <w:t>使用单位</w:t>
      </w:r>
      <w:r>
        <w:rPr>
          <w:rFonts w:hint="eastAsia" w:ascii="仿宋" w:hAnsi="仿宋" w:eastAsia="仿宋" w:cs="仿宋"/>
          <w:szCs w:val="24"/>
          <w:highlight w:val="none"/>
        </w:rPr>
        <w:t>，附详细清单。</w:t>
      </w:r>
    </w:p>
    <w:p w14:paraId="662841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2.付款方式：</w:t>
      </w:r>
      <w:r>
        <w:rPr>
          <w:rFonts w:hint="eastAsia" w:ascii="仿宋" w:hAnsi="仿宋" w:eastAsia="仿宋" w:cs="仿宋"/>
          <w:szCs w:val="24"/>
          <w:highlight w:val="none"/>
          <w:u w:val="single"/>
        </w:rPr>
        <w:t>（1）合同签订后10个工作日内支付合同总价款的40%作为预付款。</w:t>
      </w:r>
    </w:p>
    <w:p w14:paraId="6AAC36C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Cs w:val="24"/>
          <w:highlight w:val="none"/>
          <w:u w:val="single"/>
          <w:lang w:eastAsia="zh-CN"/>
        </w:rPr>
      </w:pPr>
      <w:r>
        <w:rPr>
          <w:rFonts w:hint="eastAsia" w:ascii="仿宋" w:hAnsi="仿宋" w:eastAsia="仿宋" w:cs="仿宋"/>
          <w:szCs w:val="24"/>
          <w:highlight w:val="none"/>
          <w:u w:val="single"/>
          <w:lang w:eastAsia="zh-CN"/>
        </w:rPr>
        <w:t>（</w:t>
      </w:r>
      <w:r>
        <w:rPr>
          <w:rFonts w:hint="eastAsia" w:ascii="仿宋" w:hAnsi="仿宋" w:eastAsia="仿宋" w:cs="仿宋"/>
          <w:szCs w:val="24"/>
          <w:highlight w:val="none"/>
          <w:u w:val="single"/>
          <w:lang w:val="en-US" w:eastAsia="zh-CN"/>
        </w:rPr>
        <w:t>2</w:t>
      </w:r>
      <w:r>
        <w:rPr>
          <w:rFonts w:hint="eastAsia" w:ascii="仿宋" w:hAnsi="仿宋" w:eastAsia="仿宋" w:cs="仿宋"/>
          <w:szCs w:val="24"/>
          <w:highlight w:val="none"/>
          <w:u w:val="single"/>
          <w:lang w:eastAsia="zh-CN"/>
        </w:rPr>
        <w:t>）设备安装调试验收合格后支付剩余合同价款；</w:t>
      </w:r>
    </w:p>
    <w:p w14:paraId="49C2FAB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Cs w:val="24"/>
          <w:highlight w:val="none"/>
          <w:u w:val="single"/>
        </w:rPr>
      </w:pPr>
      <w:r>
        <w:rPr>
          <w:rFonts w:hint="eastAsia" w:ascii="仿宋" w:hAnsi="仿宋" w:eastAsia="仿宋" w:cs="仿宋"/>
          <w:szCs w:val="24"/>
          <w:highlight w:val="none"/>
          <w:u w:val="single"/>
        </w:rPr>
        <w:t>（</w:t>
      </w:r>
      <w:r>
        <w:rPr>
          <w:rFonts w:hint="eastAsia" w:ascii="仿宋" w:hAnsi="仿宋" w:eastAsia="仿宋" w:cs="仿宋"/>
          <w:szCs w:val="24"/>
          <w:highlight w:val="none"/>
          <w:u w:val="single"/>
          <w:lang w:val="en-US" w:eastAsia="zh-CN"/>
        </w:rPr>
        <w:t>3</w:t>
      </w:r>
      <w:r>
        <w:rPr>
          <w:rFonts w:hint="eastAsia" w:ascii="仿宋" w:hAnsi="仿宋" w:eastAsia="仿宋" w:cs="仿宋"/>
          <w:szCs w:val="24"/>
          <w:highlight w:val="none"/>
          <w:u w:val="single"/>
        </w:rPr>
        <w:t>）由成交单位按照谈判文件中约定的付款方式向使用单位提出申请，征得西安市莲湖区财政局同意后，待财政拨付到位后可按文件中规定的付款方式进行结算。</w:t>
      </w:r>
    </w:p>
    <w:p w14:paraId="501F5556">
      <w:pPr>
        <w:tabs>
          <w:tab w:val="left" w:pos="840"/>
        </w:tabs>
        <w:spacing w:line="360" w:lineRule="auto"/>
        <w:rPr>
          <w:rFonts w:hint="eastAsia" w:ascii="仿宋" w:hAnsi="仿宋" w:eastAsia="仿宋" w:cs="仿宋"/>
          <w:b/>
          <w:szCs w:val="24"/>
          <w:highlight w:val="none"/>
          <w:lang w:eastAsia="zh-CN"/>
        </w:rPr>
      </w:pPr>
      <w:r>
        <w:rPr>
          <w:rFonts w:hint="eastAsia" w:ascii="仿宋" w:hAnsi="仿宋" w:eastAsia="仿宋" w:cs="仿宋"/>
          <w:b/>
          <w:szCs w:val="24"/>
          <w:highlight w:val="none"/>
        </w:rPr>
        <w:t>五、交货期：</w:t>
      </w:r>
      <w:r>
        <w:rPr>
          <w:rFonts w:hint="eastAsia" w:ascii="仿宋" w:hAnsi="仿宋" w:eastAsia="仿宋" w:cs="仿宋"/>
          <w:b/>
          <w:szCs w:val="24"/>
          <w:highlight w:val="none"/>
          <w:lang w:eastAsia="zh-CN"/>
        </w:rPr>
        <w:t>自合同签订之日起45个日历日完成全部项目内容，并交付采购人验收合格。</w:t>
      </w:r>
    </w:p>
    <w:p w14:paraId="51876A78">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六、质保期：验收合格后健身器材质保≥8年，使用寿命8≥年；儿童滑梯质保≥2年。</w:t>
      </w:r>
    </w:p>
    <w:p w14:paraId="6A0920B1">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552E526C">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即交付的产品、服务内容、数量与竞争性谈判响应文件、竞争性谈判文件等所指明的，或者与本合同所指明的产品、服务内容相一致。（附清单）</w:t>
      </w:r>
    </w:p>
    <w:p w14:paraId="427A08BB">
      <w:pPr>
        <w:spacing w:after="120"/>
        <w:jc w:val="center"/>
        <w:rPr>
          <w:rFonts w:hint="eastAsia" w:ascii="仿宋" w:hAnsi="仿宋" w:eastAsia="仿宋" w:cs="仿宋"/>
          <w:b/>
          <w:szCs w:val="24"/>
          <w:highlight w:val="none"/>
        </w:rPr>
      </w:pPr>
      <w:bookmarkStart w:id="0" w:name="_Toc6161"/>
      <w:bookmarkStart w:id="1" w:name="_Toc13024"/>
      <w:bookmarkStart w:id="2" w:name="_Toc18856"/>
      <w:r>
        <w:rPr>
          <w:rFonts w:hint="eastAsia" w:ascii="仿宋" w:hAnsi="仿宋" w:eastAsia="仿宋" w:cs="仿宋"/>
          <w:b/>
          <w:szCs w:val="24"/>
          <w:highlight w:val="none"/>
        </w:rPr>
        <w:t>供货内容一览表</w:t>
      </w:r>
      <w:bookmarkEnd w:id="0"/>
      <w:bookmarkEnd w:id="1"/>
      <w:bookmarkEnd w:id="2"/>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220F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38041794">
            <w:pPr>
              <w:spacing w:after="120"/>
              <w:jc w:val="center"/>
              <w:rPr>
                <w:rFonts w:hint="eastAsia" w:ascii="仿宋" w:hAnsi="仿宋" w:eastAsia="仿宋" w:cs="仿宋"/>
                <w:b/>
                <w:szCs w:val="24"/>
                <w:highlight w:val="none"/>
              </w:rPr>
            </w:pPr>
            <w:r>
              <w:rPr>
                <w:rFonts w:hint="eastAsia" w:ascii="仿宋" w:hAnsi="仿宋" w:eastAsia="仿宋" w:cs="仿宋"/>
                <w:b/>
                <w:szCs w:val="24"/>
                <w:highlight w:val="none"/>
              </w:rPr>
              <w:t>序号</w:t>
            </w:r>
          </w:p>
        </w:tc>
        <w:tc>
          <w:tcPr>
            <w:tcW w:w="960" w:type="dxa"/>
            <w:tcBorders>
              <w:top w:val="single" w:color="auto" w:sz="4" w:space="0"/>
              <w:left w:val="single" w:color="auto" w:sz="4" w:space="0"/>
              <w:bottom w:val="single" w:color="auto" w:sz="4" w:space="0"/>
              <w:right w:val="single" w:color="auto" w:sz="4" w:space="0"/>
            </w:tcBorders>
            <w:vAlign w:val="center"/>
          </w:tcPr>
          <w:p w14:paraId="5ABA374F">
            <w:pPr>
              <w:spacing w:after="120"/>
              <w:jc w:val="center"/>
              <w:rPr>
                <w:rFonts w:hint="eastAsia" w:ascii="仿宋" w:hAnsi="仿宋" w:eastAsia="仿宋" w:cs="仿宋"/>
                <w:b/>
                <w:szCs w:val="24"/>
                <w:highlight w:val="none"/>
              </w:rPr>
            </w:pPr>
            <w:r>
              <w:rPr>
                <w:rFonts w:hint="eastAsia" w:ascii="仿宋" w:hAnsi="仿宋" w:eastAsia="仿宋" w:cs="仿宋"/>
                <w:b/>
                <w:szCs w:val="24"/>
                <w:highlight w:val="none"/>
              </w:rPr>
              <w:t>名称</w:t>
            </w:r>
          </w:p>
        </w:tc>
        <w:tc>
          <w:tcPr>
            <w:tcW w:w="1485" w:type="dxa"/>
            <w:tcBorders>
              <w:top w:val="single" w:color="auto" w:sz="4" w:space="0"/>
              <w:left w:val="single" w:color="auto" w:sz="4" w:space="0"/>
              <w:bottom w:val="single" w:color="auto" w:sz="4" w:space="0"/>
              <w:right w:val="single" w:color="auto" w:sz="4" w:space="0"/>
            </w:tcBorders>
            <w:vAlign w:val="center"/>
          </w:tcPr>
          <w:p w14:paraId="176C8FA8">
            <w:pPr>
              <w:spacing w:after="120"/>
              <w:jc w:val="center"/>
              <w:rPr>
                <w:rFonts w:hint="eastAsia" w:ascii="仿宋" w:hAnsi="仿宋" w:eastAsia="仿宋" w:cs="仿宋"/>
                <w:b/>
                <w:szCs w:val="24"/>
                <w:highlight w:val="none"/>
              </w:rPr>
            </w:pPr>
            <w:bookmarkStart w:id="3" w:name="_Toc27392"/>
            <w:bookmarkStart w:id="4" w:name="_Toc16506"/>
            <w:bookmarkStart w:id="5" w:name="_Toc30417"/>
            <w:bookmarkStart w:id="6" w:name="_Toc21512"/>
            <w:r>
              <w:rPr>
                <w:rFonts w:hint="eastAsia" w:ascii="仿宋" w:hAnsi="仿宋" w:eastAsia="仿宋" w:cs="仿宋"/>
                <w:b/>
                <w:szCs w:val="24"/>
                <w:highlight w:val="none"/>
              </w:rPr>
              <w:t>品牌、规格及型号</w:t>
            </w:r>
            <w:bookmarkEnd w:id="3"/>
            <w:bookmarkEnd w:id="4"/>
            <w:bookmarkEnd w:id="5"/>
            <w:bookmarkEnd w:id="6"/>
          </w:p>
        </w:tc>
        <w:tc>
          <w:tcPr>
            <w:tcW w:w="1695" w:type="dxa"/>
            <w:tcBorders>
              <w:top w:val="single" w:color="auto" w:sz="4" w:space="0"/>
              <w:left w:val="single" w:color="auto" w:sz="4" w:space="0"/>
              <w:bottom w:val="single" w:color="auto" w:sz="4" w:space="0"/>
              <w:right w:val="single" w:color="auto" w:sz="4" w:space="0"/>
            </w:tcBorders>
            <w:vAlign w:val="center"/>
          </w:tcPr>
          <w:p w14:paraId="4B6EDF5A">
            <w:pPr>
              <w:spacing w:after="120"/>
              <w:jc w:val="center"/>
              <w:rPr>
                <w:rFonts w:hint="eastAsia" w:ascii="仿宋" w:hAnsi="仿宋" w:eastAsia="仿宋" w:cs="仿宋"/>
                <w:b/>
                <w:szCs w:val="24"/>
                <w:highlight w:val="none"/>
              </w:rPr>
            </w:pPr>
            <w:bookmarkStart w:id="7" w:name="_Toc109"/>
            <w:bookmarkStart w:id="8" w:name="_Toc8981"/>
            <w:bookmarkStart w:id="9" w:name="_Toc15345"/>
            <w:bookmarkStart w:id="10" w:name="_Toc27421"/>
            <w:r>
              <w:rPr>
                <w:rFonts w:hint="eastAsia" w:ascii="仿宋" w:hAnsi="仿宋" w:eastAsia="仿宋" w:cs="仿宋"/>
                <w:b/>
                <w:szCs w:val="24"/>
                <w:highlight w:val="none"/>
              </w:rPr>
              <w:t>原产地及 制造厂名</w:t>
            </w:r>
            <w:bookmarkEnd w:id="7"/>
            <w:bookmarkEnd w:id="8"/>
            <w:bookmarkEnd w:id="9"/>
            <w:bookmarkEnd w:id="10"/>
          </w:p>
        </w:tc>
        <w:tc>
          <w:tcPr>
            <w:tcW w:w="825" w:type="dxa"/>
            <w:tcBorders>
              <w:top w:val="single" w:color="auto" w:sz="4" w:space="0"/>
              <w:left w:val="single" w:color="auto" w:sz="4" w:space="0"/>
              <w:bottom w:val="single" w:color="auto" w:sz="4" w:space="0"/>
              <w:right w:val="single" w:color="auto" w:sz="4" w:space="0"/>
            </w:tcBorders>
            <w:vAlign w:val="center"/>
          </w:tcPr>
          <w:p w14:paraId="30626676">
            <w:pPr>
              <w:spacing w:after="120"/>
              <w:jc w:val="center"/>
              <w:rPr>
                <w:rFonts w:hint="eastAsia" w:ascii="仿宋" w:hAnsi="仿宋" w:eastAsia="仿宋" w:cs="仿宋"/>
                <w:b/>
                <w:szCs w:val="24"/>
                <w:highlight w:val="none"/>
              </w:rPr>
            </w:pPr>
            <w:bookmarkStart w:id="11" w:name="_Toc14127"/>
            <w:bookmarkStart w:id="12" w:name="_Toc14339"/>
            <w:bookmarkStart w:id="13" w:name="_Toc20611"/>
            <w:bookmarkStart w:id="14" w:name="_Toc10570"/>
            <w:r>
              <w:rPr>
                <w:rFonts w:hint="eastAsia" w:ascii="仿宋" w:hAnsi="仿宋" w:eastAsia="仿宋" w:cs="仿宋"/>
                <w:b/>
                <w:szCs w:val="24"/>
                <w:highlight w:val="none"/>
              </w:rPr>
              <w:t>单价</w:t>
            </w:r>
            <w:bookmarkEnd w:id="11"/>
            <w:bookmarkEnd w:id="12"/>
            <w:bookmarkEnd w:id="13"/>
            <w:bookmarkEnd w:id="14"/>
          </w:p>
        </w:tc>
        <w:tc>
          <w:tcPr>
            <w:tcW w:w="735" w:type="dxa"/>
            <w:tcBorders>
              <w:top w:val="single" w:color="auto" w:sz="4" w:space="0"/>
              <w:left w:val="single" w:color="auto" w:sz="4" w:space="0"/>
              <w:bottom w:val="single" w:color="auto" w:sz="4" w:space="0"/>
              <w:right w:val="single" w:color="auto" w:sz="4" w:space="0"/>
            </w:tcBorders>
            <w:vAlign w:val="center"/>
          </w:tcPr>
          <w:p w14:paraId="3B0B71E6">
            <w:pPr>
              <w:spacing w:after="120"/>
              <w:jc w:val="center"/>
              <w:rPr>
                <w:rFonts w:hint="eastAsia" w:ascii="仿宋" w:hAnsi="仿宋" w:eastAsia="仿宋" w:cs="仿宋"/>
                <w:b/>
                <w:szCs w:val="24"/>
                <w:highlight w:val="none"/>
              </w:rPr>
            </w:pPr>
            <w:bookmarkStart w:id="15" w:name="_Toc15777"/>
            <w:bookmarkStart w:id="16" w:name="_Toc879"/>
            <w:bookmarkStart w:id="17" w:name="_Toc31109"/>
            <w:bookmarkStart w:id="18" w:name="_Toc21991"/>
            <w:r>
              <w:rPr>
                <w:rFonts w:hint="eastAsia" w:ascii="仿宋" w:hAnsi="仿宋" w:eastAsia="仿宋" w:cs="仿宋"/>
                <w:b/>
                <w:szCs w:val="24"/>
                <w:highlight w:val="none"/>
              </w:rPr>
              <w:t>数量</w:t>
            </w:r>
            <w:bookmarkEnd w:id="15"/>
            <w:bookmarkEnd w:id="16"/>
            <w:bookmarkEnd w:id="17"/>
            <w:bookmarkEnd w:id="18"/>
          </w:p>
        </w:tc>
        <w:tc>
          <w:tcPr>
            <w:tcW w:w="1050" w:type="dxa"/>
            <w:tcBorders>
              <w:top w:val="single" w:color="auto" w:sz="4" w:space="0"/>
              <w:left w:val="single" w:color="auto" w:sz="4" w:space="0"/>
              <w:bottom w:val="single" w:color="auto" w:sz="4" w:space="0"/>
              <w:right w:val="single" w:color="auto" w:sz="4" w:space="0"/>
            </w:tcBorders>
            <w:vAlign w:val="center"/>
          </w:tcPr>
          <w:p w14:paraId="586665CF">
            <w:pPr>
              <w:spacing w:after="120"/>
              <w:jc w:val="center"/>
              <w:rPr>
                <w:rFonts w:hint="eastAsia" w:ascii="仿宋" w:hAnsi="仿宋" w:eastAsia="仿宋" w:cs="仿宋"/>
                <w:b/>
                <w:szCs w:val="24"/>
                <w:highlight w:val="none"/>
              </w:rPr>
            </w:pPr>
            <w:bookmarkStart w:id="19" w:name="_Toc23428"/>
            <w:bookmarkStart w:id="20" w:name="_Toc28024"/>
            <w:bookmarkStart w:id="21" w:name="_Toc6689"/>
            <w:bookmarkStart w:id="22" w:name="_Toc12748"/>
            <w:r>
              <w:rPr>
                <w:rFonts w:hint="eastAsia" w:ascii="仿宋" w:hAnsi="仿宋" w:eastAsia="仿宋" w:cs="仿宋"/>
                <w:b/>
                <w:szCs w:val="24"/>
                <w:highlight w:val="none"/>
              </w:rPr>
              <w:t>交付地点</w:t>
            </w:r>
            <w:bookmarkEnd w:id="19"/>
            <w:bookmarkEnd w:id="20"/>
            <w:bookmarkEnd w:id="21"/>
            <w:bookmarkEnd w:id="22"/>
          </w:p>
        </w:tc>
        <w:tc>
          <w:tcPr>
            <w:tcW w:w="1215" w:type="dxa"/>
            <w:tcBorders>
              <w:top w:val="single" w:color="auto" w:sz="4" w:space="0"/>
              <w:left w:val="single" w:color="auto" w:sz="4" w:space="0"/>
              <w:bottom w:val="single" w:color="auto" w:sz="4" w:space="0"/>
              <w:right w:val="single" w:color="auto" w:sz="4" w:space="0"/>
            </w:tcBorders>
            <w:vAlign w:val="center"/>
          </w:tcPr>
          <w:p w14:paraId="1EB21375">
            <w:pPr>
              <w:spacing w:after="120"/>
              <w:jc w:val="center"/>
              <w:rPr>
                <w:rFonts w:hint="eastAsia" w:ascii="仿宋" w:hAnsi="仿宋" w:eastAsia="仿宋" w:cs="仿宋"/>
                <w:b/>
                <w:szCs w:val="24"/>
                <w:highlight w:val="none"/>
              </w:rPr>
            </w:pPr>
            <w:bookmarkStart w:id="23" w:name="_Toc10344"/>
            <w:bookmarkStart w:id="24" w:name="_Toc916"/>
            <w:bookmarkStart w:id="25" w:name="_Toc2991"/>
            <w:bookmarkStart w:id="26" w:name="_Toc21882"/>
            <w:r>
              <w:rPr>
                <w:rFonts w:hint="eastAsia" w:ascii="仿宋" w:hAnsi="仿宋" w:eastAsia="仿宋" w:cs="仿宋"/>
                <w:b/>
                <w:szCs w:val="24"/>
                <w:highlight w:val="none"/>
              </w:rPr>
              <w:t>交付时间</w:t>
            </w:r>
            <w:bookmarkEnd w:id="23"/>
            <w:bookmarkEnd w:id="24"/>
            <w:bookmarkEnd w:id="25"/>
            <w:bookmarkEnd w:id="26"/>
          </w:p>
        </w:tc>
        <w:tc>
          <w:tcPr>
            <w:tcW w:w="903" w:type="dxa"/>
            <w:tcBorders>
              <w:top w:val="single" w:color="auto" w:sz="4" w:space="0"/>
              <w:left w:val="single" w:color="auto" w:sz="4" w:space="0"/>
              <w:bottom w:val="single" w:color="auto" w:sz="4" w:space="0"/>
              <w:right w:val="single" w:color="auto" w:sz="4" w:space="0"/>
            </w:tcBorders>
            <w:vAlign w:val="center"/>
          </w:tcPr>
          <w:p w14:paraId="229117D9">
            <w:pPr>
              <w:spacing w:after="120"/>
              <w:jc w:val="center"/>
              <w:rPr>
                <w:rFonts w:hint="eastAsia" w:ascii="仿宋" w:hAnsi="仿宋" w:eastAsia="仿宋" w:cs="仿宋"/>
                <w:b/>
                <w:szCs w:val="24"/>
                <w:highlight w:val="none"/>
              </w:rPr>
            </w:pPr>
            <w:bookmarkStart w:id="27" w:name="_Toc17703"/>
            <w:bookmarkStart w:id="28" w:name="_Toc31273"/>
            <w:bookmarkStart w:id="29" w:name="_Toc18945"/>
            <w:bookmarkStart w:id="30" w:name="_Toc10193"/>
            <w:r>
              <w:rPr>
                <w:rFonts w:hint="eastAsia" w:ascii="仿宋" w:hAnsi="仿宋" w:eastAsia="仿宋" w:cs="仿宋"/>
                <w:b/>
                <w:szCs w:val="24"/>
                <w:highlight w:val="none"/>
              </w:rPr>
              <w:t>备注</w:t>
            </w:r>
            <w:bookmarkEnd w:id="27"/>
            <w:bookmarkEnd w:id="28"/>
            <w:bookmarkEnd w:id="29"/>
            <w:bookmarkEnd w:id="30"/>
          </w:p>
        </w:tc>
      </w:tr>
      <w:tr w14:paraId="05FB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460B64B5">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36553E09">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0BE3FFE1">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B043254">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5E9619AB">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4F0D1F13">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459230B7">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4D3E6784">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69553557">
            <w:pPr>
              <w:spacing w:before="156" w:beforeLines="50" w:line="360" w:lineRule="auto"/>
              <w:jc w:val="center"/>
              <w:rPr>
                <w:rFonts w:hint="eastAsia" w:ascii="仿宋" w:hAnsi="仿宋" w:eastAsia="仿宋" w:cs="仿宋"/>
                <w:szCs w:val="24"/>
                <w:highlight w:val="none"/>
              </w:rPr>
            </w:pPr>
          </w:p>
        </w:tc>
      </w:tr>
      <w:tr w14:paraId="4D135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5601B3B1">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7F69D534">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E2BBE8E">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7DD58DF">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146EB36C">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273B29A5">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6E75C0BA">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7F5159C7">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98EB01F">
            <w:pPr>
              <w:spacing w:before="156" w:beforeLines="50" w:line="360" w:lineRule="auto"/>
              <w:jc w:val="center"/>
              <w:rPr>
                <w:rFonts w:hint="eastAsia" w:ascii="仿宋" w:hAnsi="仿宋" w:eastAsia="仿宋" w:cs="仿宋"/>
                <w:szCs w:val="24"/>
                <w:highlight w:val="none"/>
              </w:rPr>
            </w:pPr>
          </w:p>
        </w:tc>
      </w:tr>
      <w:tr w14:paraId="32420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3DAEC3E3">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54678277">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BD2B8D6">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C62925C">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756E2619">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059A1AB1">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6D39370">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FC03576">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4E7E0B0">
            <w:pPr>
              <w:spacing w:before="156" w:beforeLines="50" w:line="360" w:lineRule="auto"/>
              <w:jc w:val="center"/>
              <w:rPr>
                <w:rFonts w:hint="eastAsia" w:ascii="仿宋" w:hAnsi="仿宋" w:eastAsia="仿宋" w:cs="仿宋"/>
                <w:szCs w:val="24"/>
                <w:highlight w:val="none"/>
              </w:rPr>
            </w:pPr>
          </w:p>
        </w:tc>
      </w:tr>
      <w:tr w14:paraId="559CA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0475F894">
            <w:pPr>
              <w:spacing w:before="156" w:beforeLines="50" w:line="360" w:lineRule="auto"/>
              <w:jc w:val="center"/>
              <w:rPr>
                <w:rFonts w:hint="eastAsia" w:ascii="仿宋" w:hAnsi="仿宋" w:eastAsia="仿宋" w:cs="仿宋"/>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2B988AE7">
            <w:pPr>
              <w:spacing w:before="156" w:beforeLines="50" w:line="360" w:lineRule="auto"/>
              <w:jc w:val="center"/>
              <w:rPr>
                <w:rFonts w:hint="eastAsia" w:ascii="仿宋" w:hAnsi="仿宋" w:eastAsia="仿宋" w:cs="仿宋"/>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75AC6A1C">
            <w:pPr>
              <w:spacing w:before="156" w:beforeLines="50" w:line="360" w:lineRule="auto"/>
              <w:jc w:val="center"/>
              <w:rPr>
                <w:rFonts w:hint="eastAsia" w:ascii="仿宋" w:hAnsi="仿宋" w:eastAsia="仿宋" w:cs="仿宋"/>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11B212D">
            <w:pPr>
              <w:spacing w:before="156" w:beforeLines="50" w:line="360" w:lineRule="auto"/>
              <w:jc w:val="center"/>
              <w:rPr>
                <w:rFonts w:hint="eastAsia" w:ascii="仿宋" w:hAnsi="仿宋" w:eastAsia="仿宋" w:cs="仿宋"/>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04F64E74">
            <w:pPr>
              <w:spacing w:before="156" w:beforeLines="50" w:line="360" w:lineRule="auto"/>
              <w:jc w:val="center"/>
              <w:rPr>
                <w:rFonts w:hint="eastAsia" w:ascii="仿宋" w:hAnsi="仿宋" w:eastAsia="仿宋" w:cs="仿宋"/>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7385480B">
            <w:pPr>
              <w:spacing w:before="156" w:beforeLines="50" w:line="360" w:lineRule="auto"/>
              <w:jc w:val="center"/>
              <w:rPr>
                <w:rFonts w:hint="eastAsia" w:ascii="仿宋" w:hAnsi="仿宋" w:eastAsia="仿宋" w:cs="仿宋"/>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35C03AF">
            <w:pPr>
              <w:spacing w:before="156" w:beforeLines="50" w:line="360" w:lineRule="auto"/>
              <w:jc w:val="center"/>
              <w:rPr>
                <w:rFonts w:hint="eastAsia" w:ascii="仿宋" w:hAnsi="仿宋" w:eastAsia="仿宋" w:cs="仿宋"/>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09FA399">
            <w:pPr>
              <w:spacing w:before="156" w:beforeLines="50" w:line="360" w:lineRule="auto"/>
              <w:jc w:val="center"/>
              <w:rPr>
                <w:rFonts w:hint="eastAsia" w:ascii="仿宋" w:hAnsi="仿宋" w:eastAsia="仿宋" w:cs="仿宋"/>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83CC110">
            <w:pPr>
              <w:spacing w:before="156" w:beforeLines="50" w:line="360" w:lineRule="auto"/>
              <w:jc w:val="center"/>
              <w:rPr>
                <w:rFonts w:hint="eastAsia" w:ascii="仿宋" w:hAnsi="仿宋" w:eastAsia="仿宋" w:cs="仿宋"/>
                <w:szCs w:val="24"/>
                <w:highlight w:val="none"/>
              </w:rPr>
            </w:pPr>
          </w:p>
        </w:tc>
      </w:tr>
    </w:tbl>
    <w:p w14:paraId="7E9E4C4E">
      <w:pPr>
        <w:spacing w:line="360" w:lineRule="auto"/>
        <w:rPr>
          <w:rFonts w:hint="eastAsia" w:ascii="仿宋" w:hAnsi="仿宋" w:eastAsia="仿宋" w:cs="仿宋"/>
          <w:highlight w:val="none"/>
        </w:rPr>
      </w:pPr>
      <w:r>
        <w:rPr>
          <w:rFonts w:hint="eastAsia" w:ascii="仿宋" w:hAnsi="仿宋" w:eastAsia="仿宋" w:cs="仿宋"/>
          <w:b/>
          <w:szCs w:val="24"/>
          <w:highlight w:val="none"/>
        </w:rPr>
        <w:t xml:space="preserve">八、运输、安装、调试要求 </w:t>
      </w:r>
    </w:p>
    <w:p w14:paraId="7F274DA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1981680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167095EA">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九、技术支持</w:t>
      </w:r>
    </w:p>
    <w:p w14:paraId="4820615F">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szCs w:val="24"/>
          <w:highlight w:val="none"/>
        </w:rPr>
      </w:pPr>
      <w:r>
        <w:rPr>
          <w:rFonts w:hint="eastAsia" w:ascii="仿宋" w:hAnsi="仿宋" w:eastAsia="仿宋" w:cs="仿宋"/>
          <w:b/>
          <w:bCs/>
          <w:highlight w:val="none"/>
        </w:rPr>
        <w:t>十、</w:t>
      </w:r>
      <w:r>
        <w:rPr>
          <w:rFonts w:hint="eastAsia" w:ascii="仿宋" w:hAnsi="仿宋" w:eastAsia="仿宋" w:cs="仿宋"/>
          <w:b/>
          <w:bCs/>
          <w:szCs w:val="24"/>
          <w:highlight w:val="none"/>
        </w:rPr>
        <w:t>技术培训</w:t>
      </w:r>
    </w:p>
    <w:p w14:paraId="12B8A7D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应包括产品使用操作、保养、维修等培训内容。供应商需</w:t>
      </w:r>
      <w:r>
        <w:rPr>
          <w:rFonts w:hint="eastAsia" w:ascii="仿宋" w:hAnsi="仿宋" w:eastAsia="仿宋" w:cs="仿宋"/>
          <w:highlight w:val="none"/>
        </w:rPr>
        <w:t>按采购人要求的时间为</w:t>
      </w:r>
      <w:r>
        <w:rPr>
          <w:rFonts w:hint="eastAsia" w:ascii="仿宋" w:hAnsi="仿宋" w:eastAsia="仿宋" w:cs="仿宋"/>
          <w:szCs w:val="24"/>
          <w:highlight w:val="none"/>
        </w:rPr>
        <w:t>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十一、技术资料要求</w:t>
      </w:r>
    </w:p>
    <w:p w14:paraId="697574CB">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供应商应向采购人提供全套中文技术资料一套，其费用包括在</w:t>
      </w:r>
      <w:r>
        <w:rPr>
          <w:rFonts w:hint="eastAsia" w:ascii="仿宋" w:hAnsi="仿宋" w:eastAsia="仿宋" w:cs="仿宋"/>
          <w:szCs w:val="24"/>
          <w:highlight w:val="none"/>
        </w:rPr>
        <w:t>谈判</w:t>
      </w:r>
      <w:r>
        <w:rPr>
          <w:rFonts w:hint="eastAsia" w:ascii="仿宋" w:hAnsi="仿宋" w:eastAsia="仿宋" w:cs="仿宋"/>
          <w:szCs w:val="22"/>
          <w:highlight w:val="none"/>
        </w:rPr>
        <w:t>价格中：</w:t>
      </w:r>
    </w:p>
    <w:p w14:paraId="6C46465C">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szCs w:val="22"/>
          <w:highlight w:val="none"/>
        </w:rPr>
      </w:pPr>
      <w:r>
        <w:rPr>
          <w:rFonts w:hint="eastAsia" w:ascii="仿宋" w:hAnsi="仿宋" w:eastAsia="仿宋" w:cs="仿宋"/>
          <w:szCs w:val="22"/>
          <w:highlight w:val="none"/>
        </w:rPr>
        <w:t>3.产品验收标准；</w:t>
      </w:r>
    </w:p>
    <w:p w14:paraId="1AE82F05">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4.技术说明书及必需的其它技术资料；</w:t>
      </w:r>
    </w:p>
    <w:p w14:paraId="5EE0E05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5.产品安装，调试、维修线路图及原理图；</w:t>
      </w:r>
    </w:p>
    <w:p w14:paraId="0BF219F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6.零部件目录；</w:t>
      </w:r>
    </w:p>
    <w:p w14:paraId="4418C1A5">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7.备品备件、易损件清单；</w:t>
      </w:r>
    </w:p>
    <w:p w14:paraId="0D39264E">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8.整体验收后提供验收报告；</w:t>
      </w:r>
    </w:p>
    <w:p w14:paraId="3E8D6A5C">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9.合同中要求的其他文件资料；</w:t>
      </w:r>
    </w:p>
    <w:p w14:paraId="32356AA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10.检定/校准报告。</w:t>
      </w:r>
    </w:p>
    <w:p w14:paraId="2C0FD319">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十二、质量保证</w:t>
      </w:r>
    </w:p>
    <w:p w14:paraId="0E27FD1D">
      <w:pPr>
        <w:spacing w:line="360" w:lineRule="auto"/>
        <w:ind w:firstLine="420" w:firstLineChars="200"/>
        <w:rPr>
          <w:rFonts w:hint="eastAsia" w:ascii="仿宋" w:hAnsi="仿宋" w:eastAsia="仿宋" w:cs="仿宋"/>
          <w:highlight w:val="none"/>
        </w:rPr>
      </w:pPr>
      <w:r>
        <w:rPr>
          <w:rFonts w:hint="eastAsia" w:ascii="仿宋" w:hAnsi="仿宋" w:eastAsia="仿宋" w:cs="仿宋"/>
          <w:szCs w:val="24"/>
          <w:highlight w:val="none"/>
        </w:rPr>
        <w:t>1.供应商</w:t>
      </w:r>
      <w:r>
        <w:rPr>
          <w:rFonts w:hint="eastAsia" w:ascii="仿宋" w:hAnsi="仿宋" w:eastAsia="仿宋" w:cs="仿宋"/>
          <w:highlight w:val="none"/>
        </w:rPr>
        <w:t>提供的</w:t>
      </w:r>
      <w:r>
        <w:rPr>
          <w:rFonts w:hint="eastAsia" w:ascii="仿宋" w:hAnsi="仿宋" w:eastAsia="仿宋" w:cs="仿宋"/>
          <w:szCs w:val="24"/>
          <w:highlight w:val="none"/>
        </w:rPr>
        <w:t>产品</w:t>
      </w:r>
      <w:r>
        <w:rPr>
          <w:rFonts w:hint="eastAsia" w:ascii="仿宋" w:hAnsi="仿宋" w:eastAsia="仿宋" w:cs="仿宋"/>
          <w:highlight w:val="none"/>
        </w:rPr>
        <w:t>及材料必须保证质量可靠，为市场最新或主流</w:t>
      </w:r>
      <w:r>
        <w:rPr>
          <w:rFonts w:hint="eastAsia" w:ascii="仿宋" w:hAnsi="仿宋" w:eastAsia="仿宋" w:cs="仿宋"/>
          <w:szCs w:val="24"/>
          <w:highlight w:val="none"/>
        </w:rPr>
        <w:t>产品</w:t>
      </w:r>
      <w:r>
        <w:rPr>
          <w:rFonts w:hint="eastAsia" w:ascii="仿宋" w:hAnsi="仿宋" w:eastAsia="仿宋" w:cs="仿宋"/>
          <w:highlight w:val="none"/>
        </w:rPr>
        <w:t>，进货渠道正常，配置合理齐全，应全面满足竞争性</w:t>
      </w:r>
      <w:r>
        <w:rPr>
          <w:rFonts w:hint="eastAsia" w:ascii="仿宋" w:hAnsi="仿宋" w:eastAsia="仿宋" w:cs="仿宋"/>
          <w:szCs w:val="24"/>
          <w:highlight w:val="none"/>
        </w:rPr>
        <w:t>谈判</w:t>
      </w:r>
      <w:r>
        <w:rPr>
          <w:rFonts w:hint="eastAsia" w:ascii="仿宋" w:hAnsi="仿宋" w:eastAsia="仿宋" w:cs="仿宋"/>
          <w:highlight w:val="none"/>
        </w:rPr>
        <w:t>文件的要求，竞争性</w:t>
      </w:r>
      <w:r>
        <w:rPr>
          <w:rFonts w:hint="eastAsia" w:ascii="仿宋" w:hAnsi="仿宋" w:eastAsia="仿宋" w:cs="仿宋"/>
          <w:szCs w:val="24"/>
          <w:highlight w:val="none"/>
        </w:rPr>
        <w:t>谈判</w:t>
      </w:r>
      <w:r>
        <w:rPr>
          <w:rFonts w:hint="eastAsia" w:ascii="仿宋" w:hAnsi="仿宋" w:eastAsia="仿宋" w:cs="仿宋"/>
          <w:highlight w:val="none"/>
        </w:rPr>
        <w:t>文件未明确要求的内容，供应商须按采购</w:t>
      </w:r>
      <w:r>
        <w:rPr>
          <w:rFonts w:hint="eastAsia" w:ascii="仿宋" w:hAnsi="仿宋" w:eastAsia="仿宋" w:cs="仿宋"/>
          <w:szCs w:val="24"/>
          <w:highlight w:val="none"/>
        </w:rPr>
        <w:t>产品</w:t>
      </w:r>
      <w:r>
        <w:rPr>
          <w:rFonts w:hint="eastAsia" w:ascii="仿宋" w:hAnsi="仿宋" w:eastAsia="仿宋" w:cs="仿宋"/>
          <w:highlight w:val="none"/>
        </w:rPr>
        <w:t>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szCs w:val="21"/>
          <w:highlight w:val="none"/>
        </w:rPr>
        <w:t>。</w:t>
      </w:r>
    </w:p>
    <w:p w14:paraId="071E2A42">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服务方式：现场服务，质保期内维修费用含在合同总价中（成交价格），提供终身维修（护）。在质量保证期内发生重大故障，维修工程师抵达现场时间≤48小时。产品实行“三包”，并承担由此产生的包装、运输等的一切费用。</w:t>
      </w:r>
    </w:p>
    <w:p w14:paraId="113DB1DA">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6.质保期内每月至少一次免费上门维护，回访。</w:t>
      </w:r>
    </w:p>
    <w:p w14:paraId="6B53F473">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6321946">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10.</w:t>
      </w:r>
      <w:r>
        <w:rPr>
          <w:rFonts w:hint="eastAsia" w:ascii="仿宋" w:hAnsi="仿宋" w:eastAsia="仿宋" w:cs="仿宋"/>
          <w:highlight w:val="none"/>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55B6458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11.供应商提供的产品及材料必须保证质量可靠，为市场最新或主流产品，进货渠道正常，配置合理齐全，应全面满足竞争性谈判文件的要求，竞争性谈判文件未明确要求的内容，供应商须按采购产品主流标准配置或以采购人的补充要求为准。所供产品工艺质量应严格按国家最新发布的规范标准执行，如发生质量问题由供应商承担全部责任。</w:t>
      </w:r>
    </w:p>
    <w:p w14:paraId="46E92CC9">
      <w:pPr>
        <w:spacing w:line="360" w:lineRule="auto"/>
        <w:rPr>
          <w:rFonts w:hint="eastAsia" w:ascii="仿宋" w:hAnsi="仿宋" w:eastAsia="仿宋" w:cs="仿宋"/>
          <w:b/>
          <w:bCs/>
          <w:szCs w:val="24"/>
          <w:highlight w:val="none"/>
        </w:rPr>
      </w:pPr>
      <w:r>
        <w:rPr>
          <w:rFonts w:hint="eastAsia" w:ascii="仿宋" w:hAnsi="仿宋" w:eastAsia="仿宋" w:cs="仿宋"/>
          <w:b/>
          <w:bCs/>
          <w:highlight w:val="none"/>
        </w:rPr>
        <w:t>十三、</w:t>
      </w:r>
      <w:r>
        <w:rPr>
          <w:rFonts w:hint="eastAsia" w:ascii="仿宋" w:hAnsi="仿宋" w:eastAsia="仿宋" w:cs="仿宋"/>
          <w:b/>
          <w:bCs/>
          <w:szCs w:val="24"/>
          <w:highlight w:val="none"/>
        </w:rPr>
        <w:t>验收</w:t>
      </w:r>
    </w:p>
    <w:p w14:paraId="01B340A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1.初验：货物到达交货地点后，由使用单位根据合同对货物（设备）的名称、品牌、规格、型号、产地、数量进行检查。初验合格填写项目移交单，双方签字盖章。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十四、保密</w:t>
      </w:r>
    </w:p>
    <w:p w14:paraId="15B91960">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十五、知识产权</w:t>
      </w:r>
    </w:p>
    <w:p w14:paraId="6439C969">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十六、合同争议的解决</w:t>
      </w:r>
    </w:p>
    <w:p w14:paraId="28D501D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szCs w:val="24"/>
          <w:highlight w:val="none"/>
        </w:rPr>
      </w:pPr>
      <w:r>
        <w:rPr>
          <w:rFonts w:hint="eastAsia" w:ascii="仿宋" w:hAnsi="仿宋" w:eastAsia="仿宋" w:cs="仿宋"/>
          <w:b/>
          <w:bCs/>
          <w:szCs w:val="24"/>
          <w:highlight w:val="none"/>
        </w:rPr>
        <w:t>十七、不可抗力情况下的免责约定</w:t>
      </w:r>
    </w:p>
    <w:p w14:paraId="22B2783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十八、违约责任</w:t>
      </w:r>
    </w:p>
    <w:p w14:paraId="07FF647E">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十九、其他（</w:t>
      </w:r>
      <w:r>
        <w:rPr>
          <w:rFonts w:hint="eastAsia" w:ascii="仿宋" w:hAnsi="仿宋" w:eastAsia="仿宋" w:cs="仿宋"/>
          <w:szCs w:val="24"/>
          <w:highlight w:val="none"/>
        </w:rPr>
        <w:t>在合同中具体明确）</w:t>
      </w:r>
    </w:p>
    <w:p w14:paraId="5A3F96C9">
      <w:pPr>
        <w:spacing w:line="360" w:lineRule="auto"/>
        <w:rPr>
          <w:rFonts w:hint="eastAsia" w:ascii="仿宋" w:hAnsi="仿宋" w:eastAsia="仿宋" w:cs="仿宋"/>
          <w:b/>
          <w:highlight w:val="none"/>
        </w:rPr>
      </w:pPr>
      <w:r>
        <w:rPr>
          <w:rFonts w:hint="eastAsia" w:ascii="仿宋" w:hAnsi="仿宋" w:eastAsia="仿宋" w:cs="仿宋"/>
          <w:b/>
          <w:highlight w:val="none"/>
        </w:rPr>
        <w:t>二十、监督和管理</w:t>
      </w:r>
    </w:p>
    <w:p w14:paraId="73ABB96A">
      <w:pPr>
        <w:spacing w:line="360" w:lineRule="auto"/>
        <w:ind w:firstLine="420" w:firstLineChars="200"/>
        <w:rPr>
          <w:rFonts w:hint="eastAsia" w:ascii="仿宋" w:hAnsi="仿宋" w:eastAsia="仿宋" w:cs="仿宋"/>
          <w:bCs/>
          <w:highlight w:val="none"/>
        </w:rPr>
      </w:pPr>
      <w:r>
        <w:rPr>
          <w:rFonts w:hint="eastAsia" w:ascii="仿宋" w:hAnsi="仿宋" w:eastAsia="仿宋" w:cs="仿宋"/>
          <w:bCs/>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highlight w:val="none"/>
        </w:rPr>
      </w:pPr>
      <w:r>
        <w:rPr>
          <w:rFonts w:hint="eastAsia" w:ascii="仿宋" w:hAnsi="仿宋" w:eastAsia="仿宋" w:cs="仿宋"/>
          <w:bCs/>
          <w:highlight w:val="none"/>
        </w:rPr>
        <w:t>2、</w:t>
      </w:r>
      <w:r>
        <w:rPr>
          <w:rFonts w:hint="eastAsia" w:ascii="仿宋" w:hAnsi="仿宋" w:eastAsia="仿宋" w:cs="仿宋"/>
          <w:highlight w:val="none"/>
        </w:rPr>
        <w:t>采购人供应商</w:t>
      </w:r>
      <w:r>
        <w:rPr>
          <w:rFonts w:hint="eastAsia" w:ascii="仿宋" w:hAnsi="仿宋" w:eastAsia="仿宋" w:cs="仿宋"/>
          <w:bCs/>
          <w:highlight w:val="none"/>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highlight w:val="none"/>
        </w:rPr>
      </w:pPr>
      <w:r>
        <w:rPr>
          <w:rFonts w:hint="eastAsia" w:ascii="仿宋" w:hAnsi="仿宋" w:eastAsia="仿宋" w:cs="仿宋"/>
          <w:b/>
          <w:highlight w:val="none"/>
        </w:rPr>
        <w:t>二十一、合同订立</w:t>
      </w:r>
    </w:p>
    <w:p w14:paraId="3D914D2F">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1.订立时间：</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4326F1C">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2.订立地点：</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7D42141D">
      <w:pPr>
        <w:tabs>
          <w:tab w:val="left" w:pos="980"/>
        </w:tabs>
        <w:kinsoku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3.本合同一式</w:t>
      </w:r>
      <w:r>
        <w:rPr>
          <w:rFonts w:hint="eastAsia" w:ascii="仿宋" w:hAnsi="仿宋" w:eastAsia="仿宋" w:cs="仿宋"/>
          <w:highlight w:val="none"/>
          <w:u w:val="single"/>
        </w:rPr>
        <w:t xml:space="preserve">    </w:t>
      </w:r>
      <w:r>
        <w:rPr>
          <w:rFonts w:hint="eastAsia" w:ascii="仿宋" w:hAnsi="仿宋" w:eastAsia="仿宋" w:cs="仿宋"/>
          <w:highlight w:val="none"/>
        </w:rPr>
        <w:t>份，具有同等法律效力，双方各执</w:t>
      </w:r>
      <w:r>
        <w:rPr>
          <w:rFonts w:hint="eastAsia" w:ascii="仿宋" w:hAnsi="仿宋" w:eastAsia="仿宋" w:cs="仿宋"/>
          <w:highlight w:val="none"/>
          <w:u w:val="single"/>
        </w:rPr>
        <w:t>贰</w:t>
      </w:r>
      <w:r>
        <w:rPr>
          <w:rFonts w:hint="eastAsia" w:ascii="仿宋" w:hAnsi="仿宋" w:eastAsia="仿宋" w:cs="仿宋"/>
          <w:highlight w:val="none"/>
        </w:rPr>
        <w:t xml:space="preserve">份采购代理机构存档 </w:t>
      </w:r>
      <w:r>
        <w:rPr>
          <w:rFonts w:hint="eastAsia" w:ascii="仿宋" w:hAnsi="仿宋" w:eastAsia="仿宋" w:cs="仿宋"/>
          <w:highlight w:val="none"/>
          <w:u w:val="single"/>
        </w:rPr>
        <w:t xml:space="preserve">壹 </w:t>
      </w:r>
      <w:r>
        <w:rPr>
          <w:rFonts w:hint="eastAsia" w:ascii="仿宋" w:hAnsi="仿宋" w:eastAsia="仿宋" w:cs="仿宋"/>
          <w:highlight w:val="none"/>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highlight w:val="none"/>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3"/>
        <w:rPr>
          <w:rFonts w:hint="eastAsia" w:ascii="仿宋" w:hAnsi="仿宋" w:eastAsia="仿宋" w:cs="仿宋"/>
          <w:highlight w:val="none"/>
        </w:rPr>
      </w:pPr>
    </w:p>
    <w:p w14:paraId="0701D9C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采购人：</w:t>
      </w:r>
      <w:r>
        <w:rPr>
          <w:rFonts w:hint="eastAsia" w:ascii="仿宋" w:hAnsi="仿宋" w:eastAsia="仿宋" w:cs="仿宋"/>
          <w:highlight w:val="none"/>
          <w:u w:val="single"/>
        </w:rPr>
        <w:t xml:space="preserve">   （盖章）      </w:t>
      </w:r>
      <w:r>
        <w:rPr>
          <w:rFonts w:hint="eastAsia" w:ascii="仿宋" w:hAnsi="仿宋" w:eastAsia="仿宋" w:cs="仿宋"/>
          <w:highlight w:val="none"/>
        </w:rPr>
        <w:t xml:space="preserve">            </w:t>
      </w:r>
      <w:r>
        <w:rPr>
          <w:rFonts w:hint="eastAsia" w:ascii="仿宋" w:hAnsi="仿宋" w:eastAsia="仿宋" w:cs="仿宋"/>
          <w:highlight w:val="none"/>
          <w:lang w:val="en-US" w:eastAsia="zh-CN"/>
        </w:rPr>
        <w:t>供应商</w:t>
      </w:r>
      <w:r>
        <w:rPr>
          <w:rFonts w:hint="eastAsia" w:ascii="仿宋" w:hAnsi="仿宋" w:eastAsia="仿宋" w:cs="仿宋"/>
          <w:highlight w:val="none"/>
        </w:rPr>
        <w:t>：</w:t>
      </w:r>
      <w:r>
        <w:rPr>
          <w:rFonts w:hint="eastAsia" w:ascii="仿宋" w:hAnsi="仿宋" w:eastAsia="仿宋" w:cs="仿宋"/>
          <w:highlight w:val="none"/>
          <w:u w:val="single"/>
        </w:rPr>
        <w:t xml:space="preserve">   （盖章）         </w:t>
      </w:r>
    </w:p>
    <w:p w14:paraId="66F4A965">
      <w:pPr>
        <w:adjustRightInd w:val="0"/>
        <w:snapToGrid w:val="0"/>
        <w:spacing w:line="360" w:lineRule="auto"/>
        <w:ind w:firstLine="415" w:firstLineChars="198"/>
        <w:rPr>
          <w:rFonts w:hint="eastAsia" w:ascii="仿宋" w:hAnsi="仿宋" w:eastAsia="仿宋" w:cs="仿宋"/>
          <w:highlight w:val="none"/>
          <w:u w:val="single"/>
        </w:rPr>
      </w:pPr>
      <w:r>
        <w:rPr>
          <w:rFonts w:hint="eastAsia" w:ascii="仿宋" w:hAnsi="仿宋" w:eastAsia="仿宋" w:cs="仿宋"/>
          <w:highlight w:val="none"/>
        </w:rPr>
        <w:t xml:space="preserve">地 址： </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地  址：</w:t>
      </w:r>
      <w:r>
        <w:rPr>
          <w:rFonts w:hint="eastAsia" w:ascii="仿宋" w:hAnsi="仿宋" w:eastAsia="仿宋" w:cs="仿宋"/>
          <w:highlight w:val="none"/>
          <w:u w:val="single"/>
        </w:rPr>
        <w:t xml:space="preserve">                    </w:t>
      </w:r>
    </w:p>
    <w:p w14:paraId="65DEA8F4">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邮政编码：</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邮政编码：</w:t>
      </w:r>
      <w:r>
        <w:rPr>
          <w:rFonts w:hint="eastAsia" w:ascii="仿宋" w:hAnsi="仿宋" w:eastAsia="仿宋" w:cs="仿宋"/>
          <w:highlight w:val="none"/>
          <w:u w:val="single"/>
        </w:rPr>
        <w:t xml:space="preserve">                   </w:t>
      </w:r>
    </w:p>
    <w:p w14:paraId="6D940B2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的代理人：</w:t>
      </w:r>
      <w:r>
        <w:rPr>
          <w:rFonts w:hint="eastAsia" w:ascii="仿宋" w:hAnsi="仿宋" w:eastAsia="仿宋" w:cs="仿宋"/>
          <w:highlight w:val="none"/>
          <w:u w:val="single"/>
        </w:rPr>
        <w:t xml:space="preserve">（签字）      </w:t>
      </w:r>
      <w:r>
        <w:rPr>
          <w:rFonts w:hint="eastAsia" w:ascii="仿宋" w:hAnsi="仿宋" w:eastAsia="仿宋" w:cs="仿宋"/>
          <w:highlight w:val="none"/>
        </w:rPr>
        <w:t xml:space="preserve">             的代理人：</w:t>
      </w:r>
      <w:r>
        <w:rPr>
          <w:rFonts w:hint="eastAsia" w:ascii="仿宋" w:hAnsi="仿宋" w:eastAsia="仿宋" w:cs="仿宋"/>
          <w:highlight w:val="none"/>
          <w:u w:val="single"/>
        </w:rPr>
        <w:t xml:space="preserve">（签字）           </w:t>
      </w:r>
    </w:p>
    <w:p w14:paraId="2E93B483">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开户银行：</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开户银行：</w:t>
      </w:r>
      <w:r>
        <w:rPr>
          <w:rFonts w:hint="eastAsia" w:ascii="仿宋" w:hAnsi="仿宋" w:eastAsia="仿宋" w:cs="仿宋"/>
          <w:highlight w:val="none"/>
          <w:u w:val="single"/>
        </w:rPr>
        <w:t xml:space="preserve">                   </w:t>
      </w:r>
    </w:p>
    <w:p w14:paraId="66B2FC9F">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账号：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账号：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214E8A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电话：</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电话：</w:t>
      </w:r>
      <w:r>
        <w:rPr>
          <w:rFonts w:hint="eastAsia" w:ascii="仿宋" w:hAnsi="仿宋" w:eastAsia="仿宋" w:cs="仿宋"/>
          <w:highlight w:val="none"/>
          <w:u w:val="single"/>
        </w:rPr>
        <w:t xml:space="preserve">                       </w:t>
      </w:r>
    </w:p>
    <w:p w14:paraId="7635827E">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传真：</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传真：</w:t>
      </w:r>
      <w:r>
        <w:rPr>
          <w:rFonts w:hint="eastAsia" w:ascii="仿宋" w:hAnsi="仿宋" w:eastAsia="仿宋" w:cs="仿宋"/>
          <w:highlight w:val="none"/>
          <w:u w:val="single"/>
        </w:rPr>
        <w:t xml:space="preserve">                       </w:t>
      </w:r>
    </w:p>
    <w:p w14:paraId="0C100CE3">
      <w:pPr>
        <w:ind w:firstLine="420" w:firstLineChars="200"/>
        <w:rPr>
          <w:rFonts w:hint="eastAsia" w:ascii="仿宋" w:hAnsi="仿宋" w:eastAsia="仿宋" w:cs="仿宋"/>
          <w:highlight w:val="none"/>
          <w:lang w:val="en-US" w:eastAsia="zh-CN"/>
        </w:rPr>
      </w:pPr>
      <w:r>
        <w:rPr>
          <w:rFonts w:hint="eastAsia" w:ascii="仿宋" w:hAnsi="仿宋" w:eastAsia="仿宋" w:cs="仿宋"/>
          <w:highlight w:val="none"/>
        </w:rPr>
        <w:t>电子邮箱：</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电子邮箱：</w:t>
      </w:r>
      <w:r>
        <w:rPr>
          <w:rFonts w:hint="eastAsia" w:ascii="仿宋" w:hAnsi="仿宋" w:eastAsia="仿宋" w:cs="仿宋"/>
          <w:highlight w:val="none"/>
          <w:u w:val="single"/>
        </w:rPr>
        <w:t xml:space="preserve">                   </w:t>
      </w:r>
    </w:p>
    <w:p w14:paraId="4EB5B6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ascii="楷体" w:hAnsi="楷体" w:eastAsia="楷体" w:cs="楷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40115">
                          <w:pPr>
                            <w:pStyle w:val="2"/>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7840115">
                    <w:pPr>
                      <w:pStyle w:val="2"/>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ascii="楷体" w:hAnsi="楷体" w:eastAsia="楷体" w:cs="楷体"/>
        <w:kern w:val="2"/>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725A3"/>
    <w:rsid w:val="01572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652" w:firstLineChars="233"/>
    </w:pPr>
    <w:rPr>
      <w:rFonts w:ascii="Times New Roman"/>
      <w:sz w:val="28"/>
    </w:r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unhideWhenUsed/>
    <w:qFormat/>
    <w:uiPriority w:val="0"/>
    <w:pPr>
      <w:ind w:firstLine="42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2025-07-23T08:07:00Z</dcterms:created>
  <dc:creator>苍白假面</dc:creator>
  <cp:lastModifiedBy>苍白假面</cp:lastModifiedBy>
  <dcterms:modified xsi:type="dcterms:W3CDTF">2025-07-23T08:08:17Z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9FF977F2326C4BFC855BC2651A2BD198_11</vt:lpwstr>
  </property>
  <property fmtid="{D5CDD505-2E9C-101B-9397-08002B2CF9AE}" pid="4" name="KSOTemplateDocerSaveRecord">
    <vt:lpwstr>eyJoZGlkIjoiY2U1ZTlkNThkYmUxMjkwM2M5Y2E1YWM0NWQ1ZjUwMDUiLCJ1c2VySWQiOiIyNzI4NDY5MDUifQ==</vt:lpwstr>
  </property>
</Properties>
</file>