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版本号：HRC-ZBDL-2025-0088220250805001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2025-2026年度校园责任险采购项目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HRC-ZBDL-2025-00882</w:t>
      </w:r>
      <w:r>
        <w:br/>
      </w:r>
      <w:r>
        <w:br/>
      </w:r>
      <w:r>
        <w:br/>
      </w:r>
    </w:p>
    <w:p>
      <w:pPr>
        <w:pStyle w:val="null3"/>
        <w:jc w:val="center"/>
        <w:outlineLvl w:val="2"/>
      </w:pPr>
      <w:r>
        <w:rPr>
          <w:rFonts w:ascii="仿宋_GB2312" w:hAnsi="仿宋_GB2312" w:cs="仿宋_GB2312" w:eastAsia="仿宋_GB2312"/>
          <w:sz w:val="28"/>
          <w:b/>
        </w:rPr>
        <w:t>西安市莲湖区教育局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西安市莲湖区教育局</w:t>
      </w:r>
      <w:r>
        <w:rPr>
          <w:rFonts w:ascii="仿宋_GB2312" w:hAnsi="仿宋_GB2312" w:cs="仿宋_GB2312" w:eastAsia="仿宋_GB2312"/>
        </w:rPr>
        <w:t>委托，拟对</w:t>
      </w:r>
      <w:r>
        <w:rPr>
          <w:rFonts w:ascii="仿宋_GB2312" w:hAnsi="仿宋_GB2312" w:cs="仿宋_GB2312" w:eastAsia="仿宋_GB2312"/>
        </w:rPr>
        <w:t>2025-2026年度校园责任险采购项目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HRC-ZBDL-2025-00882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2025-2026年度校园责任险采购项目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为全区区属71所公办校园约为92000名学生（人数暂定）办理校方责任保险。具体内容详见磋商文件技术要求。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财务状况报告：提供2024年度经审计的完整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p>
    <w:p>
      <w:pPr>
        <w:pStyle w:val="null3"/>
      </w:pPr>
      <w:r>
        <w:rPr>
          <w:rFonts w:ascii="仿宋_GB2312" w:hAnsi="仿宋_GB2312" w:cs="仿宋_GB2312" w:eastAsia="仿宋_GB2312"/>
        </w:rPr>
        <w:t>3、税收缴纳证明：提供磋商截止日前六个月内任意一个月的纳税证明或完税证明（增值税、印花税、城市维护建设费、企业所得税等一种或多种税种），依法免税的单位提供相关证明材料；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4、社会保障资金缴纳证明：提供磋商截止日前六个月内任意一个月的社保资金交纳证明，依法不需要缴纳社保资金的单位提供相关证明材料；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5、没有重大违法记录的书面声明：参加本次政府采购活动前三年内在经营活动中没有重大违法记录的书面声明；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7、供应商代表资格：法定代表人直接参加磋商的，须出具法定代表 人身份证明；法定代表人授权代表参加磋商的，须出具法定代表人授权书；</w:t>
      </w:r>
    </w:p>
    <w:p>
      <w:pPr>
        <w:pStyle w:val="null3"/>
      </w:pPr>
      <w:r>
        <w:rPr>
          <w:rFonts w:ascii="仿宋_GB2312" w:hAnsi="仿宋_GB2312" w:cs="仿宋_GB2312" w:eastAsia="仿宋_GB2312"/>
        </w:rPr>
        <w:t>8、信誉截图：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p>
      <w:pPr>
        <w:pStyle w:val="null3"/>
      </w:pPr>
      <w:r>
        <w:rPr>
          <w:rFonts w:ascii="仿宋_GB2312" w:hAnsi="仿宋_GB2312" w:cs="仿宋_GB2312" w:eastAsia="仿宋_GB2312"/>
        </w:rPr>
        <w:t>9、企业资质：供应商需具有中国银行保险监督管理委员会颁发的经营保险业务许可证或保险许可证（同一保险机构只允许其本部或一家分支机构参与。若供应商为分支机构,须提供总公司针对本项目的唯一授权书）;</w:t>
      </w:r>
    </w:p>
    <w:p>
      <w:pPr>
        <w:pStyle w:val="null3"/>
      </w:pPr>
      <w:r>
        <w:rPr>
          <w:rFonts w:ascii="仿宋_GB2312" w:hAnsi="仿宋_GB2312" w:cs="仿宋_GB2312" w:eastAsia="仿宋_GB2312"/>
        </w:rPr>
        <w:t>10、联合体：本项目不接受联合体磋商。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陕西省西安市莲湖区红埠街59号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13992856750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18066891049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实际中标价为计算基数，依据国家计委关于《招标代理服务收费管理暂行办法》（计价格[2002]1980号）、国家发展改革委员会办公厅颁发的《关于招标代理服务收费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西安市莲湖区教育局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详见竞争性磋商文件和服务合同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联系人：周泉</w:t>
      </w:r>
    </w:p>
    <w:p>
      <w:pPr>
        <w:pStyle w:val="null3"/>
      </w:pPr>
      <w:r>
        <w:rPr>
          <w:rFonts w:ascii="仿宋_GB2312" w:hAnsi="仿宋_GB2312" w:cs="仿宋_GB2312" w:eastAsia="仿宋_GB2312"/>
        </w:rPr>
        <w:t>联系电话：18066891049</w:t>
      </w:r>
    </w:p>
    <w:p>
      <w:pPr>
        <w:pStyle w:val="null3"/>
      </w:pPr>
      <w:r>
        <w:rPr>
          <w:rFonts w:ascii="仿宋_GB2312" w:hAnsi="仿宋_GB2312" w:cs="仿宋_GB2312" w:eastAsia="仿宋_GB2312"/>
        </w:rPr>
        <w:t>地址：西安市曲江新城区雁翔路3269号【旺座·曲江】E座29层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为全区区属71所公办校园约为92000名学生（人数暂定）办理校方责任保险。具体内容详见磋商文件技术要求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校园责任险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标的名称：校园责任险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15"/>
              <w:jc w:val="left"/>
            </w:pPr>
            <w:r>
              <w:rPr>
                <w:rFonts w:ascii="仿宋_GB2312" w:hAnsi="仿宋_GB2312" w:cs="仿宋_GB2312" w:eastAsia="仿宋_GB2312"/>
                <w:sz w:val="21"/>
                <w:color w:val="000000"/>
              </w:rPr>
              <w:t>服务要求：</w:t>
            </w:r>
          </w:p>
          <w:p>
            <w:pPr>
              <w:pStyle w:val="null3"/>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服务内容（包括工作区域、工作内容等）</w:t>
            </w:r>
          </w:p>
          <w:p>
            <w:pPr>
              <w:pStyle w:val="null3"/>
              <w:ind w:firstLine="420"/>
              <w:jc w:val="left"/>
            </w:pPr>
            <w:r>
              <w:rPr>
                <w:rFonts w:ascii="仿宋_GB2312" w:hAnsi="仿宋_GB2312" w:cs="仿宋_GB2312" w:eastAsia="仿宋_GB2312"/>
                <w:sz w:val="21"/>
                <w:color w:val="000000"/>
              </w:rPr>
              <w:t>1、保险内容：校方责任险每生每学年保费</w:t>
            </w:r>
            <w:r>
              <w:rPr>
                <w:rFonts w:ascii="仿宋_GB2312" w:hAnsi="仿宋_GB2312" w:cs="仿宋_GB2312" w:eastAsia="仿宋_GB2312"/>
                <w:sz w:val="21"/>
                <w:color w:val="000000"/>
              </w:rPr>
              <w:t>不得高于</w:t>
            </w:r>
            <w:r>
              <w:rPr>
                <w:rFonts w:ascii="仿宋_GB2312" w:hAnsi="仿宋_GB2312" w:cs="仿宋_GB2312" w:eastAsia="仿宋_GB2312"/>
                <w:sz w:val="21"/>
                <w:color w:val="000000"/>
              </w:rPr>
              <w:t>10元。为使校方责任险在处理校园意外伤害事故时，最大限度的转移学校办学风险，保障校园正常教育教学秩序。</w:t>
            </w:r>
          </w:p>
          <w:p>
            <w:pPr>
              <w:pStyle w:val="null3"/>
              <w:ind w:firstLine="420"/>
              <w:jc w:val="left"/>
            </w:pPr>
            <w:r>
              <w:rPr>
                <w:rFonts w:ascii="仿宋_GB2312" w:hAnsi="仿宋_GB2312" w:cs="仿宋_GB2312" w:eastAsia="仿宋_GB2312"/>
                <w:sz w:val="21"/>
                <w:color w:val="000000"/>
              </w:rPr>
              <w:t>2、服务期限：1年。</w:t>
            </w:r>
          </w:p>
          <w:p>
            <w:pPr>
              <w:pStyle w:val="null3"/>
              <w:ind w:firstLine="420"/>
              <w:jc w:val="left"/>
            </w:pPr>
            <w:r>
              <w:rPr>
                <w:rFonts w:ascii="仿宋_GB2312" w:hAnsi="仿宋_GB2312" w:cs="仿宋_GB2312" w:eastAsia="仿宋_GB2312"/>
                <w:sz w:val="21"/>
                <w:color w:val="000000"/>
              </w:rPr>
              <w:t>3、保费：保费</w:t>
            </w:r>
            <w:r>
              <w:rPr>
                <w:rFonts w:ascii="仿宋_GB2312" w:hAnsi="仿宋_GB2312" w:cs="仿宋_GB2312" w:eastAsia="仿宋_GB2312"/>
                <w:sz w:val="21"/>
                <w:color w:val="000000"/>
              </w:rPr>
              <w:t>一次</w:t>
            </w:r>
            <w:r>
              <w:rPr>
                <w:rFonts w:ascii="仿宋_GB2312" w:hAnsi="仿宋_GB2312" w:cs="仿宋_GB2312" w:eastAsia="仿宋_GB2312"/>
                <w:sz w:val="21"/>
                <w:color w:val="000000"/>
              </w:rPr>
              <w:t>缴纳，以投保时实际统计学生人数计算。</w:t>
            </w:r>
          </w:p>
          <w:p>
            <w:pPr>
              <w:pStyle w:val="null3"/>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、服务要求</w:t>
            </w:r>
          </w:p>
          <w:p>
            <w:pPr>
              <w:pStyle w:val="null3"/>
              <w:ind w:firstLine="316"/>
              <w:jc w:val="left"/>
            </w:pPr>
            <w:r>
              <w:rPr>
                <w:rFonts w:ascii="仿宋_GB2312" w:hAnsi="仿宋_GB2312" w:cs="仿宋_GB2312" w:eastAsia="仿宋_GB2312"/>
                <w:sz w:val="21"/>
                <w:b/>
                <w:color w:val="000000"/>
              </w:rPr>
              <w:t>1、承保服务</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1）协助各级教育行政部门做好投保学校的各项承保工作。</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2）协助各级教育行政部门做好对被保险学校的宣传和培训工作。</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3）自收到被保险学校投保材料后5个工作日内出具正式保险单和发票。</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被保险学校有人员变动、名称或地址变更、合并、注销、分立、设立分校等事宜时，承保公司做好上述事项的保全服务工作，并在接到学校批改申请材料的5个工作日内出具批单和发票。全区被保险学校人数增加不超过5%的，不另外收取保费。</w:t>
            </w:r>
          </w:p>
          <w:p>
            <w:pPr>
              <w:pStyle w:val="null3"/>
              <w:ind w:firstLine="310"/>
              <w:jc w:val="left"/>
            </w:pPr>
            <w:r>
              <w:rPr>
                <w:rFonts w:ascii="仿宋_GB2312" w:hAnsi="仿宋_GB2312" w:cs="仿宋_GB2312" w:eastAsia="仿宋_GB2312"/>
                <w:sz w:val="21"/>
                <w:b/>
                <w:color w:val="000000"/>
              </w:rPr>
              <w:t>2、理赔服务</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1）承保公司应当成立专门的校方责任保险理赔服务机构，由有经验的专业理赔人员负责理赔服务工作，并配备相应的办公设备。</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2）设立热线电话，负责受理校方责任保险的事故报案、咨询、疑难解答和投诉处理，对于事故报案和客户投诉，承保公司应当在5个工作日内就重要事项作出明确答复。</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对收到的索赔材料进行审核，并在3个工作日内向被保险人反馈是否立案以及是否需要补充提供证明材料，对决定拒赔或者不予立案的，出具正式的书面意见。对索赔材料齐全的校方责任保险案件，在立案后的5个工作日内开具赔款通知书；对重大疑难案件应在立案后不超过25个工作日内结案。</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4）承保公司与被保险学校达成赔偿或者给付协议，并且已经确定赔偿金额的，1000元以下的案件2个工作日内赔付结案；3000元以下的案件3个工作日内结案；5000元以下的案件5个工作日内结案。</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成立重大事故协调处理小组：为减少发生的重大人身伤亡事故对校方的影响，尽快恢复正常的教育教学秩序。承保公司应当协助各级教育行政部门临时组建“重大事故协调处理小组”,负责协调重大事故的赔偿解决方案。对于案情经过及校方责任基本明确，且已就赔偿金额初步达成一致意见的情况下，承保公司应当在5个工作日内预付该次事故赔偿金额的50%，用以协助平息纠纷。</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6）对于承保公司认定不属于保险责任的事故，如西安市莲湖区教育局提出书面处理意见，承保公司应酌情予以赔付。</w:t>
            </w:r>
          </w:p>
          <w:p>
            <w:pPr>
              <w:pStyle w:val="null3"/>
              <w:ind w:firstLine="413"/>
              <w:jc w:val="left"/>
            </w:pPr>
            <w:r>
              <w:rPr>
                <w:rFonts w:ascii="仿宋_GB2312" w:hAnsi="仿宋_GB2312" w:cs="仿宋_GB2312" w:eastAsia="仿宋_GB2312"/>
                <w:sz w:val="21"/>
                <w:b/>
                <w:color w:val="000000"/>
              </w:rPr>
              <w:t>3、法律援助服务</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1）承保公司应当成立专门的法律服务小组，在发生学生人身伤害事故时，协助学校妥善处理善后事宜，对学校提供法律和保险方面的指导，尽最大可能减少学校的经济损失。</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2）学校与学生家长就学生人身伤害事故赔偿问题产生纠纷时，承保公司必须为学校提供法律援助，指派专人负责协助协调学校和家长的矛盾。</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3）学校与学生家长无法就赔偿问题达成一致意见而诉诸法律时，承保公司必须无偿为学校提供诉讼代理服务。</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4）学校与学生家长诉诸法律解决纠纷时，如教育部门已为学校安排代理律师或者学校经教育行政部门同意自行聘请律师，承保公司应充分认可诉讼结论。</w:t>
            </w:r>
          </w:p>
          <w:p>
            <w:pPr>
              <w:pStyle w:val="null3"/>
              <w:ind w:firstLine="517"/>
              <w:jc w:val="left"/>
            </w:pPr>
            <w:r>
              <w:rPr>
                <w:rFonts w:ascii="仿宋_GB2312" w:hAnsi="仿宋_GB2312" w:cs="仿宋_GB2312" w:eastAsia="仿宋_GB2312"/>
                <w:sz w:val="21"/>
                <w:b/>
                <w:color w:val="000000"/>
              </w:rPr>
              <w:t>4、增值服务</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1）协助教育行政部门对被保险学校进行安全教育和风险管理以及防灾防损培训。</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2）协助教育行政部门对被保险学校举办体育比赛、运动会、汇报演出等大型活动时的安全防范工作，提供必要的技术支持，并为活动安排保险方案。</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3）定期向西安市莲湖区教育局报告工作情况和提供风险管理方案。</w:t>
            </w:r>
          </w:p>
          <w:p>
            <w:pPr>
              <w:pStyle w:val="null3"/>
              <w:ind w:firstLine="517"/>
              <w:jc w:val="left"/>
            </w:pPr>
            <w:r>
              <w:rPr>
                <w:rFonts w:ascii="仿宋_GB2312" w:hAnsi="仿宋_GB2312" w:cs="仿宋_GB2312" w:eastAsia="仿宋_GB2312"/>
                <w:sz w:val="21"/>
                <w:b/>
                <w:color w:val="000000"/>
              </w:rPr>
              <w:t>5、特色服务</w:t>
            </w:r>
          </w:p>
          <w:p>
            <w:pPr>
              <w:pStyle w:val="null3"/>
              <w:ind w:firstLine="420"/>
              <w:jc w:val="left"/>
            </w:pPr>
            <w:r>
              <w:rPr>
                <w:rFonts w:ascii="仿宋_GB2312" w:hAnsi="仿宋_GB2312" w:cs="仿宋_GB2312" w:eastAsia="仿宋_GB2312"/>
                <w:sz w:val="21"/>
                <w:color w:val="000000"/>
              </w:rPr>
              <w:t>为了能够体现校方责任保险服务于西安市教育行业的特点，供应商应充分了解西安市教育行业的现状及风险状况，并在基础服务项目上增加其他服务内容。</w:t>
            </w:r>
          </w:p>
          <w:p>
            <w:pPr>
              <w:pStyle w:val="null3"/>
              <w:ind w:firstLine="413"/>
              <w:jc w:val="left"/>
            </w:pPr>
            <w:r>
              <w:rPr>
                <w:rFonts w:ascii="仿宋_GB2312" w:hAnsi="仿宋_GB2312" w:cs="仿宋_GB2312" w:eastAsia="仿宋_GB2312"/>
                <w:sz w:val="21"/>
                <w:b/>
                <w:color w:val="000000"/>
              </w:rPr>
              <w:t>6、赔偿范围与项目</w:t>
            </w:r>
          </w:p>
          <w:p>
            <w:pPr>
              <w:pStyle w:val="null3"/>
              <w:ind w:firstLine="420"/>
              <w:jc w:val="left"/>
            </w:pPr>
            <w:r>
              <w:rPr>
                <w:rFonts w:ascii="仿宋_GB2312" w:hAnsi="仿宋_GB2312" w:cs="仿宋_GB2312" w:eastAsia="仿宋_GB2312"/>
                <w:sz w:val="21"/>
                <w:color w:val="000000"/>
              </w:rPr>
              <w:t>保险公司根据《学生伤害事故处理办法》、《最高人民法院关于审理人身损害赔偿案件适用法律若干问题的解释》、《侵权责任法》相关规定，凭借以前校方责任保险赔案的经验中确定赔偿项目与计算依据填写下列表格空白处。</w:t>
            </w:r>
          </w:p>
          <w:tbl>
            <w:tblPr>
              <w:tblInd w:type="dxa" w:w="105"/>
              <w:tblBorders>
                <w:top w:val="none" w:color="000000" w:sz="4"/>
                <w:left w:val="none" w:color="000000" w:sz="4"/>
                <w:bottom w:val="none" w:color="000000" w:sz="4"/>
                <w:right w:val="none" w:color="000000" w:sz="4"/>
                <w:insideH w:val="none"/>
                <w:insideV w:val="none"/>
              </w:tblBorders>
            </w:tblPr>
            <w:tblGrid>
              <w:gridCol w:w="268"/>
              <w:gridCol w:w="1512"/>
              <w:gridCol w:w="762"/>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赔偿范围</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赔偿项目与计算依据</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医疗费</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住院伙食补助费</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营养费</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监护人误工费</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护理费</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交通费</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残疾用具费</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残疾等级鉴定费</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伤残赔偿金</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丧葬费</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死亡赔偿金</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法律费用</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施救费用</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保险公司认为补充响应的其他赔偿范围</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1"/>
                <w:b/>
                <w:color w:val="000000"/>
              </w:rPr>
              <w:t>7、基本保险责任范围</w:t>
            </w:r>
          </w:p>
          <w:p>
            <w:pPr>
              <w:pStyle w:val="null3"/>
              <w:ind w:firstLine="420"/>
              <w:jc w:val="left"/>
            </w:pPr>
            <w:r>
              <w:rPr>
                <w:rFonts w:ascii="仿宋_GB2312" w:hAnsi="仿宋_GB2312" w:cs="仿宋_GB2312" w:eastAsia="仿宋_GB2312"/>
                <w:sz w:val="21"/>
                <w:color w:val="000000"/>
              </w:rPr>
              <w:t>在学校实施的教育教学活动或者学校组织的校外活动中，以及在学校负有管理责任的校舍、场地、其他教育教学设施、生活设施内发生的，造成在册学生人身损害的意外伤害事故依法应由学校承担的经济赔偿责任：</w:t>
            </w:r>
          </w:p>
          <w:tbl>
            <w:tblPr>
              <w:tblInd w:type="dxa" w:w="90"/>
              <w:tblBorders>
                <w:top w:val="none" w:color="000000" w:sz="4"/>
                <w:left w:val="none" w:color="000000" w:sz="4"/>
                <w:bottom w:val="none" w:color="000000" w:sz="4"/>
                <w:right w:val="none" w:color="000000" w:sz="4"/>
                <w:insideH w:val="none"/>
                <w:insideV w:val="none"/>
              </w:tblBorders>
            </w:tblPr>
            <w:tblGrid>
              <w:gridCol w:w="322"/>
              <w:gridCol w:w="2230"/>
            </w:tblGrid>
            <w:tr>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容</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（一）</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学校的校舍、场地、其他公共设施，以及学校提供给学生使用的学具、教育教学和生活设施、设备不符合国家规定的标准，或者有明显不安全因素的</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（二）</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学校的安全保卫、消防、设施设备管理等安全管理制度有明显疏漏，或者管理混乱，存在重大安全隐患，而未及时采取措施的</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（三）</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学校向学生提供的药品、食品、饮用水等不符合国家或者行业的有关标准、要求的</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（四）</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学校组织学生参加教育教学活动或者校外活动，未对学生进行相应的安全教育，并未在可预见的范围内采取必要的安全措施的</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（五）</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学校知道教师或者其他工作人员患有不适宜担任教育教学工作的疾病，但未采取必要措施的</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（六）</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学校组织安排的实习、劳动、体育运动等体力活动，超出学生一般生理承受能力的</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（七）</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学生有特异体质或者特定疾病，不宜参加某种教育教学活动，学校知道或者应当知道，但未予以必要的注意的</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（八）</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学生在校期间突发疾病或者受到伤害，学校发现，但未根据实际情况及时采取相应措施，导致不良后果加重的</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（九）</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学校教师或者其他工作人员体罚或者变相体罚学生，或者在履行职责过程中违反工作要求、操作规程、职业道德或者其他有关规定的</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（十）</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学校教师或者其他工作人员在负有组织、管理未成年学生的职责期间，发现学生行为具有危险性，但未进行必要的管理、告诫或者制止的</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（十一）</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对未成年学生擅自离校等与学生人身安全直接相关的信息，学校发现或者知道，但未及时告知未成年学生的监护人，导致未成年学生因脱离监护人的保护而发生伤害的</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（十二）</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学校知道或应当知道本校学生患有传染性疾病，而未采取必要的隔离防范措施导致其他学生感染的</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（十三）</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学校有未依法履行职责的其他情形的</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21"/>
                      <w:color w:val="000000"/>
                    </w:rPr>
                    <w:t>（十四）</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必要的诉讼费及其他合理的施救费用</w:t>
                  </w:r>
                </w:p>
              </w:tc>
            </w:tr>
          </w:tbl>
          <w:p>
            <w:pPr>
              <w:pStyle w:val="null3"/>
              <w:ind w:firstLine="413"/>
              <w:jc w:val="left"/>
            </w:pPr>
            <w:r>
              <w:rPr>
                <w:rFonts w:ascii="仿宋_GB2312" w:hAnsi="仿宋_GB2312" w:cs="仿宋_GB2312" w:eastAsia="仿宋_GB2312"/>
                <w:sz w:val="21"/>
                <w:b/>
                <w:color w:val="000000"/>
              </w:rPr>
              <w:t>8、扩展条款责任范围</w:t>
            </w:r>
          </w:p>
          <w:p>
            <w:pPr>
              <w:pStyle w:val="null3"/>
              <w:ind w:firstLine="420"/>
              <w:jc w:val="left"/>
            </w:pPr>
            <w:r>
              <w:rPr>
                <w:rFonts w:ascii="仿宋_GB2312" w:hAnsi="仿宋_GB2312" w:cs="仿宋_GB2312" w:eastAsia="仿宋_GB2312"/>
                <w:sz w:val="21"/>
                <w:color w:val="000000"/>
              </w:rPr>
              <w:t>投标保险公司应根据教育行业风险事故发生的特点，在基本条款责任的基础上提供扩展条款责任的承保内容填写在下列表格空白处。</w:t>
            </w:r>
          </w:p>
          <w:tbl>
            <w:tblPr>
              <w:tblBorders>
                <w:top w:val="none" w:color="000000" w:sz="4"/>
                <w:left w:val="none" w:color="000000" w:sz="4"/>
                <w:bottom w:val="none" w:color="000000" w:sz="4"/>
                <w:right w:val="none" w:color="000000" w:sz="4"/>
                <w:insideH w:val="none"/>
                <w:insideV w:val="none"/>
              </w:tblBorders>
            </w:tblPr>
            <w:tblGrid>
              <w:gridCol w:w="373"/>
              <w:gridCol w:w="2180"/>
            </w:tblGrid>
            <w:tr>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扩展条款内容</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w:t>
                  </w:r>
                </w:p>
              </w:tc>
              <w:tc>
                <w:tcPr>
                  <w:tcW w:type="dxa" w:w="2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w:t>
                  </w:r>
                </w:p>
              </w:tc>
              <w:tc>
                <w:tcPr>
                  <w:tcW w:type="dxa" w:w="2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w:t>
                  </w:r>
                </w:p>
              </w:tc>
              <w:tc>
                <w:tcPr>
                  <w:tcW w:type="dxa" w:w="2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w:t>
                  </w:r>
                </w:p>
              </w:tc>
              <w:tc>
                <w:tcPr>
                  <w:tcW w:type="dxa" w:w="2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w:t>
                  </w:r>
                </w:p>
              </w:tc>
              <w:tc>
                <w:tcPr>
                  <w:tcW w:type="dxa" w:w="2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w:t>
                  </w:r>
                </w:p>
              </w:tc>
              <w:tc>
                <w:tcPr>
                  <w:tcW w:type="dxa" w:w="2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（七）</w:t>
                  </w:r>
                </w:p>
              </w:tc>
              <w:tc>
                <w:tcPr>
                  <w:tcW w:type="dxa" w:w="2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（八）</w:t>
                  </w:r>
                </w:p>
              </w:tc>
              <w:tc>
                <w:tcPr>
                  <w:tcW w:type="dxa" w:w="2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（九）</w:t>
                  </w:r>
                </w:p>
              </w:tc>
              <w:tc>
                <w:tcPr>
                  <w:tcW w:type="dxa" w:w="2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1"/>
                <w:b/>
                <w:color w:val="000000"/>
              </w:rPr>
              <w:t>9、赔偿限额</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校方责任险</w:t>
            </w:r>
          </w:p>
          <w:p>
            <w:pPr>
              <w:pStyle w:val="null3"/>
              <w:ind w:firstLine="420"/>
              <w:jc w:val="left"/>
            </w:pPr>
            <w:r>
              <w:rPr>
                <w:rFonts w:ascii="仿宋_GB2312" w:hAnsi="仿宋_GB2312" w:cs="仿宋_GB2312" w:eastAsia="仿宋_GB2312"/>
                <w:sz w:val="21"/>
                <w:color w:val="000000"/>
              </w:rPr>
              <w:t>1-1、每生每年累计赔偿限额不得低于人民币伍拾万元（￥500,000.00元）。</w:t>
            </w:r>
          </w:p>
          <w:p>
            <w:pPr>
              <w:pStyle w:val="null3"/>
              <w:ind w:firstLine="420"/>
              <w:jc w:val="left"/>
            </w:pPr>
            <w:r>
              <w:rPr>
                <w:rFonts w:ascii="仿宋_GB2312" w:hAnsi="仿宋_GB2312" w:cs="仿宋_GB2312" w:eastAsia="仿宋_GB2312"/>
                <w:sz w:val="21"/>
                <w:color w:val="000000"/>
              </w:rPr>
              <w:t>1-2、每所学校每次事故赔偿限额不得低于人民币贰仟万元(￥20,000,000.00元)。</w:t>
            </w:r>
          </w:p>
          <w:p>
            <w:pPr>
              <w:pStyle w:val="null3"/>
              <w:ind w:firstLine="420"/>
              <w:jc w:val="left"/>
            </w:pPr>
            <w:r>
              <w:rPr>
                <w:rFonts w:ascii="仿宋_GB2312" w:hAnsi="仿宋_GB2312" w:cs="仿宋_GB2312" w:eastAsia="仿宋_GB2312"/>
                <w:sz w:val="21"/>
                <w:color w:val="000000"/>
              </w:rPr>
              <w:t>1-3、每所学校每年累计赔偿限不设赔偿限额。</w:t>
            </w:r>
          </w:p>
          <w:p>
            <w:pPr>
              <w:pStyle w:val="null3"/>
              <w:spacing w:before="240" w:after="15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总则</w:t>
            </w:r>
          </w:p>
          <w:p>
            <w:pPr>
              <w:pStyle w:val="null3"/>
              <w:spacing w:after="150"/>
              <w:ind w:firstLine="420"/>
              <w:jc w:val="left"/>
            </w:pPr>
            <w:r>
              <w:rPr>
                <w:rFonts w:ascii="仿宋_GB2312" w:hAnsi="仿宋_GB2312" w:cs="仿宋_GB2312" w:eastAsia="仿宋_GB2312"/>
                <w:sz w:val="21"/>
                <w:color w:val="000000"/>
              </w:rPr>
              <w:t>本保险是普通教育校方责任保险、高等教育校方责任险和校方责任保险（以下均简称主险）的附加险。只有在投保主险后才可投保本附加险。若主险条款与本附加险条款互有冲突，以本附加险条款为准。本附加险条款未尽事宜，以主险条款为准。</w:t>
            </w:r>
          </w:p>
          <w:p>
            <w:pPr>
              <w:pStyle w:val="null3"/>
              <w:spacing w:after="15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保险责任</w:t>
            </w:r>
          </w:p>
          <w:p>
            <w:pPr>
              <w:pStyle w:val="null3"/>
              <w:spacing w:after="150"/>
              <w:ind w:firstLine="411"/>
              <w:jc w:val="left"/>
            </w:pPr>
            <w:r>
              <w:rPr>
                <w:rFonts w:ascii="仿宋_GB2312" w:hAnsi="仿宋_GB2312" w:cs="仿宋_GB2312" w:eastAsia="仿宋_GB2312"/>
                <w:sz w:val="21"/>
                <w:color w:val="000000"/>
              </w:rPr>
              <w:t>在本</w:t>
            </w:r>
            <w:r>
              <w:rPr>
                <w:rFonts w:ascii="仿宋_GB2312" w:hAnsi="仿宋_GB2312" w:cs="仿宋_GB2312" w:eastAsia="仿宋_GB2312"/>
                <w:sz w:val="21"/>
                <w:color w:val="000000"/>
              </w:rPr>
              <w:t>保险单列明的保险期间及承保区域范围内，因自然灾害、学生自身原因、学生体质差异、校外的突发性侵害而导致被保险人的在校学生发生人身伤亡，被保险人已履行相应职责，行为并无不当，但是依法仍需对伤亡学生承担经济赔偿责任时，保险人根据本附加保险合同的约定负责赔偿。</w:t>
            </w:r>
          </w:p>
          <w:p>
            <w:pPr>
              <w:pStyle w:val="null3"/>
              <w:spacing w:after="15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责任限额</w:t>
            </w:r>
          </w:p>
          <w:p>
            <w:pPr>
              <w:pStyle w:val="null3"/>
              <w:spacing w:after="150"/>
              <w:ind w:firstLine="411"/>
              <w:jc w:val="left"/>
            </w:pPr>
            <w:r>
              <w:rPr>
                <w:rFonts w:ascii="仿宋_GB2312" w:hAnsi="仿宋_GB2312" w:cs="仿宋_GB2312" w:eastAsia="仿宋_GB2312"/>
                <w:sz w:val="21"/>
                <w:color w:val="000000"/>
              </w:rPr>
              <w:t>本附加险责任限额分每人责任限额（含每人每次事故医疗费责任限额）、每次事故责任限额和累计责任限额，由投保人与保险人协商确定，并在保险单中载明。</w:t>
            </w:r>
          </w:p>
          <w:p>
            <w:pPr>
              <w:pStyle w:val="null3"/>
              <w:spacing w:after="15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释义</w:t>
            </w:r>
          </w:p>
          <w:p>
            <w:pPr>
              <w:pStyle w:val="null3"/>
              <w:spacing w:after="150"/>
              <w:ind w:firstLine="415"/>
              <w:jc w:val="left"/>
            </w:pPr>
            <w:r>
              <w:rPr>
                <w:rFonts w:ascii="仿宋_GB2312" w:hAnsi="仿宋_GB2312" w:cs="仿宋_GB2312" w:eastAsia="仿宋_GB2312"/>
                <w:sz w:val="21"/>
                <w:color w:val="000000"/>
              </w:rPr>
              <w:t>本附加险有关术语释义如下：</w:t>
            </w:r>
          </w:p>
          <w:p>
            <w:pPr>
              <w:pStyle w:val="null3"/>
              <w:spacing w:after="150"/>
              <w:ind w:firstLine="415"/>
              <w:jc w:val="left"/>
            </w:pPr>
            <w:r>
              <w:rPr>
                <w:rFonts w:ascii="仿宋_GB2312" w:hAnsi="仿宋_GB2312" w:cs="仿宋_GB2312" w:eastAsia="仿宋_GB2312"/>
                <w:sz w:val="21"/>
                <w:color w:val="000000"/>
              </w:rPr>
              <w:t>【保险期间】主险保险单列明的保险起始日至保险终止日的时间区间。</w:t>
            </w:r>
          </w:p>
          <w:p>
            <w:pPr>
              <w:pStyle w:val="null3"/>
              <w:spacing w:after="150"/>
              <w:ind w:firstLine="411"/>
              <w:jc w:val="left"/>
            </w:pPr>
            <w:r>
              <w:rPr>
                <w:rFonts w:ascii="仿宋_GB2312" w:hAnsi="仿宋_GB2312" w:cs="仿宋_GB2312" w:eastAsia="仿宋_GB2312"/>
                <w:sz w:val="21"/>
                <w:color w:val="000000"/>
              </w:rPr>
              <w:t>【承保区域范围】主险保险单列明的</w:t>
            </w:r>
            <w:r>
              <w:rPr>
                <w:rFonts w:ascii="仿宋_GB2312" w:hAnsi="仿宋_GB2312" w:cs="仿宋_GB2312" w:eastAsia="仿宋_GB2312"/>
                <w:sz w:val="21"/>
                <w:color w:val="000000"/>
              </w:rPr>
              <w:t>被保险人在其校（园）内或由其统一组织并带领下的校（园）外活动的区域范围（限中国境内，港澳台地区除外）。</w:t>
            </w:r>
          </w:p>
          <w:p>
            <w:pPr>
              <w:pStyle w:val="null3"/>
              <w:spacing w:after="150"/>
              <w:ind w:firstLine="411"/>
              <w:jc w:val="left"/>
            </w:pPr>
            <w:r>
              <w:rPr>
                <w:rFonts w:ascii="仿宋_GB2312" w:hAnsi="仿宋_GB2312" w:cs="仿宋_GB2312" w:eastAsia="仿宋_GB2312"/>
                <w:sz w:val="21"/>
                <w:color w:val="000000"/>
              </w:rPr>
              <w:t>【自然灾害】指气象部门发布的暴风、暴雨、崖崩、雷击、洪水、龙卷风、飑线、台风（热带风暴）、海啸、泥石流、突发性滑坡、冰雹灾害。</w:t>
            </w:r>
          </w:p>
          <w:p>
            <w:pPr>
              <w:pStyle w:val="null3"/>
              <w:spacing w:after="150"/>
              <w:ind w:firstLine="420"/>
              <w:jc w:val="left"/>
            </w:pPr>
            <w:r>
              <w:rPr>
                <w:rFonts w:ascii="仿宋_GB2312" w:hAnsi="仿宋_GB2312" w:cs="仿宋_GB2312" w:eastAsia="仿宋_GB2312"/>
                <w:sz w:val="21"/>
                <w:color w:val="000000"/>
              </w:rPr>
              <w:t>其中，</w:t>
            </w:r>
            <w:r>
              <w:rPr>
                <w:rFonts w:ascii="仿宋_GB2312" w:hAnsi="仿宋_GB2312" w:cs="仿宋_GB2312" w:eastAsia="仿宋_GB2312"/>
                <w:sz w:val="21"/>
                <w:color w:val="000000"/>
              </w:rPr>
              <w:t>暴风：根据气象部门制定的风力级表规定，暴风是指风速在</w:t>
            </w:r>
            <w:r>
              <w:rPr>
                <w:rFonts w:ascii="仿宋_GB2312" w:hAnsi="仿宋_GB2312" w:cs="仿宋_GB2312" w:eastAsia="仿宋_GB2312"/>
                <w:sz w:val="21"/>
                <w:color w:val="000000"/>
              </w:rPr>
              <w:t>28.3米/秒以上，即相当于风力等级表中的11级以上的风力。</w:t>
            </w:r>
          </w:p>
          <w:p>
            <w:pPr>
              <w:pStyle w:val="null3"/>
              <w:spacing w:after="150"/>
              <w:ind w:firstLine="411"/>
              <w:jc w:val="left"/>
            </w:pPr>
            <w:r>
              <w:rPr>
                <w:rFonts w:ascii="仿宋_GB2312" w:hAnsi="仿宋_GB2312" w:cs="仿宋_GB2312" w:eastAsia="仿宋_GB2312"/>
                <w:sz w:val="21"/>
                <w:color w:val="000000"/>
              </w:rPr>
              <w:t>暴雨：是指每小时降雨量达到</w:t>
            </w:r>
            <w:r>
              <w:rPr>
                <w:rFonts w:ascii="仿宋_GB2312" w:hAnsi="仿宋_GB2312" w:cs="仿宋_GB2312" w:eastAsia="仿宋_GB2312"/>
                <w:sz w:val="21"/>
                <w:color w:val="000000"/>
              </w:rPr>
              <w:t>16毫米以上，或连续12小时降雨量达到30毫米以上，或连续24小时降雨量达到50毫米以上。</w:t>
            </w:r>
          </w:p>
          <w:p>
            <w:pPr>
              <w:pStyle w:val="null3"/>
              <w:spacing w:after="150"/>
              <w:ind w:firstLine="411"/>
              <w:jc w:val="left"/>
            </w:pPr>
            <w:r>
              <w:rPr>
                <w:rFonts w:ascii="仿宋_GB2312" w:hAnsi="仿宋_GB2312" w:cs="仿宋_GB2312" w:eastAsia="仿宋_GB2312"/>
                <w:sz w:val="21"/>
                <w:color w:val="000000"/>
              </w:rPr>
              <w:t>【学生自身原因】学生由于疏忽大意或过失行为造成自身的人身伤亡后果。</w:t>
            </w:r>
          </w:p>
          <w:p>
            <w:pPr>
              <w:pStyle w:val="null3"/>
              <w:spacing w:after="150"/>
              <w:ind w:firstLine="411"/>
              <w:jc w:val="left"/>
            </w:pPr>
            <w:r>
              <w:rPr>
                <w:rFonts w:ascii="仿宋_GB2312" w:hAnsi="仿宋_GB2312" w:cs="仿宋_GB2312" w:eastAsia="仿宋_GB2312"/>
                <w:sz w:val="21"/>
                <w:color w:val="000000"/>
              </w:rPr>
              <w:t>【学生体质差异】学生由先天遗传和后天获得所形成的，在形态结构、功能活动方面所固有的、相对稳定的个体特征上的不同。</w:t>
            </w:r>
          </w:p>
          <w:p>
            <w:pPr>
              <w:pStyle w:val="null3"/>
              <w:spacing w:after="150"/>
              <w:ind w:firstLine="411"/>
              <w:jc w:val="left"/>
            </w:pPr>
            <w:r>
              <w:rPr>
                <w:rFonts w:ascii="仿宋_GB2312" w:hAnsi="仿宋_GB2312" w:cs="仿宋_GB2312" w:eastAsia="仿宋_GB2312"/>
                <w:sz w:val="21"/>
                <w:color w:val="000000"/>
              </w:rPr>
              <w:t>【校外的突发性侵害】来自校外的车辆、外来人员或其他侵害主体在本保险单列明的承保区域范围内实施的突发性、不可预见的伤害事件。</w:t>
            </w:r>
          </w:p>
          <w:p>
            <w:pPr>
              <w:pStyle w:val="null3"/>
              <w:ind w:firstLine="413"/>
              <w:jc w:val="left"/>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、明确具体的承保服务与理赔服务流程</w:t>
            </w:r>
          </w:p>
          <w:p>
            <w:pPr>
              <w:pStyle w:val="null3"/>
              <w:spacing w:after="150"/>
              <w:ind w:firstLine="411"/>
              <w:jc w:val="left"/>
            </w:pPr>
            <w:r>
              <w:rPr>
                <w:rFonts w:ascii="仿宋_GB2312" w:hAnsi="仿宋_GB2312" w:cs="仿宋_GB2312" w:eastAsia="仿宋_GB2312"/>
                <w:sz w:val="21"/>
                <w:color w:val="000000"/>
              </w:rPr>
              <w:t>供应商即保险公司根据校方责任险的特点和自身实际情况自拟。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详见竞争性磋商文件和服务合同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被保险学校按实际注册学生数于合同签订后，乙方向甲方出具合法有效的完税发票，按每学年度结算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详见竞争性磋商文件和服务合同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1.本项目属性为服务。 2.本项目在开标截止时间当天前各供应商应将纸质版（一正二副）磋商响应文件及电子版U盘1个送达至代理机构。 3.根据陕西省财政厅关于启用会计师事务所审计报告“二维码”赋码查验功能的通知（陕财办会函〔2022〕55号），供应商提交的2024年度经审计的完整财务报告中，需附带具备查验功能的二维码。 4.网上引用图片时，需标注来源出处如网址等。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商务应答表 供应商应提交的相关资格证明材料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法定代表人直接参加磋商的，须出具法定代表 人身份证明；法定代表人授权代表参加磋商的，须出具法定代表人授权书；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供应商需具有中国银行保险监督管理委员会颁发的经营保险业务许可证或保险许可证（同一保险机构只允许其本部或一家分支机构参与。若供应商为分支机构,须提供总公司针对本项目的唯一授权书）;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供应商名称与营业执照、事业单位法人证书、专业服务机构执业许可证或民办非企业单位登记证书（自然人参与的提供其身份证明）及资质证书一致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有法定代表人或其委托代理人签字（或盖章） 并加盖单位公章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符合竞争性磋商响应文件格式的要求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承保服务</w:t>
            </w:r>
          </w:p>
        </w:tc>
        <w:tc>
          <w:tcPr>
            <w:tcW w:type="dxa" w:w="2492"/>
          </w:tcPr>
          <w:p>
            <w:pPr>
              <w:pStyle w:val="null3"/>
            </w:pPr>
            <w:r>
              <w:rPr>
                <w:rFonts w:ascii="仿宋_GB2312" w:hAnsi="仿宋_GB2312" w:cs="仿宋_GB2312" w:eastAsia="仿宋_GB2312"/>
              </w:rPr>
              <w:t>供应商根据本项目内容及要求提供一整套完善的承保方案及流程。 ①承保方案完整、全面、合理，针对性强，承保流程详尽合理、方便快捷，能够完全满足采购人需求得15分； ②承保方案较全面，合理，承保流程详尽合理、方便快捷，能够基本满足采购人需求得10分； ③承保方案基本符合项目需求，承保流程不够方便快捷得5分； ④承保方案简单，内容空泛，承保流程不具有方便快捷的特点，不能满足采购人需求的得2分。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针对本项目建立专项工作小组</w:t>
            </w:r>
          </w:p>
        </w:tc>
        <w:tc>
          <w:tcPr>
            <w:tcW w:type="dxa" w:w="2492"/>
          </w:tcPr>
          <w:p>
            <w:pPr>
              <w:pStyle w:val="null3"/>
            </w:pPr>
            <w:r>
              <w:rPr>
                <w:rFonts w:ascii="仿宋_GB2312" w:hAnsi="仿宋_GB2312" w:cs="仿宋_GB2312" w:eastAsia="仿宋_GB2312"/>
              </w:rPr>
              <w:t>供应商针对本项目建立专项工作小组。 ①小组人员配备齐全，团队人员经验丰富且安排专人负责得8分；②小组人员配备基本齐全，团队人员具有一定的经验且安排专人负责得5分； ③小组人员配备不够齐全，团队人员经验不够丰富且未安排专人负责得2分。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理赔时效</w:t>
            </w:r>
          </w:p>
        </w:tc>
        <w:tc>
          <w:tcPr>
            <w:tcW w:type="dxa" w:w="2492"/>
          </w:tcPr>
          <w:p>
            <w:pPr>
              <w:pStyle w:val="null3"/>
            </w:pPr>
            <w:r>
              <w:rPr>
                <w:rFonts w:ascii="仿宋_GB2312" w:hAnsi="仿宋_GB2312" w:cs="仿宋_GB2312" w:eastAsia="仿宋_GB2312"/>
              </w:rPr>
              <w:t>供应商对校方责任事故处理有明确的理赔时效。 ①理赔时效能够完全满足采购人要求得4分； ②理赔时效基本满足采购人要求的得2分。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报案时限</w:t>
            </w:r>
          </w:p>
        </w:tc>
        <w:tc>
          <w:tcPr>
            <w:tcW w:type="dxa" w:w="2492"/>
          </w:tcPr>
          <w:p>
            <w:pPr>
              <w:pStyle w:val="null3"/>
            </w:pPr>
            <w:r>
              <w:rPr>
                <w:rFonts w:ascii="仿宋_GB2312" w:hAnsi="仿宋_GB2312" w:cs="仿宋_GB2312" w:eastAsia="仿宋_GB2312"/>
              </w:rPr>
              <w:t>供应商对可认定责任的事故不设报案时限。 ①能够完全满足采购人要求得4分； ②基本满足采购人要求的得2分。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重大事故的协商处理方案</w:t>
            </w:r>
          </w:p>
        </w:tc>
        <w:tc>
          <w:tcPr>
            <w:tcW w:type="dxa" w:w="2492"/>
          </w:tcPr>
          <w:p>
            <w:pPr>
              <w:pStyle w:val="null3"/>
            </w:pPr>
            <w:r>
              <w:rPr>
                <w:rFonts w:ascii="仿宋_GB2312" w:hAnsi="仿宋_GB2312" w:cs="仿宋_GB2312" w:eastAsia="仿宋_GB2312"/>
              </w:rPr>
              <w:t>供应商提供详细的重大事故的协商处理方案。 ①方案可操作性强，贴合实际且针对性强得6分； ②方案具有一定的可操作性，基本贴合实际且有一定的针对性得4分； ③方案有缺失，可操作性一般得2分；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提出处理意见时限</w:t>
            </w:r>
          </w:p>
        </w:tc>
        <w:tc>
          <w:tcPr>
            <w:tcW w:type="dxa" w:w="2492"/>
          </w:tcPr>
          <w:p>
            <w:pPr>
              <w:pStyle w:val="null3"/>
            </w:pPr>
            <w:r>
              <w:rPr>
                <w:rFonts w:ascii="仿宋_GB2312" w:hAnsi="仿宋_GB2312" w:cs="仿宋_GB2312" w:eastAsia="仿宋_GB2312"/>
              </w:rPr>
              <w:t>报案后在1个工作日内提出处理意见。 ①能够完全满足采购人要求，在1个工作日内提出完善合理的处理意见得4分； ②能够满足采购人要求，在1个工作日内提供相对完善合理的处理意见得2分；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提供理赔材料有欠缺时协助处理</w:t>
            </w:r>
          </w:p>
        </w:tc>
        <w:tc>
          <w:tcPr>
            <w:tcW w:type="dxa" w:w="2492"/>
          </w:tcPr>
          <w:p>
            <w:pPr>
              <w:pStyle w:val="null3"/>
            </w:pPr>
            <w:r>
              <w:rPr>
                <w:rFonts w:ascii="仿宋_GB2312" w:hAnsi="仿宋_GB2312" w:cs="仿宋_GB2312" w:eastAsia="仿宋_GB2312"/>
              </w:rPr>
              <w:t>供应商对学校提供理赔材料有欠缺的能协助处理。 ①供应商对学校提供理赔材料有欠缺的能够协助处理，响应快速，安排专人负责且补充的相关理赔材料完善详尽得4分； ②供应商对学校提供理赔材料有欠缺的能够协助处理，响应快速，安排相关协助人员且补充的相关理赔材料基本完善得2分；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上门收取学校理赔资料的相关服务流程</w:t>
            </w:r>
          </w:p>
        </w:tc>
        <w:tc>
          <w:tcPr>
            <w:tcW w:type="dxa" w:w="2492"/>
          </w:tcPr>
          <w:p>
            <w:pPr>
              <w:pStyle w:val="null3"/>
            </w:pPr>
            <w:r>
              <w:rPr>
                <w:rFonts w:ascii="仿宋_GB2312" w:hAnsi="仿宋_GB2312" w:cs="仿宋_GB2312" w:eastAsia="仿宋_GB2312"/>
              </w:rPr>
              <w:t>有上门收取学校理赔资料的服务流程。 ①上门收取学校理赔资料的相关服务流程完善、详细，针对性和操作性强得5分； ②上门收取学校理赔资料的相关服务流程完善、详细，有一定的针对性和操作性得2分。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能够认同教育局对特殊事故的处理意见，有通融赔付机制和案例</w:t>
            </w:r>
          </w:p>
        </w:tc>
        <w:tc>
          <w:tcPr>
            <w:tcW w:type="dxa" w:w="2492"/>
          </w:tcPr>
          <w:p>
            <w:pPr>
              <w:pStyle w:val="null3"/>
            </w:pPr>
            <w:r>
              <w:rPr>
                <w:rFonts w:ascii="仿宋_GB2312" w:hAnsi="仿宋_GB2312" w:cs="仿宋_GB2312" w:eastAsia="仿宋_GB2312"/>
              </w:rPr>
              <w:t>能够认同教育局对特殊事故的处理意见，有通融赔付机制和案例。①认同教育局对特殊事故的处理意见，认同裁决书或裁定书作为理赔依据；通融赔付机制完善，相关案例有针对性且贴合实际得5分； ②认同教育局对特殊事故的处理意见，认同裁决书或裁定书作为理赔依据；通融赔付机制基本完善，相关案例有一定的针对性且贴合实际得2分。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其他特色服务承诺</w:t>
            </w:r>
          </w:p>
        </w:tc>
        <w:tc>
          <w:tcPr>
            <w:tcW w:type="dxa" w:w="2492"/>
          </w:tcPr>
          <w:p>
            <w:pPr>
              <w:pStyle w:val="null3"/>
            </w:pPr>
            <w:r>
              <w:rPr>
                <w:rFonts w:ascii="仿宋_GB2312" w:hAnsi="仿宋_GB2312" w:cs="仿宋_GB2312" w:eastAsia="仿宋_GB2312"/>
              </w:rPr>
              <w:t>提供有其他特色服务承诺。 ①特色服务承诺完善合理、针对性强得4分； ②特色服务承诺基本完善合理且有一定的针对性得2分。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提供增值服务</w:t>
            </w:r>
          </w:p>
        </w:tc>
        <w:tc>
          <w:tcPr>
            <w:tcW w:type="dxa" w:w="2492"/>
          </w:tcPr>
          <w:p>
            <w:pPr>
              <w:pStyle w:val="null3"/>
            </w:pPr>
            <w:r>
              <w:rPr>
                <w:rFonts w:ascii="仿宋_GB2312" w:hAnsi="仿宋_GB2312" w:cs="仿宋_GB2312" w:eastAsia="仿宋_GB2312"/>
              </w:rPr>
              <w:t>提供增值服务。 ①增值服务内容完善合理、针对性强得5分； ②增值服务内容基本完善、合理且有一定的针对性得2分。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客户回访</w:t>
            </w:r>
          </w:p>
        </w:tc>
        <w:tc>
          <w:tcPr>
            <w:tcW w:type="dxa" w:w="2492"/>
          </w:tcPr>
          <w:p>
            <w:pPr>
              <w:pStyle w:val="null3"/>
            </w:pPr>
            <w:r>
              <w:rPr>
                <w:rFonts w:ascii="仿宋_GB2312" w:hAnsi="仿宋_GB2312" w:cs="仿宋_GB2312" w:eastAsia="仿宋_GB2312"/>
              </w:rPr>
              <w:t>定期对客户进行回访，组织实施回访服务。 ①回访服务方式多样，相关回访记录可追踪留档得4分； ②回访服务方式单一，相关回访记录不能追踪留档得2分。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供应商提供针对本项目的服务保证承诺。 包括但不限于服务质量承诺、售后服务团队、后期服务保障等。 ①承诺内容及措施完善合理，针对性强得8分， ②承诺内容及措施基本完善合理，针对性一般得6分， ③承诺内容及措施内容欠缺，合理性差计3分，未提供不计分。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每生每年累计赔偿限额</w:t>
            </w:r>
          </w:p>
        </w:tc>
        <w:tc>
          <w:tcPr>
            <w:tcW w:type="dxa" w:w="2492"/>
          </w:tcPr>
          <w:p>
            <w:pPr>
              <w:pStyle w:val="null3"/>
            </w:pPr>
            <w:r>
              <w:rPr>
                <w:rFonts w:ascii="仿宋_GB2312" w:hAnsi="仿宋_GB2312" w:cs="仿宋_GB2312" w:eastAsia="仿宋_GB2312"/>
              </w:rPr>
              <w:t>按供应商所报每生每年累计赔偿限额从高到低排序，每生每年累计赔偿限额最高的为基准价。供应商所报每生每年累计赔偿限额得分计算公式为：每生每年累计赔偿限额/基准价×5％×100。</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每所学校每次事故赔偿限额</w:t>
            </w:r>
          </w:p>
        </w:tc>
        <w:tc>
          <w:tcPr>
            <w:tcW w:type="dxa" w:w="2492"/>
          </w:tcPr>
          <w:p>
            <w:pPr>
              <w:pStyle w:val="null3"/>
            </w:pPr>
            <w:r>
              <w:rPr>
                <w:rFonts w:ascii="仿宋_GB2312" w:hAnsi="仿宋_GB2312" w:cs="仿宋_GB2312" w:eastAsia="仿宋_GB2312"/>
              </w:rPr>
              <w:t>按供应商所报每所学校每次事故赔偿限额从高到低排序，每所学校每次事故赔偿限额最高的为基准价。供应商所报每所学校每次事故赔偿限额得分计算公式为：每所学校每次事故赔偿限额/基准价×5％×100。</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供应商提供2022年1月1日至今的类似项目业绩。每提供一项得1分，最高得4分。 备注：业绩证明材料以合同复印件或保单复印件或中标通知书为准（复印件加盖公章清晰可辨）。</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1、经初审合格的磋商文件，其最终报价为有效报价。对符合政策性扣减的有效磋商报价进行政策性扣减，并依据扣减后的价格（评审价格）进行价格评审。 2、有效最低报价为基准价得10分。 3、按（磋商基准价/有效最终磋商报价）×10的公式计算报价得分。 4、报价不完整的，不进入磋商基准价的计算，本项得0分。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