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版本号：ZJZC2025080700620250809002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校园综合改造项目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ZJZC20250807006</w:t>
      </w:r>
      <w:r>
        <w:br/>
      </w:r>
      <w:r>
        <w:br/>
      </w:r>
      <w:r>
        <w:br/>
      </w:r>
    </w:p>
    <w:p>
      <w:pPr>
        <w:pStyle w:val="null3"/>
        <w:jc w:val="center"/>
        <w:outlineLvl w:val="2"/>
      </w:pPr>
      <w:r>
        <w:rPr>
          <w:rFonts w:ascii="仿宋_GB2312" w:hAnsi="仿宋_GB2312" w:cs="仿宋_GB2312" w:eastAsia="仿宋_GB2312"/>
          <w:sz w:val="28"/>
          <w:b/>
        </w:rPr>
        <w:t>西安市莲湖区环城西路小学</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西安市莲湖区环城西路小学</w:t>
      </w:r>
      <w:r>
        <w:rPr>
          <w:rFonts w:ascii="仿宋_GB2312" w:hAnsi="仿宋_GB2312" w:cs="仿宋_GB2312" w:eastAsia="仿宋_GB2312"/>
        </w:rPr>
        <w:t>委托，拟对</w:t>
      </w:r>
      <w:r>
        <w:rPr>
          <w:rFonts w:ascii="仿宋_GB2312" w:hAnsi="仿宋_GB2312" w:cs="仿宋_GB2312" w:eastAsia="仿宋_GB2312"/>
        </w:rPr>
        <w:t>校园综合改造项目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ZJZC20250807006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校园综合改造项目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西安市莲湖区环城西路小学校园综合改造项目，改造内容包含校园操场改造、教学楼上水管网改造、教学楼屋面防水及消防系统改造等。具体内容详见工程量清单。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采购包1（校园综合改造项目）：属于专门面向中小企业采购。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财务状况报告：提供2024年度经审计的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p>
      <w:pPr>
        <w:pStyle w:val="null3"/>
      </w:pPr>
      <w:r>
        <w:rPr>
          <w:rFonts w:ascii="仿宋_GB2312" w:hAnsi="仿宋_GB2312" w:cs="仿宋_GB2312" w:eastAsia="仿宋_GB2312"/>
        </w:rPr>
        <w:t>3、社保缴纳证明：提供递交响应文件截止之日前六个月内任意一个月的社会保障资金缴存单据或社保机构开具的社会保险参保缴费情况证明。依法不需要缴纳社会保障资金的供应商应提供相关文件证明。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递交响应文件截止之日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5、资质：供应商具备建设部门颁发的建筑工程施工总承包三级及以上资质，且具备合格有效的安全生产许可证。</w:t>
      </w:r>
    </w:p>
    <w:p>
      <w:pPr>
        <w:pStyle w:val="null3"/>
      </w:pPr>
      <w:r>
        <w:rPr>
          <w:rFonts w:ascii="仿宋_GB2312" w:hAnsi="仿宋_GB2312" w:cs="仿宋_GB2312" w:eastAsia="仿宋_GB2312"/>
        </w:rPr>
        <w:t>6、项目经理：拟派项目经理具有建筑工程专业二级及以上注册建造师资格，具有有效的安全生产考核合格证（B级），在本单位注册，未担任其他在建项目的项目经理。</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8、近三年无重大违法、违纪书面声明：提供《近三年无重大违法、违纪书面声明》。</w:t>
      </w:r>
    </w:p>
    <w:p>
      <w:pPr>
        <w:pStyle w:val="null3"/>
      </w:pPr>
      <w:r>
        <w:rPr>
          <w:rFonts w:ascii="仿宋_GB2312" w:hAnsi="仿宋_GB2312" w:cs="仿宋_GB2312" w:eastAsia="仿宋_GB2312"/>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10、控股管理关系：供应商提供直接控股和管理关系清单。若与其他供应商存在单位负责人为同一人或者存在直接控股、管理关系的，则响应无效。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11、法定代表人授权委托书：法定代表人参加磋商的，须提供本人身份证复印件（附在资格证明文件中）；法定代表人授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西安市莲湖区环城西路小学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西安市莲湖区铁塔寺路2号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西安市莲湖区环城西路小学经办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029-88610018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董喜峰、裴慢慢、孙笑梅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15102971384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文件、发改价格[2011]534号文件及国家发改委印发的《关于进一步放开建设项目专业服务价格的通知》[2015]299号文件的收取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西安市莲湖区环城西路小学</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西安市莲湖区环城西路小学</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西安市莲湖区环城西路小学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符合国家、省、市及行业相关规定，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联系人：董喜峰、裴慢慢、孙笑梅</w:t>
      </w:r>
    </w:p>
    <w:p>
      <w:pPr>
        <w:pStyle w:val="null3"/>
      </w:pPr>
      <w:r>
        <w:rPr>
          <w:rFonts w:ascii="仿宋_GB2312" w:hAnsi="仿宋_GB2312" w:cs="仿宋_GB2312" w:eastAsia="仿宋_GB2312"/>
        </w:rPr>
        <w:t>联系电话：15102971384</w:t>
      </w:r>
    </w:p>
    <w:p>
      <w:pPr>
        <w:pStyle w:val="null3"/>
      </w:pPr>
      <w:r>
        <w:rPr>
          <w:rFonts w:ascii="仿宋_GB2312" w:hAnsi="仿宋_GB2312" w:cs="仿宋_GB2312" w:eastAsia="仿宋_GB2312"/>
        </w:rPr>
        <w:t>地址：西安市新城区陕西省西安市新城区长乐中路242号金花新都汇A座写字楼24层06室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918,120.25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校园综合改造项目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标的名称：校园综合改造项目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left="45"/>
              <w:jc w:val="left"/>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工程名称：西安市莲湖区环城西路小学校园综合改造项目</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工程类型：改造项目</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工程地点：西安市莲湖区环城西路小学</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工程内容和施工地点、计划工期、缺陷责</w:t>
            </w:r>
            <w:r>
              <w:rPr>
                <w:rFonts w:ascii="仿宋_GB2312" w:hAnsi="仿宋_GB2312" w:cs="仿宋_GB2312" w:eastAsia="仿宋_GB2312"/>
                <w:sz w:val="24"/>
                <w:b/>
                <w:color w:val="000000"/>
              </w:rPr>
              <w:t>任期、质量保修期</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工程内容：本项目主要对莲湖区环城西路</w:t>
            </w:r>
            <w:r>
              <w:rPr>
                <w:rFonts w:ascii="仿宋_GB2312" w:hAnsi="仿宋_GB2312" w:cs="仿宋_GB2312" w:eastAsia="仿宋_GB2312"/>
                <w:sz w:val="24"/>
                <w:color w:val="000000"/>
              </w:rPr>
              <w:t>小学校园操场、</w:t>
            </w:r>
            <w:r>
              <w:rPr>
                <w:rFonts w:ascii="仿宋_GB2312" w:hAnsi="仿宋_GB2312" w:cs="仿宋_GB2312" w:eastAsia="仿宋_GB2312"/>
                <w:sz w:val="24"/>
                <w:color w:val="000000"/>
              </w:rPr>
              <w:t>教学楼五楼、教学楼消防系统及给水管网等进行改造。</w:t>
            </w:r>
            <w:r>
              <w:rPr>
                <w:rFonts w:ascii="仿宋_GB2312" w:hAnsi="仿宋_GB2312" w:cs="仿宋_GB2312" w:eastAsia="仿宋_GB2312"/>
                <w:sz w:val="24"/>
                <w:color w:val="000000"/>
              </w:rPr>
              <w:t>具体内容详见</w:t>
            </w: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工程量清单。</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工程地点：陕西省西安市莲湖区铁塔寺路</w:t>
            </w:r>
            <w:r>
              <w:rPr>
                <w:rFonts w:ascii="仿宋_GB2312" w:hAnsi="仿宋_GB2312" w:cs="仿宋_GB2312" w:eastAsia="仿宋_GB2312"/>
                <w:sz w:val="24"/>
                <w:color w:val="000000"/>
              </w:rPr>
              <w:t>52号。</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计划工期：</w:t>
            </w:r>
            <w:r>
              <w:rPr>
                <w:rFonts w:ascii="仿宋_GB2312" w:hAnsi="仿宋_GB2312" w:cs="仿宋_GB2312" w:eastAsia="仿宋_GB2312"/>
                <w:sz w:val="24"/>
                <w:color w:val="000000"/>
              </w:rPr>
              <w:t>35日历日。</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缺陷责任期：</w:t>
            </w:r>
            <w:r>
              <w:rPr>
                <w:rFonts w:ascii="仿宋_GB2312" w:hAnsi="仿宋_GB2312" w:cs="仿宋_GB2312" w:eastAsia="仿宋_GB2312"/>
                <w:sz w:val="24"/>
                <w:color w:val="000000"/>
              </w:rPr>
              <w:t>2年。</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质量保修期：见《建设工程质量管理条例》、符合条例规定最低保修期限。</w:t>
            </w:r>
          </w:p>
          <w:p>
            <w:pPr>
              <w:pStyle w:val="null3"/>
              <w:ind w:firstLine="482"/>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工程量清单和计价依据</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计价依据：</w:t>
            </w:r>
          </w:p>
          <w:p>
            <w:pPr>
              <w:pStyle w:val="null3"/>
              <w:ind w:firstLine="480"/>
              <w:jc w:val="left"/>
            </w:pPr>
            <w:r>
              <w:rPr>
                <w:rFonts w:ascii="仿宋_GB2312" w:hAnsi="仿宋_GB2312" w:cs="仿宋_GB2312" w:eastAsia="仿宋_GB2312"/>
                <w:sz w:val="24"/>
                <w:color w:val="000000"/>
              </w:rPr>
              <w:t>《执行</w:t>
            </w:r>
            <w:r>
              <w:rPr>
                <w:rFonts w:ascii="仿宋_GB2312" w:hAnsi="仿宋_GB2312" w:cs="仿宋_GB2312" w:eastAsia="仿宋_GB2312"/>
                <w:sz w:val="24"/>
                <w:color w:val="000000"/>
              </w:rPr>
              <w:t>2009《陕西省建设工程工程量清单计价规则》</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陕西省建筑、装饰</w:t>
            </w:r>
            <w:r>
              <w:rPr>
                <w:rFonts w:ascii="仿宋_GB2312" w:hAnsi="仿宋_GB2312" w:cs="仿宋_GB2312" w:eastAsia="仿宋_GB2312"/>
                <w:sz w:val="24"/>
                <w:color w:val="000000"/>
              </w:rPr>
              <w:t>工程消耗量定额》</w:t>
            </w:r>
            <w:r>
              <w:rPr>
                <w:rFonts w:ascii="仿宋_GB2312" w:hAnsi="仿宋_GB2312" w:cs="仿宋_GB2312" w:eastAsia="仿宋_GB2312"/>
                <w:sz w:val="24"/>
                <w:color w:val="000000"/>
              </w:rPr>
              <w:t>(2004)及其勘误表(2009)</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《陕西省安装工程消耗量定额》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(2004)及其勘误表(2009)</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《陕西省建设工程造价管理办法》</w:t>
            </w:r>
            <w:r>
              <w:rPr>
                <w:rFonts w:ascii="仿宋_GB2312" w:hAnsi="仿宋_GB2312" w:cs="仿宋_GB2312" w:eastAsia="仿宋_GB2312"/>
                <w:sz w:val="24"/>
                <w:color w:val="000000"/>
              </w:rPr>
              <w:t>(陕西省人</w:t>
            </w:r>
            <w:r>
              <w:rPr>
                <w:rFonts w:ascii="仿宋_GB2312" w:hAnsi="仿宋_GB2312" w:cs="仿宋_GB2312" w:eastAsia="仿宋_GB2312"/>
                <w:sz w:val="24"/>
                <w:color w:val="000000"/>
              </w:rPr>
              <w:t>民政</w:t>
            </w:r>
            <w:r>
              <w:rPr>
                <w:rFonts w:ascii="仿宋_GB2312" w:hAnsi="仿宋_GB2312" w:cs="仿宋_GB2312" w:eastAsia="仿宋_GB2312"/>
                <w:sz w:val="24"/>
                <w:color w:val="000000"/>
              </w:rPr>
              <w:t>府令第</w:t>
            </w:r>
            <w:r>
              <w:rPr>
                <w:rFonts w:ascii="仿宋_GB2312" w:hAnsi="仿宋_GB2312" w:cs="仿宋_GB2312" w:eastAsia="仿宋_GB2312"/>
                <w:sz w:val="24"/>
                <w:color w:val="000000"/>
              </w:rPr>
              <w:t>133号),劳保统筹按规定计取，并注明金额</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单价按照《陕西省建筑、装饰、安装、市政、园林绿化工程价目表》</w:t>
            </w:r>
            <w:r>
              <w:rPr>
                <w:rFonts w:ascii="仿宋_GB2312" w:hAnsi="仿宋_GB2312" w:cs="仿宋_GB2312" w:eastAsia="仿宋_GB2312"/>
                <w:sz w:val="24"/>
                <w:color w:val="000000"/>
              </w:rPr>
              <w:t>(2009)</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《陕西省安装工程价目表》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(2009年)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《陕西省建设工程工程量清单计价费率》</w:t>
            </w:r>
            <w:r>
              <w:rPr>
                <w:rFonts w:ascii="仿宋_GB2312" w:hAnsi="仿宋_GB2312" w:cs="仿宋_GB2312" w:eastAsia="仿宋_GB2312"/>
                <w:sz w:val="24"/>
                <w:color w:val="000000"/>
              </w:rPr>
              <w:t>(2009)及相关配套文件</w:t>
            </w:r>
          </w:p>
          <w:p>
            <w:pPr>
              <w:pStyle w:val="null3"/>
              <w:ind w:firstLine="480"/>
              <w:jc w:val="left"/>
            </w:pPr>
            <w:r>
              <w:rPr>
                <w:rFonts w:ascii="仿宋_GB2312" w:hAnsi="仿宋_GB2312" w:cs="仿宋_GB2312" w:eastAsia="仿宋_GB2312"/>
                <w:sz w:val="24"/>
                <w:color w:val="000000"/>
              </w:rPr>
              <w:t>计价程序采用增值税模板，税金执行陕建发</w:t>
            </w:r>
            <w:r>
              <w:rPr>
                <w:rFonts w:ascii="仿宋_GB2312" w:hAnsi="仿宋_GB2312" w:cs="仿宋_GB2312" w:eastAsia="仿宋_GB2312"/>
                <w:sz w:val="24"/>
                <w:color w:val="000000"/>
              </w:rPr>
              <w:t>(2019)45#文件，人工费执行陕建</w:t>
            </w:r>
            <w:r>
              <w:rPr>
                <w:rFonts w:ascii="仿宋_GB2312" w:hAnsi="仿宋_GB2312" w:cs="仿宋_GB2312" w:eastAsia="仿宋_GB2312"/>
                <w:sz w:val="24"/>
                <w:color w:val="000000"/>
              </w:rPr>
              <w:t>发</w:t>
            </w:r>
            <w:r>
              <w:rPr>
                <w:rFonts w:ascii="仿宋_GB2312" w:hAnsi="仿宋_GB2312" w:cs="仿宋_GB2312" w:eastAsia="仿宋_GB2312"/>
                <w:sz w:val="24"/>
                <w:color w:val="000000"/>
              </w:rPr>
              <w:t>(2018)2019#文件；</w:t>
            </w:r>
          </w:p>
          <w:p>
            <w:pPr>
              <w:pStyle w:val="null3"/>
              <w:ind w:firstLine="480"/>
              <w:jc w:val="left"/>
            </w:pPr>
            <w:r>
              <w:rPr>
                <w:rFonts w:ascii="仿宋_GB2312" w:hAnsi="仿宋_GB2312" w:cs="仿宋_GB2312" w:eastAsia="仿宋_GB2312"/>
                <w:sz w:val="24"/>
                <w:color w:val="000000"/>
              </w:rPr>
              <w:t>陕建发</w:t>
            </w:r>
            <w:r>
              <w:rPr>
                <w:rFonts w:ascii="仿宋_GB2312" w:hAnsi="仿宋_GB2312" w:cs="仿宋_GB2312" w:eastAsia="仿宋_GB2312"/>
                <w:sz w:val="24"/>
                <w:color w:val="000000"/>
              </w:rPr>
              <w:t>(2017)270#中关于增加建设工程扬尘治理专项措施费；</w:t>
            </w:r>
          </w:p>
          <w:p>
            <w:pPr>
              <w:pStyle w:val="null3"/>
              <w:ind w:firstLine="480"/>
              <w:jc w:val="left"/>
            </w:pPr>
            <w:r>
              <w:rPr>
                <w:rFonts w:ascii="仿宋_GB2312" w:hAnsi="仿宋_GB2312" w:cs="仿宋_GB2312" w:eastAsia="仿宋_GB2312"/>
                <w:sz w:val="24"/>
                <w:color w:val="000000"/>
              </w:rPr>
              <w:t>陕建发</w:t>
            </w:r>
            <w:r>
              <w:rPr>
                <w:rFonts w:ascii="仿宋_GB2312" w:hAnsi="仿宋_GB2312" w:cs="仿宋_GB2312" w:eastAsia="仿宋_GB2312"/>
                <w:sz w:val="24"/>
                <w:color w:val="000000"/>
              </w:rPr>
              <w:t>(2019)1246#文；</w:t>
            </w:r>
          </w:p>
          <w:p>
            <w:pPr>
              <w:pStyle w:val="null3"/>
              <w:ind w:firstLine="480"/>
              <w:jc w:val="left"/>
            </w:pPr>
            <w:r>
              <w:rPr>
                <w:rFonts w:ascii="仿宋_GB2312" w:hAnsi="仿宋_GB2312" w:cs="仿宋_GB2312" w:eastAsia="仿宋_GB2312"/>
                <w:sz w:val="24"/>
                <w:color w:val="000000"/>
              </w:rPr>
              <w:t>陕</w:t>
            </w:r>
            <w:r>
              <w:rPr>
                <w:rFonts w:ascii="仿宋_GB2312" w:hAnsi="仿宋_GB2312" w:cs="仿宋_GB2312" w:eastAsia="仿宋_GB2312"/>
                <w:sz w:val="24"/>
                <w:color w:val="000000"/>
              </w:rPr>
              <w:t>建发</w:t>
            </w:r>
            <w:r>
              <w:rPr>
                <w:rFonts w:ascii="仿宋_GB2312" w:hAnsi="仿宋_GB2312" w:cs="仿宋_GB2312" w:eastAsia="仿宋_GB2312"/>
                <w:sz w:val="24"/>
                <w:color w:val="000000"/>
              </w:rPr>
              <w:t>(2020)1027#文件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2、正常施工规范及验收规范；</w:t>
            </w:r>
          </w:p>
          <w:p>
            <w:pPr>
              <w:pStyle w:val="null3"/>
              <w:ind w:firstLine="480"/>
              <w:jc w:val="left"/>
            </w:pPr>
            <w:r>
              <w:rPr>
                <w:rFonts w:ascii="仿宋_GB2312" w:hAnsi="仿宋_GB2312" w:cs="仿宋_GB2312" w:eastAsia="仿宋_GB2312"/>
                <w:sz w:val="24"/>
                <w:color w:val="000000"/>
              </w:rPr>
              <w:t>3、国家及当地地区相应的有关规范、标准。</w:t>
            </w:r>
          </w:p>
          <w:p>
            <w:pPr>
              <w:pStyle w:val="null3"/>
            </w:pPr>
            <w:r>
              <w:rPr>
                <w:rFonts w:ascii="仿宋_GB2312" w:hAnsi="仿宋_GB2312" w:cs="仿宋_GB2312" w:eastAsia="仿宋_GB2312"/>
                <w:sz w:val="24"/>
                <w:b/>
                <w:color w:val="000000"/>
              </w:rPr>
              <w:t>四、施工要求</w:t>
            </w:r>
          </w:p>
          <w:p>
            <w:pPr>
              <w:pStyle w:val="null3"/>
              <w:ind w:firstLine="480"/>
              <w:jc w:val="left"/>
            </w:pPr>
            <w:r>
              <w:rPr>
                <w:rFonts w:ascii="仿宋_GB2312" w:hAnsi="仿宋_GB2312" w:cs="仿宋_GB2312" w:eastAsia="仿宋_GB2312"/>
                <w:sz w:val="24"/>
                <w:color w:val="000000"/>
              </w:rPr>
              <w:t>在施工期间，中标供应商必须注意院内人员安全，加</w:t>
            </w:r>
            <w:r>
              <w:rPr>
                <w:rFonts w:ascii="仿宋_GB2312" w:hAnsi="仿宋_GB2312" w:cs="仿宋_GB2312" w:eastAsia="仿宋_GB2312"/>
                <w:sz w:val="24"/>
                <w:color w:val="000000"/>
              </w:rPr>
              <w:t>强安全措施，并对施工人员进行安全教育。施工人员必须持证上岗。因采购人工作的特殊性，要求中标供应商在施工中做到封闭性施工。</w:t>
            </w:r>
          </w:p>
          <w:p>
            <w:pPr>
              <w:pStyle w:val="null3"/>
              <w:ind w:firstLine="482"/>
              <w:jc w:val="left"/>
            </w:pPr>
            <w:r>
              <w:rPr>
                <w:rFonts w:ascii="仿宋_GB2312" w:hAnsi="仿宋_GB2312" w:cs="仿宋_GB2312" w:eastAsia="仿宋_GB2312"/>
                <w:sz w:val="24"/>
                <w:b/>
                <w:color w:val="000000"/>
              </w:rPr>
              <w:t>五、商务要求</w:t>
            </w:r>
          </w:p>
          <w:p>
            <w:pPr>
              <w:pStyle w:val="null3"/>
              <w:ind w:firstLine="480"/>
              <w:jc w:val="left"/>
            </w:pPr>
            <w:r>
              <w:rPr>
                <w:rFonts w:ascii="仿宋_GB2312" w:hAnsi="仿宋_GB2312" w:cs="仿宋_GB2312" w:eastAsia="仿宋_GB2312"/>
                <w:sz w:val="24"/>
                <w:color w:val="000000"/>
              </w:rPr>
              <w:t>工程竣工验收合格后付至合同总价款的</w:t>
            </w:r>
            <w:r>
              <w:rPr>
                <w:rFonts w:ascii="仿宋_GB2312" w:hAnsi="仿宋_GB2312" w:cs="仿宋_GB2312" w:eastAsia="仿宋_GB2312"/>
                <w:sz w:val="24"/>
                <w:color w:val="000000"/>
              </w:rPr>
              <w:t>80%;竣工结算审计完成后付至审定结算工程造价的100%。</w:t>
            </w:r>
          </w:p>
          <w:p>
            <w:pPr>
              <w:pStyle w:val="null3"/>
              <w:ind w:firstLine="482"/>
              <w:jc w:val="left"/>
            </w:pPr>
            <w:r>
              <w:rPr>
                <w:rFonts w:ascii="仿宋_GB2312" w:hAnsi="仿宋_GB2312" w:cs="仿宋_GB2312" w:eastAsia="仿宋_GB2312"/>
                <w:sz w:val="24"/>
                <w:b/>
                <w:color w:val="000000"/>
              </w:rPr>
              <w:t>六、其他</w:t>
            </w:r>
          </w:p>
          <w:p>
            <w:pPr>
              <w:pStyle w:val="null3"/>
              <w:ind w:firstLine="480"/>
              <w:jc w:val="left"/>
            </w:pPr>
            <w:r>
              <w:rPr>
                <w:rFonts w:ascii="仿宋_GB2312" w:hAnsi="仿宋_GB2312" w:cs="仿宋_GB2312" w:eastAsia="仿宋_GB2312"/>
                <w:sz w:val="24"/>
                <w:color w:val="000000"/>
              </w:rPr>
              <w:t>1.质量要求：达到国家现行施工验收规范“合格”标准。</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质量验收标准或规范</w:t>
            </w:r>
            <w:r>
              <w:rPr>
                <w:rFonts w:ascii="仿宋_GB2312" w:hAnsi="仿宋_GB2312" w:cs="仿宋_GB2312" w:eastAsia="仿宋_GB2312"/>
                <w:sz w:val="24"/>
                <w:color w:val="000000"/>
              </w:rPr>
              <w:t>：</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按国家、陕西省、西安市相关规定，完成</w:t>
            </w:r>
            <w:r>
              <w:rPr>
                <w:rFonts w:ascii="仿宋_GB2312" w:hAnsi="仿宋_GB2312" w:cs="仿宋_GB2312" w:eastAsia="仿宋_GB2312"/>
                <w:sz w:val="24"/>
                <w:color w:val="000000"/>
              </w:rPr>
              <w:t>验收后，进行工程竣工验收。竣工验收后一个月内，提交竣工图及完整资料文件四套。</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二）各供应商应根据“陕西省财政厅陕财办采函〔2023〕14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三）为顺利推进政府采购电子化交易平台应用工作，供应商需要在线提交所有通过电子化交易平台实施的政府采购项目的投标文件，同时，中标供应商领取中标通知书时，应线下提交纸质版投标文件，正本壹份、副本贰套至代理机构。 线上电子投标文件与纸质投标文件一致;若正本和副本不符，以正本为准。 （四）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 （五）本项目为固定单价合同，最终合同总价以工程结算审计完成后审定的金额金额为准，且最终合同总价不得超过本项目预算金额。（六）本项目采用电子化投标与纸质投标并行的方式，供应商需要在响应文件提交截止时间前在线提交电子响应文件，同时线下提交一正两副纸质版竞争性磋商响应文件，电子响应文件应与纸质响应文件保持一致。①提交纸质版响应文件截止时间：同本项目竞争性磋商公告中响应文件提交截止时间；②提交纸质版响应文件地点：西安市南二环高新路西部国际广场B座28层前台；③提交纸质版响应文件密封要求：竞争性磋商响应文件正本、所有副本分开密封装在单独的信封中（封袋不得有破损），且在信封上标明“正本”、“副本”字样。封袋应加贴封条，并在封线处加盖磋商供应商公章，封袋正面要粘贴供应商名称、项目名称、项目编号等标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供应商具备建设部门颁发的建筑工程施工总承包三级及以上资质，且具备合格有效的安全生产许可证。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拟派项目经理具有建筑工程专业二级及以上注册建造师资格，具有有效的安全生产考核合格证（B级），在本单位注册，未担任其他在建项目的项目经理。</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w:t>
            </w:r>
          </w:p>
        </w:tc>
        <w:tc>
          <w:tcPr>
            <w:tcW w:type="dxa" w:w="1661"/>
          </w:tcPr>
          <w:p>
            <w:pPr>
              <w:pStyle w:val="null3"/>
            </w:pPr>
            <w:r>
              <w:rPr>
                <w:rFonts w:ascii="仿宋_GB2312" w:hAnsi="仿宋_GB2312" w:cs="仿宋_GB2312" w:eastAsia="仿宋_GB2312"/>
              </w:rPr>
              <w:t>已标价工程量清单 响应文件格式.docx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响应文件格式.docx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响应文件的签署、加盖印章合格有效；提供的各种证明文件、数据、资料真实有效，且符合磋商文件要求。</w:t>
            </w:r>
          </w:p>
        </w:tc>
        <w:tc>
          <w:tcPr>
            <w:tcW w:type="dxa" w:w="1661"/>
          </w:tcPr>
          <w:p>
            <w:pPr>
              <w:pStyle w:val="null3"/>
            </w:pPr>
            <w:r>
              <w:rPr>
                <w:rFonts w:ascii="仿宋_GB2312" w:hAnsi="仿宋_GB2312" w:cs="仿宋_GB2312" w:eastAsia="仿宋_GB2312"/>
              </w:rPr>
              <w:t>响应文件封面 拟投入本项目的人员配置情况表.docx 已标价工程量清单 项目管理机构组成表 中小企业声明函 残疾人福利性单位声明函 响应文件格式.docx 报价函 标的清单 供应商近三年类似项目业绩证明材料.docx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拟投入本项目的人员配置情况表.docx 已标价工程量清单 项目管理机构组成表 中小企业声明函 残疾人福利性单位声明函 响应文件格式.docx 报价函 标的清单 供应商近三年类似项目业绩证明材料.docx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项目经理和项目部组成方案</w:t>
            </w:r>
          </w:p>
        </w:tc>
        <w:tc>
          <w:tcPr>
            <w:tcW w:type="dxa" w:w="2492"/>
          </w:tcPr>
          <w:p>
            <w:pPr>
              <w:pStyle w:val="null3"/>
            </w:pPr>
            <w:r>
              <w:rPr>
                <w:rFonts w:ascii="仿宋_GB2312" w:hAnsi="仿宋_GB2312" w:cs="仿宋_GB2312" w:eastAsia="仿宋_GB2312"/>
              </w:rPr>
              <w:t>根据供应商提供的项目人员情况进行评审如项目经理、技术负责人、施工员、资料员等人员配备方案由磋商小组进行综合评审。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施工方案和方法全面、合理、规范，可操作性强得6分； 施工方案和方法相对合理和规范，有相对较强的可操作性得4分； 施工方案和方法不太合理，可操作性不强得2分； 施工方案和方法有缺漏，可操作性差得1分；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施工部署及施工总平面布置图及临时设施临时用地表布置措施</w:t>
            </w:r>
          </w:p>
        </w:tc>
        <w:tc>
          <w:tcPr>
            <w:tcW w:type="dxa" w:w="2492"/>
          </w:tcPr>
          <w:p>
            <w:pPr>
              <w:pStyle w:val="null3"/>
            </w:pPr>
            <w:r>
              <w:rPr>
                <w:rFonts w:ascii="仿宋_GB2312" w:hAnsi="仿宋_GB2312" w:cs="仿宋_GB2312" w:eastAsia="仿宋_GB2312"/>
              </w:rPr>
              <w:t>根据供应商提供的平面布置、临时设施分类布置、重点管控措施等，由磋商小组进行综合评审。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进度计划和工期目标（供应商提供施工计划网络图或横道图）方案</w:t>
            </w:r>
          </w:p>
        </w:tc>
        <w:tc>
          <w:tcPr>
            <w:tcW w:type="dxa" w:w="2492"/>
          </w:tcPr>
          <w:p>
            <w:pPr>
              <w:pStyle w:val="null3"/>
            </w:pPr>
            <w:r>
              <w:rPr>
                <w:rFonts w:ascii="仿宋_GB2312" w:hAnsi="仿宋_GB2312" w:cs="仿宋_GB2312" w:eastAsia="仿宋_GB2312"/>
              </w:rPr>
              <w:t>根据供应商提供的工期目标规划、施工总进度计划、进度计划实施工具方案等，由磋商小组进行综合评审。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采用新技术、新工艺对提供工程质量、缩短工期、降低造价的可行性方案</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维修及保修承诺</w:t>
            </w:r>
          </w:p>
        </w:tc>
        <w:tc>
          <w:tcPr>
            <w:tcW w:type="dxa" w:w="2492"/>
          </w:tcPr>
          <w:p>
            <w:pPr>
              <w:pStyle w:val="null3"/>
            </w:pPr>
            <w:r>
              <w:rPr>
                <w:rFonts w:ascii="仿宋_GB2312" w:hAnsi="仿宋_GB2312" w:cs="仿宋_GB2312" w:eastAsia="仿宋_GB2312"/>
              </w:rPr>
              <w:t>供应商对项目完工后的维修服务及保修承诺内容全面、可行、完善响应程度计分，最高得4分。 维修服务及保修承诺内容全面、合理、规范，可操作性强得4分； 维修服务及保修承诺内容方案相对合理和规范，有相对较强的可操作性得3分； 维修服务及保修承诺内容方案不太合理，可操作性不强得2分； 维修服务及保修承诺内容方案有缺漏，可操作性差得1分；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提供自2022年1月至今的类似项目业绩，每提供1份类似项目业绩（以合同签订时间为准）得2分，满分6分。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详见附件：供应商近三年类似项目业绩证明材料.docx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