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版本号：ZTC2025FW01620250902001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西安市莲湖区国民经济和社会发展第十五个五年规划编制服务项目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ZTC2025FW016</w:t>
      </w:r>
      <w:r>
        <w:br/>
      </w:r>
      <w:r>
        <w:br/>
      </w:r>
      <w:r>
        <w:br/>
      </w:r>
    </w:p>
    <w:p>
      <w:pPr>
        <w:pStyle w:val="null3"/>
        <w:jc w:val="center"/>
        <w:outlineLvl w:val="2"/>
      </w:pPr>
      <w:r>
        <w:rPr>
          <w:rFonts w:ascii="仿宋_GB2312" w:hAnsi="仿宋_GB2312" w:cs="仿宋_GB2312" w:eastAsia="仿宋_GB2312"/>
          <w:sz w:val="28"/>
          <w:b/>
        </w:rPr>
        <w:t>西安市莲湖区发展和改革委员会</w:t>
      </w:r>
    </w:p>
    <w:p>
      <w:pPr>
        <w:pStyle w:val="null3"/>
        <w:jc w:val="center"/>
        <w:outlineLvl w:val="2"/>
      </w:pPr>
      <w:r>
        <w:rPr>
          <w:rFonts w:ascii="仿宋_GB2312" w:hAnsi="仿宋_GB2312" w:cs="仿宋_GB2312" w:eastAsia="仿宋_GB2312"/>
          <w:sz w:val="28"/>
          <w:b/>
        </w:rPr>
        <w:t>陕西中金招标有限公司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陕西中金招标有限公司</w:t>
      </w:r>
      <w:r>
        <w:rPr>
          <w:rFonts w:ascii="仿宋_GB2312" w:hAnsi="仿宋_GB2312" w:cs="仿宋_GB2312" w:eastAsia="仿宋_GB2312"/>
        </w:rPr>
        <w:t>（以下简称“代理机构”）受</w:t>
      </w:r>
      <w:r>
        <w:rPr>
          <w:rFonts w:ascii="仿宋_GB2312" w:hAnsi="仿宋_GB2312" w:cs="仿宋_GB2312" w:eastAsia="仿宋_GB2312"/>
        </w:rPr>
        <w:t>西安市莲湖区发展和改革委员会</w:t>
      </w:r>
      <w:r>
        <w:rPr>
          <w:rFonts w:ascii="仿宋_GB2312" w:hAnsi="仿宋_GB2312" w:cs="仿宋_GB2312" w:eastAsia="仿宋_GB2312"/>
        </w:rPr>
        <w:t>委托，拟对</w:t>
      </w:r>
      <w:r>
        <w:rPr>
          <w:rFonts w:ascii="仿宋_GB2312" w:hAnsi="仿宋_GB2312" w:cs="仿宋_GB2312" w:eastAsia="仿宋_GB2312"/>
        </w:rPr>
        <w:t>西安市莲湖区国民经济和社会发展第十五个五年规划编制服务项目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ZTC2025FW016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西安市莲湖区国民经济和社会发展第十五个五年规划编制服务项目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本项目采购内容为西安市莲湖区国民经济和社会发展第十五个五年规划编制服务，具体要求详见竞争性磋商文件“第三章 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采购包1（西安市莲湖区国民经济和社会发展 第十五个五年规划编制服务项目）：属于专门面向中小企业采购。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提供健全的财务会计制度的证明材料：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3、纳税证明：提供2025年3月至今已缴纳的至少一个月的纳税证明或完税证明（任意税种），依法免税的单位应提供相关证明材料；</w:t>
      </w:r>
    </w:p>
    <w:p>
      <w:pPr>
        <w:pStyle w:val="null3"/>
      </w:pPr>
      <w:r>
        <w:rPr>
          <w:rFonts w:ascii="仿宋_GB2312" w:hAnsi="仿宋_GB2312" w:cs="仿宋_GB2312" w:eastAsia="仿宋_GB2312"/>
        </w:rPr>
        <w:t>4、社保缴纳证明：提供2025年3月至今已缴存的至少一个月的社会保障资金缴存单据或社保机构开具的社会保险参保缴费情况证明，依法不需要缴纳社会保障资金的单位应提供相关证明材料；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5、专业技术能力承诺：提供具有履行合同所必需的设备和专业技术能力的承诺；</w:t>
      </w:r>
    </w:p>
    <w:p>
      <w:pPr>
        <w:pStyle w:val="null3"/>
      </w:pPr>
      <w:r>
        <w:rPr>
          <w:rFonts w:ascii="仿宋_GB2312" w:hAnsi="仿宋_GB2312" w:cs="仿宋_GB2312" w:eastAsia="仿宋_GB2312"/>
        </w:rPr>
        <w:t>6、三年内无重大违法记录：参加政府采购活动前三年内，在经营活动中没有重大违法记录的书面声明；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7、法定代表人身份证明或法定代表人授权委托书：法定代表人授权书（附法定代表人、被授权人身份证复印件），法定代表人直接参加磋商，须提供法定代表人身份证明；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9、非联合体声明函：本项目不接受联合体磋商。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029-87347762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陕西中金招标有限公司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西安市莲湖区高新二路新世纪大厦9层910A室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029-89527191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西安市莲湖区发展和改革委员会</w:t>
      </w:r>
      <w:r>
        <w:rPr>
          <w:rFonts w:ascii="仿宋_GB2312" w:hAnsi="仿宋_GB2312" w:cs="仿宋_GB2312" w:eastAsia="仿宋_GB2312"/>
        </w:rPr>
        <w:t>和</w:t>
      </w:r>
      <w:r>
        <w:rPr>
          <w:rFonts w:ascii="仿宋_GB2312" w:hAnsi="仿宋_GB2312" w:cs="仿宋_GB2312" w:eastAsia="仿宋_GB2312"/>
        </w:rPr>
        <w:t>陕西中金招标有限公司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陕西中金招标有限公司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陕西中金招标有限公司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陕西中金招标有限公司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陕西中金招标有限公司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陕西中金招标有限公司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联系人：寇超</w:t>
      </w:r>
    </w:p>
    <w:p>
      <w:pPr>
        <w:pStyle w:val="null3"/>
      </w:pPr>
      <w:r>
        <w:rPr>
          <w:rFonts w:ascii="仿宋_GB2312" w:hAnsi="仿宋_GB2312" w:cs="仿宋_GB2312" w:eastAsia="仿宋_GB2312"/>
        </w:rPr>
        <w:t>联系电话：029-89527191</w:t>
      </w:r>
    </w:p>
    <w:p>
      <w:pPr>
        <w:pStyle w:val="null3"/>
      </w:pPr>
      <w:r>
        <w:rPr>
          <w:rFonts w:ascii="仿宋_GB2312" w:hAnsi="仿宋_GB2312" w:cs="仿宋_GB2312" w:eastAsia="仿宋_GB2312"/>
        </w:rPr>
        <w:t>地址：西安市莲湖区高新二路新世纪大厦9层910A室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本项目采购内容为西安市莲湖区国民经济和社会发展第十五个五年规划编制服务，具体要求详见竞争性磋商文件“第三章 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西安市莲湖区国民经济和社会发展第十五个五年规划编制服务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标的名称：西安市莲湖区国民经济和社会发展第十五个五年规划编制服务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全面贯彻党的二十届二中、三中全会精神，深入贯彻总书记来陕考察重要讲话重要指示精神，落实国家关于“十四五”规划中后期评估调整和“十五五”时期发展方向的总体要求，以及我省、我市战略部署，系统谋划</w:t>
            </w:r>
            <w:r>
              <w:rPr>
                <w:rFonts w:ascii="仿宋_GB2312" w:hAnsi="仿宋_GB2312" w:cs="仿宋_GB2312" w:eastAsia="仿宋_GB2312"/>
                <w:sz w:val="21"/>
              </w:rPr>
              <w:t>莲湖区</w:t>
            </w:r>
            <w:r>
              <w:rPr>
                <w:rFonts w:ascii="仿宋_GB2312" w:hAnsi="仿宋_GB2312" w:cs="仿宋_GB2312" w:eastAsia="仿宋_GB2312"/>
                <w:sz w:val="21"/>
              </w:rPr>
              <w:t>2026-2030</w:t>
            </w:r>
            <w:r>
              <w:rPr>
                <w:rFonts w:ascii="仿宋_GB2312" w:hAnsi="仿宋_GB2312" w:cs="仿宋_GB2312" w:eastAsia="仿宋_GB2312"/>
                <w:sz w:val="21"/>
              </w:rPr>
              <w:t>年国民经济和社会发展蓝图。依据《中华人民共和国国民经济和社会发展五年规划纲要编制条例》及相关法律法规，县级以上人民政府需编制本级五年规划纲要。现在需要立足莲湖实际，衔接“十四五”规划任务完成情况，准确研判“十五五”时期莲湖区发展面临的新形势、新机遇与新挑战，聚焦经济转型、创新驱动、民生保障、绿色低碳、数字化转型等关键领域，在确保我区规划纲要与上级战略方向一致的基础上，高质量完成具有前瞻性、科学性和可操作性的“十五五”规划编制，为莲湖区未来五年发展提供战略指引。</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按照国家和陕西省、西安市关于</w:t>
            </w:r>
            <w:r>
              <w:rPr>
                <w:rFonts w:ascii="仿宋_GB2312" w:hAnsi="仿宋_GB2312" w:cs="仿宋_GB2312" w:eastAsia="仿宋_GB2312"/>
                <w:sz w:val="21"/>
              </w:rPr>
              <w:t>“十五五”规划编制安排部署，立足于莲湖区阶段性特征，紧紧围绕时代发展主题，以“</w:t>
            </w:r>
            <w:r>
              <w:rPr>
                <w:rFonts w:ascii="仿宋_GB2312" w:hAnsi="仿宋_GB2312" w:cs="仿宋_GB2312" w:eastAsia="仿宋_GB2312"/>
                <w:sz w:val="21"/>
              </w:rPr>
              <w:t>1331</w:t>
            </w:r>
            <w:r>
              <w:rPr>
                <w:rFonts w:ascii="仿宋_GB2312" w:hAnsi="仿宋_GB2312" w:cs="仿宋_GB2312" w:eastAsia="仿宋_GB2312"/>
                <w:sz w:val="21"/>
              </w:rPr>
              <w:t>”战略为统领，完成莲湖区“十四五”总结评价，</w:t>
            </w:r>
            <w:r>
              <w:rPr>
                <w:rFonts w:ascii="仿宋_GB2312" w:hAnsi="仿宋_GB2312" w:cs="仿宋_GB2312" w:eastAsia="仿宋_GB2312"/>
                <w:sz w:val="21"/>
              </w:rPr>
              <w:t>围绕重大项目、重大战略任务、重大改革举措，</w:t>
            </w:r>
            <w:r>
              <w:rPr>
                <w:rFonts w:ascii="仿宋_GB2312" w:hAnsi="仿宋_GB2312" w:cs="仿宋_GB2312" w:eastAsia="仿宋_GB2312"/>
                <w:sz w:val="21"/>
              </w:rPr>
              <w:t>研究形成我区</w:t>
            </w:r>
            <w:r>
              <w:rPr>
                <w:rFonts w:ascii="仿宋_GB2312" w:hAnsi="仿宋_GB2312" w:cs="仿宋_GB2312" w:eastAsia="仿宋_GB2312"/>
                <w:sz w:val="21"/>
              </w:rPr>
              <w:t>“十五五”基本思路，编制《西安市莲湖区国民经济和社会发展第十五个五年规划纲要》和重点项目</w:t>
            </w:r>
            <w:r>
              <w:rPr>
                <w:rFonts w:ascii="仿宋_GB2312" w:hAnsi="仿宋_GB2312" w:cs="仿宋_GB2312" w:eastAsia="仿宋_GB2312"/>
                <w:sz w:val="21"/>
              </w:rPr>
              <w:t>建设</w:t>
            </w:r>
            <w:r>
              <w:rPr>
                <w:rFonts w:ascii="仿宋_GB2312" w:hAnsi="仿宋_GB2312" w:cs="仿宋_GB2312" w:eastAsia="仿宋_GB2312"/>
                <w:sz w:val="21"/>
              </w:rPr>
              <w:t>、服务业发展、国防动员</w:t>
            </w:r>
            <w:r>
              <w:rPr>
                <w:rFonts w:ascii="仿宋_GB2312" w:hAnsi="仿宋_GB2312" w:cs="仿宋_GB2312" w:eastAsia="仿宋_GB2312"/>
                <w:sz w:val="21"/>
              </w:rPr>
              <w:t>3</w:t>
            </w:r>
            <w:r>
              <w:rPr>
                <w:rFonts w:ascii="仿宋_GB2312" w:hAnsi="仿宋_GB2312" w:cs="仿宋_GB2312" w:eastAsia="仿宋_GB2312"/>
                <w:sz w:val="21"/>
              </w:rPr>
              <w:t>个专项规划。</w:t>
            </w:r>
          </w:p>
          <w:p>
            <w:pPr>
              <w:pStyle w:val="null3"/>
              <w:jc w:val="both"/>
            </w:pPr>
            <w:r>
              <w:rPr>
                <w:rFonts w:ascii="仿宋_GB2312" w:hAnsi="仿宋_GB2312" w:cs="仿宋_GB2312" w:eastAsia="仿宋_GB2312"/>
                <w:sz w:val="21"/>
              </w:rPr>
              <w:t>主要规划内容包括但不局限于以下内容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、莲湖区“十四五”发展成就和“十五五”发展形势及发展目标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、在规划纲要大纲的基础上，形成简要的基本思路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、莲湖区“十五五”空间布局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、经济社会发展关键领域的重点任务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、实施保障措施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、重点</w:t>
            </w:r>
            <w:r>
              <w:rPr>
                <w:rFonts w:ascii="仿宋_GB2312" w:hAnsi="仿宋_GB2312" w:cs="仿宋_GB2312" w:eastAsia="仿宋_GB2312"/>
                <w:sz w:val="21"/>
              </w:rPr>
              <w:t>项目</w:t>
            </w:r>
            <w:r>
              <w:rPr>
                <w:rFonts w:ascii="仿宋_GB2312" w:hAnsi="仿宋_GB2312" w:cs="仿宋_GB2312" w:eastAsia="仿宋_GB2312"/>
                <w:sz w:val="21"/>
              </w:rPr>
              <w:t>建设、服务业发展、国防动员</w:t>
            </w:r>
            <w:r>
              <w:rPr>
                <w:rFonts w:ascii="仿宋_GB2312" w:hAnsi="仿宋_GB2312" w:cs="仿宋_GB2312" w:eastAsia="仿宋_GB2312"/>
                <w:sz w:val="21"/>
              </w:rPr>
              <w:t>3</w:t>
            </w:r>
            <w:r>
              <w:rPr>
                <w:rFonts w:ascii="仿宋_GB2312" w:hAnsi="仿宋_GB2312" w:cs="仿宋_GB2312" w:eastAsia="仿宋_GB2312"/>
                <w:sz w:val="21"/>
              </w:rPr>
              <w:t>个专项规划。</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三、技术要求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规划编制符合《中华人民共和国国民经济和社会发展五年规划纲要编制条例》及相关法律法规。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规划纲要的主要内容要与西安市“十五五”规划纲要相协调，与西安市战略方向一致。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数据来源以区统计局、区发改委、资源规划莲湖分局等部门数据为主</w:t>
            </w:r>
            <w:r>
              <w:rPr>
                <w:rFonts w:ascii="仿宋_GB2312" w:hAnsi="仿宋_GB2312" w:cs="仿宋_GB2312" w:eastAsia="仿宋_GB2312"/>
                <w:sz w:val="21"/>
              </w:rPr>
              <w:t>，</w:t>
            </w:r>
            <w:r>
              <w:rPr>
                <w:rFonts w:ascii="仿宋_GB2312" w:hAnsi="仿宋_GB2312" w:cs="仿宋_GB2312" w:eastAsia="仿宋_GB2312"/>
                <w:sz w:val="21"/>
              </w:rPr>
              <w:t>辅以第三方调研</w:t>
            </w:r>
            <w:r>
              <w:rPr>
                <w:rFonts w:ascii="仿宋_GB2312" w:hAnsi="仿宋_GB2312" w:cs="仿宋_GB2312" w:eastAsia="仿宋_GB2312"/>
                <w:sz w:val="21"/>
              </w:rPr>
              <w:t>(</w:t>
            </w:r>
            <w:r>
              <w:rPr>
                <w:rFonts w:ascii="仿宋_GB2312" w:hAnsi="仿宋_GB2312" w:cs="仿宋_GB2312" w:eastAsia="仿宋_GB2312"/>
                <w:sz w:val="21"/>
              </w:rPr>
              <w:t>如企业走访、问卷调査等</w:t>
            </w:r>
            <w:r>
              <w:rPr>
                <w:rFonts w:ascii="仿宋_GB2312" w:hAnsi="仿宋_GB2312" w:cs="仿宋_GB2312" w:eastAsia="仿宋_GB2312"/>
                <w:sz w:val="21"/>
              </w:rPr>
              <w:t>)</w:t>
            </w:r>
            <w:r>
              <w:rPr>
                <w:rFonts w:ascii="仿宋_GB2312" w:hAnsi="仿宋_GB2312" w:cs="仿宋_GB2312" w:eastAsia="仿宋_GB2312"/>
                <w:sz w:val="21"/>
              </w:rPr>
              <w:t>，并采用科学的分析工具，确保结论科学性。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规划纲要应与与各级“十五五”规划及国土空间规划、专项规划进行衔接，确保规划系统性。</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供应商应有较为丰富的专家资源库、有较强的团队管理能力、能够</w:t>
            </w:r>
            <w:r>
              <w:rPr>
                <w:rFonts w:ascii="仿宋_GB2312" w:hAnsi="仿宋_GB2312" w:cs="仿宋_GB2312" w:eastAsia="仿宋_GB2312"/>
                <w:sz w:val="21"/>
              </w:rPr>
              <w:t>提供</w:t>
            </w:r>
            <w:r>
              <w:rPr>
                <w:rFonts w:ascii="仿宋_GB2312" w:hAnsi="仿宋_GB2312" w:cs="仿宋_GB2312" w:eastAsia="仿宋_GB2312"/>
                <w:sz w:val="21"/>
              </w:rPr>
              <w:t>具有前瞻性、科学性和可操作性的</w:t>
            </w:r>
            <w:r>
              <w:rPr>
                <w:rFonts w:ascii="仿宋_GB2312" w:hAnsi="仿宋_GB2312" w:cs="仿宋_GB2312" w:eastAsia="仿宋_GB2312"/>
                <w:sz w:val="21"/>
              </w:rPr>
              <w:t>“十五五”规划编制服务。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供应商应分阶段提交阶段性成果</w:t>
            </w:r>
            <w:r>
              <w:rPr>
                <w:rFonts w:ascii="仿宋_GB2312" w:hAnsi="仿宋_GB2312" w:cs="仿宋_GB2312" w:eastAsia="仿宋_GB2312"/>
                <w:sz w:val="21"/>
              </w:rPr>
              <w:t>(</w:t>
            </w:r>
            <w:r>
              <w:rPr>
                <w:rFonts w:ascii="仿宋_GB2312" w:hAnsi="仿宋_GB2312" w:cs="仿宋_GB2312" w:eastAsia="仿宋_GB2312"/>
                <w:sz w:val="21"/>
              </w:rPr>
              <w:t>如</w:t>
            </w:r>
            <w:r>
              <w:rPr>
                <w:rFonts w:ascii="仿宋_GB2312" w:hAnsi="仿宋_GB2312" w:cs="仿宋_GB2312" w:eastAsia="仿宋_GB2312"/>
                <w:sz w:val="21"/>
              </w:rPr>
              <w:t>思路、大纲</w:t>
            </w:r>
            <w:r>
              <w:rPr>
                <w:rFonts w:ascii="仿宋_GB2312" w:hAnsi="仿宋_GB2312" w:cs="仿宋_GB2312" w:eastAsia="仿宋_GB2312"/>
                <w:sz w:val="21"/>
              </w:rPr>
              <w:t>、初稿</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，全程接受采购人监督。</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五、成果要求</w:t>
            </w:r>
          </w:p>
          <w:p>
            <w:pPr>
              <w:pStyle w:val="null3"/>
              <w:jc w:val="both"/>
            </w:pPr>
            <w:r>
              <w:rPr>
                <w:rFonts w:ascii="仿宋_GB2312" w:hAnsi="仿宋_GB2312" w:cs="仿宋_GB2312" w:eastAsia="仿宋_GB2312"/>
                <w:sz w:val="21"/>
              </w:rPr>
              <w:t>包括成果文件的组成、深度、格式要求、份数、载体等，应在不违反法律、行政法规，符合国家有关规范等要求的基础上满足采购人要求。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供应商的项目负责人需具备充足的规划编制经验，团队成员含经济、产业、规划、社会等领域专家。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满足完成项目实施所需设施设备要求。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自合同签订之日起6个月内提交最终成果。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供应商自备工作地点。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按国家、行业性标准或专家评审验收。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完成初稿并通过论证后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待项目完成，经过专家评审和区委、区政府及人大会议审议通过且符合相关法律法规、规章、政策的规定，乙方出具正式稿后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本项目采用电子化投标与纸质投标并行的方式，供应商需要于2025年09月16日14时30分00秒前在线提交电子响应文件，同时线下提交一正两副纸质版响应文件，纸质响应文件与电子响应文件保持一致。 ①提交纸质版响应文件截止时间：2025年09月16日14时30分00秒（北京时间） ②提交纸质版响应文件地点：西安市莲湖区高新二路新世纪大厦10层会议室 ③提交纸质版响应文件密封要求：磋商响应文件正本、所有副本分开密封装在单独的信封中（封袋不得有破损），且在信封上标明“正本”、“副本”字样。封袋应加贴封条，并在封线处加盖磋商供应商公章，封袋正面要粘贴供应商名称、项目名称、项目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提供2025年3月至今已缴纳的至少一个月的纳税证明或完税证明（任意税种），依法免税的单位应提供相关证明材料；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分项报价明细表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磋商响应文件应按照竞争性磋商文件要求的格式编写；磋商响应文件内容未出现重大缺漏项。</w:t>
            </w:r>
          </w:p>
        </w:tc>
        <w:tc>
          <w:tcPr>
            <w:tcW w:type="dxa" w:w="1661"/>
          </w:tcPr>
          <w:p>
            <w:pPr>
              <w:pStyle w:val="null3"/>
            </w:pPr>
            <w:r>
              <w:rPr>
                <w:rFonts w:ascii="仿宋_GB2312" w:hAnsi="仿宋_GB2312" w:cs="仿宋_GB2312" w:eastAsia="仿宋_GB2312"/>
              </w:rPr>
              <w:t>商务要求偏离表 中小企业声明函 供应商应提交的相关资格证明材料 报价表 分项报价明细表 拒绝政府采购领域商业贿赂承诺书 服务要求偏离表 业绩一览表 响应文件封面 磋商响应方案说明 第一次磋商报价表 标的清单 响应函 合同主要条款偏离表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磋商响应文件的签署及盖章</w:t>
            </w:r>
          </w:p>
        </w:tc>
        <w:tc>
          <w:tcPr>
            <w:tcW w:type="dxa" w:w="3322"/>
          </w:tcPr>
          <w:p>
            <w:pPr>
              <w:pStyle w:val="null3"/>
            </w:pPr>
            <w:r>
              <w:rPr>
                <w:rFonts w:ascii="仿宋_GB2312" w:hAnsi="仿宋_GB2312" w:cs="仿宋_GB2312" w:eastAsia="仿宋_GB2312"/>
              </w:rPr>
              <w:t>磋商响应文件签署及盖章有效，字迹清晰可辨符合竞争性磋商文件要求，且无遗漏。</w:t>
            </w:r>
          </w:p>
        </w:tc>
        <w:tc>
          <w:tcPr>
            <w:tcW w:type="dxa" w:w="1661"/>
          </w:tcPr>
          <w:p>
            <w:pPr>
              <w:pStyle w:val="null3"/>
            </w:pPr>
            <w:r>
              <w:rPr>
                <w:rFonts w:ascii="仿宋_GB2312" w:hAnsi="仿宋_GB2312" w:cs="仿宋_GB2312" w:eastAsia="仿宋_GB2312"/>
              </w:rPr>
              <w:t>商务要求偏离表 中小企业声明函 供应商应提交的相关资格证明材料 报价表 分项报价明细表 拒绝政府采购领域商业贿赂承诺书 服务要求偏离表 业绩一览表 响应文件封面 第一次磋商报价表 标的清单 响应函 合同主要条款偏离表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第一次磋商报价表 标的清单 报价表 分项报价明细表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响应竞争性磋商文件合同条款要求未出现负偏离且响应的内容中未附有采购人不能接受的附加条件。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磋商响应文件有效期达到竞争性磋商文件的要求。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对竞争性磋商文件的响应程度</w:t>
            </w:r>
          </w:p>
        </w:tc>
        <w:tc>
          <w:tcPr>
            <w:tcW w:type="dxa" w:w="3322"/>
          </w:tcPr>
          <w:p>
            <w:pPr>
              <w:pStyle w:val="null3"/>
            </w:pPr>
            <w:r>
              <w:rPr>
                <w:rFonts w:ascii="仿宋_GB2312" w:hAnsi="仿宋_GB2312" w:cs="仿宋_GB2312" w:eastAsia="仿宋_GB2312"/>
              </w:rPr>
              <w:t>磋商响应文件响应内容符合国家法律法规，实质性响应了竞争性磋商文件的相关要求，没有重大偏离及采购人不能接受的附加条件。</w:t>
            </w:r>
          </w:p>
        </w:tc>
        <w:tc>
          <w:tcPr>
            <w:tcW w:type="dxa" w:w="1661"/>
          </w:tcPr>
          <w:p>
            <w:pPr>
              <w:pStyle w:val="null3"/>
            </w:pPr>
            <w:r>
              <w:rPr>
                <w:rFonts w:ascii="仿宋_GB2312" w:hAnsi="仿宋_GB2312" w:cs="仿宋_GB2312" w:eastAsia="仿宋_GB2312"/>
              </w:rPr>
              <w:t>商务要求偏离表 响应函 合同主要条款偏离表 服务要求偏离表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政策理解与需求分析</w:t>
            </w:r>
          </w:p>
        </w:tc>
        <w:tc>
          <w:tcPr>
            <w:tcW w:type="dxa" w:w="2492"/>
          </w:tcPr>
          <w:p>
            <w:pPr>
              <w:pStyle w:val="null3"/>
            </w:pPr>
            <w:r>
              <w:rPr>
                <w:rFonts w:ascii="仿宋_GB2312" w:hAnsi="仿宋_GB2312" w:cs="仿宋_GB2312" w:eastAsia="仿宋_GB2312"/>
              </w:rPr>
              <w:t>依据各供应商提供的政策理解与需求分析进行综合评分： ①政策理解与需求分析内容详细全面、非常准确，得7分。 ②政策理解与需求分析内容完整、准确得5分。 ③政策理解与需求分析内容简单，基本准确得3分。 ④政策理解与需求分析内容理解内容粗略，准确性较低得1分。 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重难点理解与解决方案</w:t>
            </w:r>
          </w:p>
        </w:tc>
        <w:tc>
          <w:tcPr>
            <w:tcW w:type="dxa" w:w="2492"/>
          </w:tcPr>
          <w:p>
            <w:pPr>
              <w:pStyle w:val="null3"/>
            </w:pPr>
            <w:r>
              <w:rPr>
                <w:rFonts w:ascii="仿宋_GB2312" w:hAnsi="仿宋_GB2312" w:cs="仿宋_GB2312" w:eastAsia="仿宋_GB2312"/>
              </w:rPr>
              <w:t>依据各供应商提供的项目重难点理解与解决方案进行综合评分： ①项目重难点理解非常准确，解决方案详细全面、切实可行得7分。 ②项目重难点理解准确，解决方案完整、可行性较强得5分。 ③项目重难点理解基本准确，解决方案简单、具有一定可行性得3分。 ④项目重难点理解不准确，解决方案粗略、可行性较低得1分。 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依据各供应商针对项目实施提供的总体服务方案进行综合评分： ①总体服务方案思路清晰新颖，内容详细充分，切实可行得15分。 ②总体服务方案思路清晰，内容完整，可行性较强得12分。 ③总体服务方案思路基本清晰，内容简单，具有一定可行性得8分。 ④总体服务方案思路不清晰，内容粗略，可行性较低得4分。 ⑤未提供不得分。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工作计划及进度保障</w:t>
            </w:r>
          </w:p>
        </w:tc>
        <w:tc>
          <w:tcPr>
            <w:tcW w:type="dxa" w:w="2492"/>
          </w:tcPr>
          <w:p>
            <w:pPr>
              <w:pStyle w:val="null3"/>
            </w:pPr>
            <w:r>
              <w:rPr>
                <w:rFonts w:ascii="仿宋_GB2312" w:hAnsi="仿宋_GB2312" w:cs="仿宋_GB2312" w:eastAsia="仿宋_GB2312"/>
              </w:rPr>
              <w:t>依据各供应商针对项目实施提供的工作计划及进度保障措施进行综合评分： ①工作计划及进度保障措施内容详细具体、科学合理、切实可行得9分。 ②工作计划及进度保障措施内容完整、可行性较强得7分。 ③工作计划及进度保障措施内容简单、具有一定可行性得5分。 ④工作计划及进度保障措施内容粗略、可行性较低得3分。 ⑤未提供不得分。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服务质量目标及保证措施</w:t>
            </w:r>
          </w:p>
        </w:tc>
        <w:tc>
          <w:tcPr>
            <w:tcW w:type="dxa" w:w="2492"/>
          </w:tcPr>
          <w:p>
            <w:pPr>
              <w:pStyle w:val="null3"/>
            </w:pPr>
            <w:r>
              <w:rPr>
                <w:rFonts w:ascii="仿宋_GB2312" w:hAnsi="仿宋_GB2312" w:cs="仿宋_GB2312" w:eastAsia="仿宋_GB2312"/>
              </w:rPr>
              <w:t>依据供应商针对本项目实施制定的服务质量目标及服务质量保证措施进行综合评分。 ①质量目标非常明确，质量保证措施详细完善，切实可行得9分。 ②项目质量目标明确，质量保证措施完整，可行性较强得7分。 ③项目质量目标基本明确，质量保证措施简单，具有一定可行性得5分。 ④项目质量目标不明确，质量保证措施粗略，可行性较低得3分。 ⑤未提供不得分。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依据供应商针对项目实施过程中数据、资料、报告等内容提出的管理方案进行综合评分。 ①管理方案内容详细具体、切实可行得7分。 ②管理方案内容完整，可行性较强得5分。 ③管理方案内容简单，具有一定可行性得3分。 ④管理方案内容粗略，可行性较低得1分。 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依据各供应商针对本项目实施提供的相关保密措施进行综合评分： ①保密措施内容详细具体、切实可行得7分。 ②保密措施内容完整，可行性较强得5分。 ③保密措施内容简单，具有一定可行性得3分。 ④保密措施内容粗略，可行性较低得1分。 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依据各供应商针对项目实施提出的服务承诺进行综合评分： ①服务承诺内容详细具体，表述非常明确得7分。 ②服务承诺内容完整，表述明确得5分。 ③服务承诺内容简单，表述基本明确得3分。 ④服务承诺内容粗略，表述不明确得1分。 ⑤未提供不得分。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拟投入项目人员</w:t>
            </w:r>
          </w:p>
        </w:tc>
        <w:tc>
          <w:tcPr>
            <w:tcW w:type="dxa" w:w="2492"/>
          </w:tcPr>
          <w:p>
            <w:pPr>
              <w:pStyle w:val="null3"/>
            </w:pPr>
            <w:r>
              <w:rPr>
                <w:rFonts w:ascii="仿宋_GB2312" w:hAnsi="仿宋_GB2312" w:cs="仿宋_GB2312" w:eastAsia="仿宋_GB2312"/>
              </w:rPr>
              <w:t>依据各供应商拟投入本项目服务人员的基本情况，包括但不限于成员人数、学历、相关证书、专业程度、从事专业年限、相同或类似项目经验、岗位配置合理性、职责分工明确程度等进行综合评分： ①项目团队非常专业且项目经验特别丰富，人员调配及职责分工方案科学合理、切实可行得 12分。 ②项目团队专业、项目经验丰富，人员调配及职责分工方案可行性较强得9分。 ③项目团队专业程度及相目经验能够基本保障项目实施，人员调配及职责分工方案具有一定可行性得6分。 ④项目团队专业程度及相目经验较难保障项目实施，人员调配及职责分工方案可行性较低得3分。 ⑤未提供不得分。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供应商提供近年（2020年1月至今）类似项目业绩。供应商应在磋商响应文件中附有其业绩证明材料，以供应商加盖公章的合同协议书复印件为准，每提供1个得2分，最高得10分。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满足竞争性磋商文件实质性要求且最终磋商报价最低的供应商的价格为评审基准价，其价格分为满分。 磋商报价得分=（评审基准价／最终磋商报价）×10。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分项报价明细表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详见附件：服务要求偏离表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详见附件：合同主要条款偏离表</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详见附件：西安市莲湖区国民经济和社会发展第十五个五年规划编制服务项目拟签订的合同文本.docx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