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版本号：XHZX-25-05120250902001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车辆采购项目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XHZX-25-051</w:t>
      </w:r>
      <w:r>
        <w:br/>
      </w:r>
      <w:r>
        <w:br/>
      </w:r>
      <w:r>
        <w:br/>
      </w:r>
    </w:p>
    <w:p>
      <w:pPr>
        <w:pStyle w:val="null3"/>
        <w:jc w:val="center"/>
        <w:outlineLvl w:val="2"/>
      </w:pPr>
      <w:r>
        <w:rPr>
          <w:rFonts w:ascii="仿宋_GB2312" w:hAnsi="仿宋_GB2312" w:cs="仿宋_GB2312" w:eastAsia="仿宋_GB2312"/>
          <w:sz w:val="28"/>
          <w:b/>
        </w:rPr>
        <w:t>西安市莲湖区机关事务服务中心</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西安市莲湖区机关事务服务中心</w:t>
      </w:r>
      <w:r>
        <w:rPr>
          <w:rFonts w:ascii="仿宋_GB2312" w:hAnsi="仿宋_GB2312" w:cs="仿宋_GB2312" w:eastAsia="仿宋_GB2312"/>
        </w:rPr>
        <w:t>委托，拟对</w:t>
      </w:r>
      <w:r>
        <w:rPr>
          <w:rFonts w:ascii="仿宋_GB2312" w:hAnsi="仿宋_GB2312" w:cs="仿宋_GB2312" w:eastAsia="仿宋_GB2312"/>
        </w:rPr>
        <w:t>车辆采购项目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XHZX-25-051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车辆采购项目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日常执法执勤及应急处置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p>
      <w:pPr>
        <w:pStyle w:val="null3"/>
      </w:pPr>
      <w:r>
        <w:rPr>
          <w:rFonts w:ascii="仿宋_GB2312" w:hAnsi="仿宋_GB2312" w:cs="仿宋_GB2312" w:eastAsia="仿宋_GB2312"/>
        </w:rPr>
        <w:t>3、税收缴纳证明：提供2025年3月至今已缴纳的至少一个月的纳税证明或完税证明（任意税种），依法免税的单位应提供相关证明材料；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p>
      <w:pPr>
        <w:pStyle w:val="null3"/>
      </w:pPr>
      <w:r>
        <w:rPr>
          <w:rFonts w:ascii="仿宋_GB2312" w:hAnsi="仿宋_GB2312" w:cs="仿宋_GB2312" w:eastAsia="仿宋_GB2312"/>
        </w:rPr>
        <w:t>3、税收缴纳证明：提供2025年3月至今已缴纳的至少一个月的纳税证明或完税证明（任意税种），依法免税的单位应提供相关证明材料；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4、社会保障资金缴纳证明：提供2025年3月至今已缴存的至少一个月的社会保障资金缴存单据或社保机构开具的社会保险参保缴费情况证明，依法不需要缴纳社会保障资金的单位应提供相关证明材料；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西安市莲湖区机关事务服务中心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029-87322029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采购包1：649,500.00元</w:t>
            </w:r>
          </w:p>
          <w:p>
            <w:pPr>
              <w:pStyle w:val="null3"/>
            </w:pPr>
            <w:r>
              <w:rPr>
                <w:rFonts w:ascii="仿宋_GB2312" w:hAnsi="仿宋_GB2312" w:cs="仿宋_GB2312" w:eastAsia="仿宋_GB2312"/>
              </w:rPr>
              <w:t>采购包2：1,290,000.00元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中标供应商应在领取通知书的同时，支付本项目代理服务费。收款账户如下：收款单位：信宏工程咨询有限公司陕西分公司；开户银行：招商银行股份有限公司西安神舟四路支行；银行账号：129919378410001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西安市莲湖区机关事务服务中心</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西安市莲湖区机关事务服务中心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西安市莲湖区机关事务服务中心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符合国家、行业相关法律法规、工信部公告数据及满足采购人正常使用需求。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符合国家、行业相关法律法规、工信部公告数据及满足采购人正常使用需求。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日常执法执勤及应急处置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649,500.00</w:t>
      </w:r>
    </w:p>
    <w:p>
      <w:pPr>
        <w:pStyle w:val="null3"/>
      </w:pPr>
      <w:r>
        <w:rPr>
          <w:rFonts w:ascii="仿宋_GB2312" w:hAnsi="仿宋_GB2312" w:cs="仿宋_GB2312" w:eastAsia="仿宋_GB2312"/>
        </w:rPr>
        <w:t>采购包最高限价（元）: 539,500.00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执法执勤车辆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649,500.00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1,290,000.00</w:t>
      </w:r>
    </w:p>
    <w:p>
      <w:pPr>
        <w:pStyle w:val="null3"/>
      </w:pPr>
      <w:r>
        <w:rPr>
          <w:rFonts w:ascii="仿宋_GB2312" w:hAnsi="仿宋_GB2312" w:cs="仿宋_GB2312" w:eastAsia="仿宋_GB2312"/>
        </w:rPr>
        <w:t>采购包最高限价（元）: 1,290,000.00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特种专业技术用车</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1,290,000.00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标的名称：执法执勤车辆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执法执勤车辆：5辆</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1702"/>
                  <w:gridSpan w:val="2"/>
                </w:tcPr>
                <w:p>
                  <w:pPr>
                    <w:pStyle w:val="null3"/>
                  </w:pPr>
                  <w:r>
                    <w:rPr>
                      <w:rFonts w:ascii="仿宋_GB2312" w:hAnsi="仿宋_GB2312" w:cs="仿宋_GB2312" w:eastAsia="仿宋_GB2312"/>
                    </w:rPr>
                    <w:t>技术参数及要求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★能源类型</w:t>
                  </w:r>
                </w:p>
              </w:tc>
              <w:tc>
                <w:tcPr>
                  <w:tcW w:type="dxa" w:w="851"/>
                </w:tcPr>
                <w:p>
                  <w:pPr>
                    <w:pStyle w:val="null3"/>
                  </w:pPr>
                  <w:r>
                    <w:rPr>
                      <w:rFonts w:ascii="仿宋_GB2312" w:hAnsi="仿宋_GB2312" w:cs="仿宋_GB2312" w:eastAsia="仿宋_GB2312"/>
                    </w:rPr>
                    <w:t>插电式混合动力</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★车身颜色</w:t>
                  </w:r>
                </w:p>
              </w:tc>
              <w:tc>
                <w:tcPr>
                  <w:tcW w:type="dxa" w:w="851"/>
                </w:tcPr>
                <w:p>
                  <w:pPr>
                    <w:pStyle w:val="null3"/>
                  </w:pPr>
                  <w:r>
                    <w:rPr>
                      <w:rFonts w:ascii="仿宋_GB2312" w:hAnsi="仿宋_GB2312" w:cs="仿宋_GB2312" w:eastAsia="仿宋_GB2312"/>
                    </w:rPr>
                    <w:t>白色</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车辆尺寸长（mm）</w:t>
                  </w:r>
                </w:p>
              </w:tc>
              <w:tc>
                <w:tcPr>
                  <w:tcW w:type="dxa" w:w="851"/>
                </w:tcPr>
                <w:p>
                  <w:pPr>
                    <w:pStyle w:val="null3"/>
                  </w:pPr>
                  <w:r>
                    <w:rPr>
                      <w:rFonts w:ascii="仿宋_GB2312" w:hAnsi="仿宋_GB2312" w:cs="仿宋_GB2312" w:eastAsia="仿宋_GB2312"/>
                    </w:rPr>
                    <w:t>≥4750</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车辆尺寸宽(mm)</w:t>
                  </w:r>
                </w:p>
              </w:tc>
              <w:tc>
                <w:tcPr>
                  <w:tcW w:type="dxa" w:w="851"/>
                </w:tcPr>
                <w:p>
                  <w:pPr>
                    <w:pStyle w:val="null3"/>
                  </w:pPr>
                  <w:r>
                    <w:rPr>
                      <w:rFonts w:ascii="仿宋_GB2312" w:hAnsi="仿宋_GB2312" w:cs="仿宋_GB2312" w:eastAsia="仿宋_GB2312"/>
                    </w:rPr>
                    <w:t>≥1840</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车辆尺寸高(mm)</w:t>
                  </w:r>
                </w:p>
              </w:tc>
              <w:tc>
                <w:tcPr>
                  <w:tcW w:type="dxa" w:w="851"/>
                </w:tcPr>
                <w:p>
                  <w:pPr>
                    <w:pStyle w:val="null3"/>
                  </w:pPr>
                  <w:r>
                    <w:rPr>
                      <w:rFonts w:ascii="仿宋_GB2312" w:hAnsi="仿宋_GB2312" w:cs="仿宋_GB2312" w:eastAsia="仿宋_GB2312"/>
                    </w:rPr>
                    <w:t>≥1480</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轴距（mm）</w:t>
                  </w:r>
                </w:p>
              </w:tc>
              <w:tc>
                <w:tcPr>
                  <w:tcW w:type="dxa" w:w="851"/>
                </w:tcPr>
                <w:p>
                  <w:pPr>
                    <w:pStyle w:val="null3"/>
                  </w:pPr>
                  <w:r>
                    <w:rPr>
                      <w:rFonts w:ascii="仿宋_GB2312" w:hAnsi="仿宋_GB2312" w:cs="仿宋_GB2312" w:eastAsia="仿宋_GB2312"/>
                    </w:rPr>
                    <w:t>≥2790</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车身类型</w:t>
                  </w:r>
                </w:p>
              </w:tc>
              <w:tc>
                <w:tcPr>
                  <w:tcW w:type="dxa" w:w="851"/>
                </w:tcPr>
                <w:p>
                  <w:pPr>
                    <w:pStyle w:val="null3"/>
                  </w:pPr>
                  <w:r>
                    <w:rPr>
                      <w:rFonts w:ascii="仿宋_GB2312" w:hAnsi="仿宋_GB2312" w:cs="仿宋_GB2312" w:eastAsia="仿宋_GB2312"/>
                    </w:rPr>
                    <w:t>4门5座三厢车</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进气形式</w:t>
                  </w:r>
                </w:p>
              </w:tc>
              <w:tc>
                <w:tcPr>
                  <w:tcW w:type="dxa" w:w="851"/>
                </w:tcPr>
                <w:p>
                  <w:pPr>
                    <w:pStyle w:val="null3"/>
                  </w:pPr>
                  <w:r>
                    <w:rPr>
                      <w:rFonts w:ascii="仿宋_GB2312" w:hAnsi="仿宋_GB2312" w:cs="仿宋_GB2312" w:eastAsia="仿宋_GB2312"/>
                    </w:rPr>
                    <w:t>涡轮增压</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燃油种类</w:t>
                  </w:r>
                </w:p>
              </w:tc>
              <w:tc>
                <w:tcPr>
                  <w:tcW w:type="dxa" w:w="851"/>
                </w:tcPr>
                <w:p>
                  <w:pPr>
                    <w:pStyle w:val="null3"/>
                  </w:pPr>
                  <w:r>
                    <w:rPr>
                      <w:rFonts w:ascii="仿宋_GB2312" w:hAnsi="仿宋_GB2312" w:cs="仿宋_GB2312" w:eastAsia="仿宋_GB2312"/>
                    </w:rPr>
                    <w:t>汽油</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排放标准</w:t>
                  </w:r>
                </w:p>
              </w:tc>
              <w:tc>
                <w:tcPr>
                  <w:tcW w:type="dxa" w:w="851"/>
                </w:tcPr>
                <w:p>
                  <w:pPr>
                    <w:pStyle w:val="null3"/>
                  </w:pPr>
                  <w:r>
                    <w:rPr>
                      <w:rFonts w:ascii="仿宋_GB2312" w:hAnsi="仿宋_GB2312" w:cs="仿宋_GB2312" w:eastAsia="仿宋_GB2312"/>
                    </w:rPr>
                    <w:t>国VI</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发动机最大功率（kw）</w:t>
                  </w:r>
                </w:p>
              </w:tc>
              <w:tc>
                <w:tcPr>
                  <w:tcW w:type="dxa" w:w="851"/>
                </w:tcPr>
                <w:p>
                  <w:pPr>
                    <w:pStyle w:val="null3"/>
                  </w:pPr>
                  <w:r>
                    <w:rPr>
                      <w:rFonts w:ascii="仿宋_GB2312" w:hAnsi="仿宋_GB2312" w:cs="仿宋_GB2312" w:eastAsia="仿宋_GB2312"/>
                    </w:rPr>
                    <w:t>≥110</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发动机排量（mL）</w:t>
                  </w:r>
                </w:p>
              </w:tc>
              <w:tc>
                <w:tcPr>
                  <w:tcW w:type="dxa" w:w="851"/>
                </w:tcPr>
                <w:p>
                  <w:pPr>
                    <w:pStyle w:val="null3"/>
                  </w:pPr>
                  <w:r>
                    <w:rPr>
                      <w:rFonts w:ascii="仿宋_GB2312" w:hAnsi="仿宋_GB2312" w:cs="仿宋_GB2312" w:eastAsia="仿宋_GB2312"/>
                    </w:rPr>
                    <w:t>≥1499</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制动类型（前/后）</w:t>
                  </w:r>
                </w:p>
              </w:tc>
              <w:tc>
                <w:tcPr>
                  <w:tcW w:type="dxa" w:w="851"/>
                </w:tcPr>
                <w:p>
                  <w:pPr>
                    <w:pStyle w:val="null3"/>
                  </w:pPr>
                  <w:r>
                    <w:rPr>
                      <w:rFonts w:ascii="仿宋_GB2312" w:hAnsi="仿宋_GB2312" w:cs="仿宋_GB2312" w:eastAsia="仿宋_GB2312"/>
                    </w:rPr>
                    <w:t>通风盘式/盘式</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电动机总功率（kw）</w:t>
                  </w:r>
                </w:p>
              </w:tc>
              <w:tc>
                <w:tcPr>
                  <w:tcW w:type="dxa" w:w="851"/>
                </w:tcPr>
                <w:p>
                  <w:pPr>
                    <w:pStyle w:val="null3"/>
                  </w:pPr>
                  <w:r>
                    <w:rPr>
                      <w:rFonts w:ascii="仿宋_GB2312" w:hAnsi="仿宋_GB2312" w:cs="仿宋_GB2312" w:eastAsia="仿宋_GB2312"/>
                    </w:rPr>
                    <w:t>≥150</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电池类型</w:t>
                  </w:r>
                </w:p>
              </w:tc>
              <w:tc>
                <w:tcPr>
                  <w:tcW w:type="dxa" w:w="851"/>
                </w:tcPr>
                <w:p>
                  <w:pPr>
                    <w:pStyle w:val="null3"/>
                  </w:pPr>
                  <w:r>
                    <w:rPr>
                      <w:rFonts w:ascii="仿宋_GB2312" w:hAnsi="仿宋_GB2312" w:cs="仿宋_GB2312" w:eastAsia="仿宋_GB2312"/>
                    </w:rPr>
                    <w:t>磷酸铁锂电池</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CLTC纯电续航里程（km）</w:t>
                  </w:r>
                </w:p>
              </w:tc>
              <w:tc>
                <w:tcPr>
                  <w:tcW w:type="dxa" w:w="851"/>
                </w:tcPr>
                <w:p>
                  <w:pPr>
                    <w:pStyle w:val="null3"/>
                  </w:pPr>
                  <w:r>
                    <w:rPr>
                      <w:rFonts w:ascii="仿宋_GB2312" w:hAnsi="仿宋_GB2312" w:cs="仿宋_GB2312" w:eastAsia="仿宋_GB2312"/>
                    </w:rPr>
                    <w:t>≥140</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电池能量（kWh）</w:t>
                  </w:r>
                </w:p>
              </w:tc>
              <w:tc>
                <w:tcPr>
                  <w:tcW w:type="dxa" w:w="851"/>
                </w:tcPr>
                <w:p>
                  <w:pPr>
                    <w:pStyle w:val="null3"/>
                  </w:pPr>
                  <w:r>
                    <w:rPr>
                      <w:rFonts w:ascii="仿宋_GB2312" w:hAnsi="仿宋_GB2312" w:cs="仿宋_GB2312" w:eastAsia="仿宋_GB2312"/>
                    </w:rPr>
                    <w:t>≥18</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电池快充时间（小时）</w:t>
                  </w:r>
                </w:p>
              </w:tc>
              <w:tc>
                <w:tcPr>
                  <w:tcW w:type="dxa" w:w="851"/>
                </w:tcPr>
                <w:p>
                  <w:pPr>
                    <w:pStyle w:val="null3"/>
                  </w:pPr>
                  <w:r>
                    <w:rPr>
                      <w:rFonts w:ascii="仿宋_GB2312" w:hAnsi="仿宋_GB2312" w:cs="仿宋_GB2312" w:eastAsia="仿宋_GB2312"/>
                    </w:rPr>
                    <w:t>≤0.5</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配置要求</w:t>
                  </w:r>
                </w:p>
              </w:tc>
              <w:tc>
                <w:tcPr>
                  <w:tcW w:type="dxa" w:w="851"/>
                </w:tcPr>
                <w:p>
                  <w:pPr>
                    <w:pStyle w:val="null3"/>
                  </w:pPr>
                  <w:r>
                    <w:rPr>
                      <w:rFonts w:ascii="仿宋_GB2312" w:hAnsi="仿宋_GB2312" w:cs="仿宋_GB2312" w:eastAsia="仿宋_GB2312"/>
                    </w:rPr>
                    <w:t>带有如下配置：</w:t>
                  </w:r>
                </w:p>
                <w:p>
                  <w:pPr>
                    <w:pStyle w:val="null3"/>
                  </w:pPr>
                  <w:r>
                    <w:rPr>
                      <w:rFonts w:ascii="仿宋_GB2312" w:hAnsi="仿宋_GB2312" w:cs="仿宋_GB2312" w:eastAsia="仿宋_GB2312"/>
                    </w:rPr>
                    <w:t>ABS防抱死系统</w:t>
                  </w:r>
                </w:p>
                <w:p>
                  <w:pPr>
                    <w:pStyle w:val="null3"/>
                  </w:pPr>
                  <w:r>
                    <w:rPr>
                      <w:rFonts w:ascii="仿宋_GB2312" w:hAnsi="仿宋_GB2312" w:cs="仿宋_GB2312" w:eastAsia="仿宋_GB2312"/>
                    </w:rPr>
                    <w:t>制动力分配（EBD/CBC等）</w:t>
                  </w:r>
                </w:p>
                <w:p>
                  <w:pPr>
                    <w:pStyle w:val="null3"/>
                  </w:pPr>
                  <w:r>
                    <w:rPr>
                      <w:rFonts w:ascii="仿宋_GB2312" w:hAnsi="仿宋_GB2312" w:cs="仿宋_GB2312" w:eastAsia="仿宋_GB2312"/>
                    </w:rPr>
                    <w:t>刹车辅助（EBA/BAS/BA等）</w:t>
                  </w:r>
                </w:p>
                <w:p>
                  <w:pPr>
                    <w:pStyle w:val="null3"/>
                  </w:pPr>
                  <w:r>
                    <w:rPr>
                      <w:rFonts w:ascii="仿宋_GB2312" w:hAnsi="仿宋_GB2312" w:cs="仿宋_GB2312" w:eastAsia="仿宋_GB2312"/>
                    </w:rPr>
                    <w:t>牵引力控制（ASR/TCS/TRC等）</w:t>
                  </w:r>
                </w:p>
                <w:p>
                  <w:pPr>
                    <w:pStyle w:val="null3"/>
                  </w:pPr>
                  <w:r>
                    <w:rPr>
                      <w:rFonts w:ascii="仿宋_GB2312" w:hAnsi="仿宋_GB2312" w:cs="仿宋_GB2312" w:eastAsia="仿宋_GB2312"/>
                    </w:rPr>
                    <w:t>车身稳定控制（ESP/DSC/ESC等）</w:t>
                  </w:r>
                </w:p>
                <w:p>
                  <w:pPr>
                    <w:pStyle w:val="null3"/>
                  </w:pPr>
                  <w:r>
                    <w:rPr>
                      <w:rFonts w:ascii="仿宋_GB2312" w:hAnsi="仿宋_GB2312" w:cs="仿宋_GB2312" w:eastAsia="仿宋_GB2312"/>
                    </w:rPr>
                    <w:t>刹车优先系统</w:t>
                  </w:r>
                </w:p>
                <w:p>
                  <w:pPr>
                    <w:pStyle w:val="null3"/>
                  </w:pPr>
                  <w:r>
                    <w:rPr>
                      <w:rFonts w:ascii="仿宋_GB2312" w:hAnsi="仿宋_GB2312" w:cs="仿宋_GB2312" w:eastAsia="仿宋_GB2312"/>
                    </w:rPr>
                    <w:t>上坡辅助系统</w:t>
                  </w:r>
                </w:p>
                <w:p>
                  <w:pPr>
                    <w:pStyle w:val="null3"/>
                  </w:pPr>
                  <w:r>
                    <w:rPr>
                      <w:rFonts w:ascii="仿宋_GB2312" w:hAnsi="仿宋_GB2312" w:cs="仿宋_GB2312" w:eastAsia="仿宋_GB2312"/>
                    </w:rPr>
                    <w:t>主驾安全带未系报警</w:t>
                  </w:r>
                </w:p>
                <w:p>
                  <w:pPr>
                    <w:pStyle w:val="null3"/>
                  </w:pPr>
                  <w:r>
                    <w:rPr>
                      <w:rFonts w:ascii="仿宋_GB2312" w:hAnsi="仿宋_GB2312" w:cs="仿宋_GB2312" w:eastAsia="仿宋_GB2312"/>
                    </w:rPr>
                    <w:t>前排预警式安全带</w:t>
                  </w:r>
                </w:p>
                <w:p>
                  <w:pPr>
                    <w:pStyle w:val="null3"/>
                  </w:pPr>
                  <w:r>
                    <w:rPr>
                      <w:rFonts w:ascii="仿宋_GB2312" w:hAnsi="仿宋_GB2312" w:cs="仿宋_GB2312" w:eastAsia="仿宋_GB2312"/>
                    </w:rPr>
                    <w:t>前排双气囊</w:t>
                  </w:r>
                </w:p>
                <w:p>
                  <w:pPr>
                    <w:pStyle w:val="null3"/>
                  </w:pPr>
                  <w:r>
                    <w:rPr>
                      <w:rFonts w:ascii="仿宋_GB2312" w:hAnsi="仿宋_GB2312" w:cs="仿宋_GB2312" w:eastAsia="仿宋_GB2312"/>
                    </w:rPr>
                    <w:t>前排侧气囊</w:t>
                  </w:r>
                </w:p>
                <w:p>
                  <w:pPr>
                    <w:pStyle w:val="null3"/>
                  </w:pPr>
                  <w:r>
                    <w:rPr>
                      <w:rFonts w:ascii="仿宋_GB2312" w:hAnsi="仿宋_GB2312" w:cs="仿宋_GB2312" w:eastAsia="仿宋_GB2312"/>
                    </w:rPr>
                    <w:t>胎压监测装置</w:t>
                  </w:r>
                </w:p>
                <w:p>
                  <w:pPr>
                    <w:pStyle w:val="null3"/>
                  </w:pPr>
                  <w:r>
                    <w:rPr>
                      <w:rFonts w:ascii="仿宋_GB2312" w:hAnsi="仿宋_GB2312" w:cs="仿宋_GB2312" w:eastAsia="仿宋_GB2312"/>
                    </w:rPr>
                    <w:t>车内中控锁</w:t>
                  </w:r>
                </w:p>
                <w:p>
                  <w:pPr>
                    <w:pStyle w:val="null3"/>
                  </w:pPr>
                  <w:r>
                    <w:rPr>
                      <w:rFonts w:ascii="仿宋_GB2312" w:hAnsi="仿宋_GB2312" w:cs="仿宋_GB2312" w:eastAsia="仿宋_GB2312"/>
                    </w:rPr>
                    <w:t>行车自动落锁</w:t>
                  </w:r>
                </w:p>
                <w:p>
                  <w:pPr>
                    <w:pStyle w:val="null3"/>
                  </w:pPr>
                  <w:r>
                    <w:rPr>
                      <w:rFonts w:ascii="仿宋_GB2312" w:hAnsi="仿宋_GB2312" w:cs="仿宋_GB2312" w:eastAsia="仿宋_GB2312"/>
                    </w:rPr>
                    <w:t>四门车窗一键升</w:t>
                  </w:r>
                </w:p>
                <w:p>
                  <w:pPr>
                    <w:pStyle w:val="null3"/>
                  </w:pPr>
                  <w:r>
                    <w:rPr>
                      <w:rFonts w:ascii="仿宋_GB2312" w:hAnsi="仿宋_GB2312" w:cs="仿宋_GB2312" w:eastAsia="仿宋_GB2312"/>
                    </w:rPr>
                    <w:t>定速巡航系统</w:t>
                  </w:r>
                </w:p>
                <w:p>
                  <w:pPr>
                    <w:pStyle w:val="null3"/>
                  </w:pPr>
                  <w:r>
                    <w:rPr>
                      <w:rFonts w:ascii="仿宋_GB2312" w:hAnsi="仿宋_GB2312" w:cs="仿宋_GB2312" w:eastAsia="仿宋_GB2312"/>
                    </w:rPr>
                    <w:t>倒车雷达</w:t>
                  </w:r>
                </w:p>
                <w:p>
                  <w:pPr>
                    <w:pStyle w:val="null3"/>
                  </w:pPr>
                  <w:r>
                    <w:rPr>
                      <w:rFonts w:ascii="仿宋_GB2312" w:hAnsi="仿宋_GB2312" w:cs="仿宋_GB2312" w:eastAsia="仿宋_GB2312"/>
                    </w:rPr>
                    <w:t>LED大灯</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技术要求：</w:t>
            </w:r>
          </w:p>
          <w:p>
            <w:pPr>
              <w:pStyle w:val="null3"/>
            </w:pPr>
            <w:r>
              <w:rPr>
                <w:rFonts w:ascii="仿宋_GB2312" w:hAnsi="仿宋_GB2312" w:cs="仿宋_GB2312" w:eastAsia="仿宋_GB2312"/>
              </w:rPr>
              <w:t>符合国家、行业相关法律法规、工信部公告数据及满足采购人正常使用需求。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服务要求：</w:t>
            </w:r>
          </w:p>
          <w:p>
            <w:pPr>
              <w:pStyle w:val="null3"/>
            </w:pPr>
            <w:r>
              <w:rPr>
                <w:rFonts w:ascii="仿宋_GB2312" w:hAnsi="仿宋_GB2312" w:cs="仿宋_GB2312" w:eastAsia="仿宋_GB2312"/>
              </w:rPr>
              <w:t>1）每年至少1-2次检查、维护、检修保养。</w:t>
            </w:r>
          </w:p>
          <w:p>
            <w:pPr>
              <w:pStyle w:val="null3"/>
            </w:pPr>
            <w:r>
              <w:rPr>
                <w:rFonts w:ascii="仿宋_GB2312" w:hAnsi="仿宋_GB2312" w:cs="仿宋_GB2312" w:eastAsia="仿宋_GB2312"/>
              </w:rPr>
              <w:t>2）对于存在质量问题或者短少的产品，应在接到采购人的通知2个日历日内负责修复，调换、重新制作或补齐。</w:t>
            </w:r>
          </w:p>
          <w:p>
            <w:pPr>
              <w:pStyle w:val="null3"/>
            </w:pPr>
            <w:r>
              <w:rPr>
                <w:rFonts w:ascii="仿宋_GB2312" w:hAnsi="仿宋_GB2312" w:cs="仿宋_GB2312" w:eastAsia="仿宋_GB2312"/>
              </w:rPr>
              <w:t>3）设备质量出现问题，如属于三包产品供应商应负责三包（包修、包换、包退），费用由供应商承担。</w:t>
            </w:r>
          </w:p>
          <w:p>
            <w:pPr>
              <w:pStyle w:val="null3"/>
            </w:pPr>
            <w:r>
              <w:rPr>
                <w:rFonts w:ascii="仿宋_GB2312" w:hAnsi="仿宋_GB2312" w:cs="仿宋_GB2312" w:eastAsia="仿宋_GB2312"/>
              </w:rPr>
              <w:t>4）质保期内免收维修费用，终身维护保养并保证配件供应。在产品最终验收后的质量保证期内，供应商应对由于设计、工艺或材料的缺陷而产生的故障负责（负责解决并承担全部费用）。质保期满后如出现此类问题亦应负责。</w:t>
            </w:r>
          </w:p>
          <w:p>
            <w:pPr>
              <w:pStyle w:val="null3"/>
            </w:pPr>
            <w:r>
              <w:rPr>
                <w:rFonts w:ascii="仿宋_GB2312" w:hAnsi="仿宋_GB2312" w:cs="仿宋_GB2312" w:eastAsia="仿宋_GB2312"/>
              </w:rPr>
              <w:t>服务效率：</w:t>
            </w:r>
          </w:p>
          <w:p>
            <w:pPr>
              <w:pStyle w:val="null3"/>
            </w:pPr>
            <w:r>
              <w:rPr>
                <w:rFonts w:ascii="仿宋_GB2312" w:hAnsi="仿宋_GB2312" w:cs="仿宋_GB2312" w:eastAsia="仿宋_GB2312"/>
              </w:rPr>
              <w:t>接到采购人故障通知后，专业维护工程师在30分钟内应给予以电话回应；在质量保证期内发生重大故障，专业维护工程师抵达现场时间≤8小时，24小时内无法恢复的故障应提供免费备车服务。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1.交货期：自合同签订之日起30个工作日内完成项目全部内容，并交付采购人验收合格。</w:t>
            </w:r>
          </w:p>
          <w:p>
            <w:pPr>
              <w:pStyle w:val="null3"/>
            </w:pPr>
            <w:r>
              <w:rPr>
                <w:rFonts w:ascii="仿宋_GB2312" w:hAnsi="仿宋_GB2312" w:cs="仿宋_GB2312" w:eastAsia="仿宋_GB2312"/>
              </w:rPr>
              <w:t>2.质保期：自验收合格之日起3年或15万公里。</w:t>
            </w:r>
          </w:p>
          <w:p>
            <w:pPr>
              <w:pStyle w:val="null3"/>
            </w:pPr>
            <w:r>
              <w:rPr>
                <w:rFonts w:ascii="仿宋_GB2312" w:hAnsi="仿宋_GB2312" w:cs="仿宋_GB2312" w:eastAsia="仿宋_GB2312"/>
              </w:rPr>
              <w:t>3.交货地点：采购人指定地点；</w:t>
            </w:r>
          </w:p>
          <w:p>
            <w:pPr>
              <w:pStyle w:val="null3"/>
            </w:pPr>
            <w:r>
              <w:rPr>
                <w:rFonts w:ascii="仿宋_GB2312" w:hAnsi="仿宋_GB2312" w:cs="仿宋_GB2312" w:eastAsia="仿宋_GB2312"/>
              </w:rPr>
              <w:t>4.付款方式：车辆交付后支付合同总价款的100%。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标的名称：特种专业技术用车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特种专业技术用车：6辆</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项 目</w:t>
                  </w:r>
                </w:p>
              </w:tc>
              <w:tc>
                <w:tcPr>
                  <w:tcW w:type="dxa" w:w="851"/>
                </w:tcPr>
                <w:p>
                  <w:pPr>
                    <w:pStyle w:val="null3"/>
                  </w:pPr>
                  <w:r>
                    <w:rPr>
                      <w:rFonts w:ascii="仿宋_GB2312" w:hAnsi="仿宋_GB2312" w:cs="仿宋_GB2312" w:eastAsia="仿宋_GB2312"/>
                    </w:rPr>
                    <w:t>参数配置要求</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颜色</w:t>
                  </w:r>
                </w:p>
              </w:tc>
              <w:tc>
                <w:tcPr>
                  <w:tcW w:type="dxa" w:w="851"/>
                </w:tcPr>
                <w:p>
                  <w:pPr>
                    <w:pStyle w:val="null3"/>
                  </w:pPr>
                  <w:r>
                    <w:rPr>
                      <w:rFonts w:ascii="仿宋_GB2312" w:hAnsi="仿宋_GB2312" w:cs="仿宋_GB2312" w:eastAsia="仿宋_GB2312"/>
                    </w:rPr>
                    <w:t>白色</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外观尺寸(长)mm</w:t>
                  </w:r>
                </w:p>
              </w:tc>
              <w:tc>
                <w:tcPr>
                  <w:tcW w:type="dxa" w:w="851"/>
                </w:tcPr>
                <w:p>
                  <w:pPr>
                    <w:pStyle w:val="null3"/>
                  </w:pPr>
                  <w:r>
                    <w:rPr>
                      <w:rFonts w:ascii="仿宋_GB2312" w:hAnsi="仿宋_GB2312" w:cs="仿宋_GB2312" w:eastAsia="仿宋_GB2312"/>
                    </w:rPr>
                    <w:t>5300-5400</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外观尺寸(宽)mm</w:t>
                  </w:r>
                </w:p>
              </w:tc>
              <w:tc>
                <w:tcPr>
                  <w:tcW w:type="dxa" w:w="851"/>
                </w:tcPr>
                <w:p>
                  <w:pPr>
                    <w:pStyle w:val="null3"/>
                  </w:pPr>
                  <w:r>
                    <w:rPr>
                      <w:rFonts w:ascii="仿宋_GB2312" w:hAnsi="仿宋_GB2312" w:cs="仿宋_GB2312" w:eastAsia="仿宋_GB2312"/>
                    </w:rPr>
                    <w:t>2000-2100</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外观尺寸(高)mm</w:t>
                  </w:r>
                </w:p>
              </w:tc>
              <w:tc>
                <w:tcPr>
                  <w:tcW w:type="dxa" w:w="851"/>
                </w:tcPr>
                <w:p>
                  <w:pPr>
                    <w:pStyle w:val="null3"/>
                  </w:pPr>
                  <w:r>
                    <w:rPr>
                      <w:rFonts w:ascii="仿宋_GB2312" w:hAnsi="仿宋_GB2312" w:cs="仿宋_GB2312" w:eastAsia="仿宋_GB2312"/>
                    </w:rPr>
                    <w:t>2400-2500</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整车整备质量(kg)</w:t>
                  </w:r>
                </w:p>
              </w:tc>
              <w:tc>
                <w:tcPr>
                  <w:tcW w:type="dxa" w:w="851"/>
                </w:tcPr>
                <w:p>
                  <w:pPr>
                    <w:pStyle w:val="null3"/>
                  </w:pPr>
                  <w:r>
                    <w:rPr>
                      <w:rFonts w:ascii="仿宋_GB2312" w:hAnsi="仿宋_GB2312" w:cs="仿宋_GB2312" w:eastAsia="仿宋_GB2312"/>
                    </w:rPr>
                    <w:t>≥2600</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整车最大总质量(kg)</w:t>
                  </w:r>
                </w:p>
              </w:tc>
              <w:tc>
                <w:tcPr>
                  <w:tcW w:type="dxa" w:w="851"/>
                </w:tcPr>
                <w:p>
                  <w:pPr>
                    <w:pStyle w:val="null3"/>
                  </w:pPr>
                  <w:r>
                    <w:rPr>
                      <w:rFonts w:ascii="仿宋_GB2312" w:hAnsi="仿宋_GB2312" w:cs="仿宋_GB2312" w:eastAsia="仿宋_GB2312"/>
                    </w:rPr>
                    <w:t>≥3400</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轴距(mm)</w:t>
                  </w:r>
                </w:p>
              </w:tc>
              <w:tc>
                <w:tcPr>
                  <w:tcW w:type="dxa" w:w="851"/>
                </w:tcPr>
                <w:p>
                  <w:pPr>
                    <w:pStyle w:val="null3"/>
                  </w:pPr>
                  <w:r>
                    <w:rPr>
                      <w:rFonts w:ascii="仿宋_GB2312" w:hAnsi="仿宋_GB2312" w:cs="仿宋_GB2312" w:eastAsia="仿宋_GB2312"/>
                    </w:rPr>
                    <w:t>≥3300</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最高时速</w:t>
                  </w:r>
                </w:p>
              </w:tc>
              <w:tc>
                <w:tcPr>
                  <w:tcW w:type="dxa" w:w="851"/>
                </w:tcPr>
                <w:p>
                  <w:pPr>
                    <w:pStyle w:val="null3"/>
                  </w:pPr>
                  <w:r>
                    <w:rPr>
                      <w:rFonts w:ascii="仿宋_GB2312" w:hAnsi="仿宋_GB2312" w:cs="仿宋_GB2312" w:eastAsia="仿宋_GB2312"/>
                    </w:rPr>
                    <w:t>≥120</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制动系统</w:t>
                  </w:r>
                </w:p>
              </w:tc>
              <w:tc>
                <w:tcPr>
                  <w:tcW w:type="dxa" w:w="851"/>
                </w:tcPr>
                <w:p>
                  <w:pPr>
                    <w:pStyle w:val="null3"/>
                  </w:pPr>
                  <w:r>
                    <w:rPr>
                      <w:rFonts w:ascii="仿宋_GB2312" w:hAnsi="仿宋_GB2312" w:cs="仿宋_GB2312" w:eastAsia="仿宋_GB2312"/>
                    </w:rPr>
                    <w:t>四轮盘式</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空调系统</w:t>
                  </w:r>
                </w:p>
              </w:tc>
              <w:tc>
                <w:tcPr>
                  <w:tcW w:type="dxa" w:w="851"/>
                </w:tcPr>
                <w:p>
                  <w:pPr>
                    <w:pStyle w:val="null3"/>
                  </w:pPr>
                  <w:r>
                    <w:rPr>
                      <w:rFonts w:ascii="仿宋_GB2312" w:hAnsi="仿宋_GB2312" w:cs="仿宋_GB2312" w:eastAsia="仿宋_GB2312"/>
                    </w:rPr>
                    <w:t>自动空调</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能源类型</w:t>
                  </w:r>
                </w:p>
              </w:tc>
              <w:tc>
                <w:tcPr>
                  <w:tcW w:type="dxa" w:w="851"/>
                </w:tcPr>
                <w:p>
                  <w:pPr>
                    <w:pStyle w:val="null3"/>
                  </w:pPr>
                  <w:r>
                    <w:rPr>
                      <w:rFonts w:ascii="仿宋_GB2312" w:hAnsi="仿宋_GB2312" w:cs="仿宋_GB2312" w:eastAsia="仿宋_GB2312"/>
                    </w:rPr>
                    <w:t>纯电动</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轮距前/后(mm)</w:t>
                  </w:r>
                </w:p>
              </w:tc>
              <w:tc>
                <w:tcPr>
                  <w:tcW w:type="dxa" w:w="851"/>
                </w:tcPr>
                <w:p>
                  <w:pPr>
                    <w:pStyle w:val="null3"/>
                  </w:pPr>
                  <w:r>
                    <w:rPr>
                      <w:rFonts w:ascii="仿宋_GB2312" w:hAnsi="仿宋_GB2312" w:cs="仿宋_GB2312" w:eastAsia="仿宋_GB2312"/>
                    </w:rPr>
                    <w:t>≥1700/1700</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轮胎数量</w:t>
                  </w:r>
                </w:p>
              </w:tc>
              <w:tc>
                <w:tcPr>
                  <w:tcW w:type="dxa" w:w="851"/>
                </w:tcPr>
                <w:p>
                  <w:pPr>
                    <w:pStyle w:val="null3"/>
                  </w:pPr>
                  <w:r>
                    <w:rPr>
                      <w:rFonts w:ascii="仿宋_GB2312" w:hAnsi="仿宋_GB2312" w:cs="仿宋_GB2312" w:eastAsia="仿宋_GB2312"/>
                    </w:rPr>
                    <w:t>4</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轮胎规格</w:t>
                  </w:r>
                </w:p>
              </w:tc>
              <w:tc>
                <w:tcPr>
                  <w:tcW w:type="dxa" w:w="851"/>
                </w:tcPr>
                <w:p>
                  <w:pPr>
                    <w:pStyle w:val="null3"/>
                  </w:pPr>
                  <w:r>
                    <w:rPr>
                      <w:rFonts w:ascii="仿宋_GB2312" w:hAnsi="仿宋_GB2312" w:cs="仿宋_GB2312" w:eastAsia="仿宋_GB2312"/>
                    </w:rPr>
                    <w:t>215/75R16</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电池类型</w:t>
                  </w:r>
                </w:p>
              </w:tc>
              <w:tc>
                <w:tcPr>
                  <w:tcW w:type="dxa" w:w="851"/>
                </w:tcPr>
                <w:p>
                  <w:pPr>
                    <w:pStyle w:val="null3"/>
                  </w:pPr>
                  <w:r>
                    <w:rPr>
                      <w:rFonts w:ascii="仿宋_GB2312" w:hAnsi="仿宋_GB2312" w:cs="仿宋_GB2312" w:eastAsia="仿宋_GB2312"/>
                    </w:rPr>
                    <w:t>磷酸铁锂</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电池容量(kwh)</w:t>
                  </w:r>
                </w:p>
              </w:tc>
              <w:tc>
                <w:tcPr>
                  <w:tcW w:type="dxa" w:w="851"/>
                </w:tcPr>
                <w:p>
                  <w:pPr>
                    <w:pStyle w:val="null3"/>
                  </w:pPr>
                  <w:r>
                    <w:rPr>
                      <w:rFonts w:ascii="仿宋_GB2312" w:hAnsi="仿宋_GB2312" w:cs="仿宋_GB2312" w:eastAsia="仿宋_GB2312"/>
                    </w:rPr>
                    <w:t>≥80</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电机最大功率(kW)</w:t>
                  </w:r>
                </w:p>
              </w:tc>
              <w:tc>
                <w:tcPr>
                  <w:tcW w:type="dxa" w:w="851"/>
                </w:tcPr>
                <w:p>
                  <w:pPr>
                    <w:pStyle w:val="null3"/>
                  </w:pPr>
                  <w:r>
                    <w:rPr>
                      <w:rFonts w:ascii="仿宋_GB2312" w:hAnsi="仿宋_GB2312" w:cs="仿宋_GB2312" w:eastAsia="仿宋_GB2312"/>
                    </w:rPr>
                    <w:t>≥150</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电机最大扭矩(N.m)</w:t>
                  </w:r>
                </w:p>
              </w:tc>
              <w:tc>
                <w:tcPr>
                  <w:tcW w:type="dxa" w:w="851"/>
                </w:tcPr>
                <w:p>
                  <w:pPr>
                    <w:pStyle w:val="null3"/>
                  </w:pPr>
                  <w:r>
                    <w:rPr>
                      <w:rFonts w:ascii="仿宋_GB2312" w:hAnsi="仿宋_GB2312" w:cs="仿宋_GB2312" w:eastAsia="仿宋_GB2312"/>
                    </w:rPr>
                    <w:t>≥500</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CLTC纯电续驶里程(km)</w:t>
                  </w:r>
                </w:p>
              </w:tc>
              <w:tc>
                <w:tcPr>
                  <w:tcW w:type="dxa" w:w="851"/>
                </w:tcPr>
                <w:p>
                  <w:pPr>
                    <w:pStyle w:val="null3"/>
                  </w:pPr>
                  <w:r>
                    <w:rPr>
                      <w:rFonts w:ascii="仿宋_GB2312" w:hAnsi="仿宋_GB2312" w:cs="仿宋_GB2312" w:eastAsia="仿宋_GB2312"/>
                    </w:rPr>
                    <w:t>≥410</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整车质保</w:t>
                  </w:r>
                </w:p>
              </w:tc>
              <w:tc>
                <w:tcPr>
                  <w:tcW w:type="dxa" w:w="851"/>
                </w:tcPr>
                <w:p>
                  <w:pPr>
                    <w:pStyle w:val="null3"/>
                  </w:pPr>
                  <w:r>
                    <w:rPr>
                      <w:rFonts w:ascii="仿宋_GB2312" w:hAnsi="仿宋_GB2312" w:cs="仿宋_GB2312" w:eastAsia="仿宋_GB2312"/>
                    </w:rPr>
                    <w:t>不低于3年或15万公里</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三电系统质保</w:t>
                  </w:r>
                </w:p>
              </w:tc>
              <w:tc>
                <w:tcPr>
                  <w:tcW w:type="dxa" w:w="851"/>
                </w:tcPr>
                <w:p>
                  <w:pPr>
                    <w:pStyle w:val="null3"/>
                  </w:pPr>
                  <w:r>
                    <w:rPr>
                      <w:rFonts w:ascii="仿宋_GB2312" w:hAnsi="仿宋_GB2312" w:cs="仿宋_GB2312" w:eastAsia="仿宋_GB2312"/>
                    </w:rPr>
                    <w:t>不低于6年40万公里</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车辆配置要求</w:t>
                  </w:r>
                </w:p>
              </w:tc>
              <w:tc>
                <w:tcPr>
                  <w:tcW w:type="dxa" w:w="851"/>
                </w:tcPr>
                <w:p>
                  <w:pPr>
                    <w:pStyle w:val="null3"/>
                  </w:pPr>
                  <w:r>
                    <w:rPr>
                      <w:rFonts w:ascii="仿宋_GB2312" w:hAnsi="仿宋_GB2312" w:cs="仿宋_GB2312" w:eastAsia="仿宋_GB2312"/>
                    </w:rPr>
                    <w:t>无钥匙启动，电子手刹，导航，倒车</w:t>
                  </w:r>
                  <w:r>
                    <w:br/>
                  </w:r>
                  <w:r>
                    <w:rPr>
                      <w:rFonts w:ascii="仿宋_GB2312" w:hAnsi="仿宋_GB2312" w:cs="仿宋_GB2312" w:eastAsia="仿宋_GB2312"/>
                    </w:rPr>
                    <w:t xml:space="preserve"> 影像，行车记录仪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技术要求：</w:t>
            </w:r>
          </w:p>
          <w:p>
            <w:pPr>
              <w:pStyle w:val="null3"/>
            </w:pPr>
            <w:r>
              <w:rPr>
                <w:rFonts w:ascii="仿宋_GB2312" w:hAnsi="仿宋_GB2312" w:cs="仿宋_GB2312" w:eastAsia="仿宋_GB2312"/>
              </w:rPr>
              <w:t>符合国家、行业相关法律法规、工信部公告数据及满足采购人正常使用需求。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服务要求：</w:t>
            </w:r>
          </w:p>
          <w:p>
            <w:pPr>
              <w:pStyle w:val="null3"/>
            </w:pPr>
            <w:r>
              <w:rPr>
                <w:rFonts w:ascii="仿宋_GB2312" w:hAnsi="仿宋_GB2312" w:cs="仿宋_GB2312" w:eastAsia="仿宋_GB2312"/>
              </w:rPr>
              <w:t>1）每年至少1-2次检查、维护、检修保养。</w:t>
            </w:r>
          </w:p>
          <w:p>
            <w:pPr>
              <w:pStyle w:val="null3"/>
            </w:pPr>
            <w:r>
              <w:rPr>
                <w:rFonts w:ascii="仿宋_GB2312" w:hAnsi="仿宋_GB2312" w:cs="仿宋_GB2312" w:eastAsia="仿宋_GB2312"/>
              </w:rPr>
              <w:t>2）对于存在质量问题或者短少的产品，应在接到采购人的通知2个日历日内负责修复，调换、重新制作或补齐。</w:t>
            </w:r>
          </w:p>
          <w:p>
            <w:pPr>
              <w:pStyle w:val="null3"/>
            </w:pPr>
            <w:r>
              <w:rPr>
                <w:rFonts w:ascii="仿宋_GB2312" w:hAnsi="仿宋_GB2312" w:cs="仿宋_GB2312" w:eastAsia="仿宋_GB2312"/>
              </w:rPr>
              <w:t>3）设备质量出现问题，如属于三包产品供应商应负责三包（包修、包换、包退），费用由供应商承担。</w:t>
            </w:r>
          </w:p>
          <w:p>
            <w:pPr>
              <w:pStyle w:val="null3"/>
            </w:pPr>
            <w:r>
              <w:rPr>
                <w:rFonts w:ascii="仿宋_GB2312" w:hAnsi="仿宋_GB2312" w:cs="仿宋_GB2312" w:eastAsia="仿宋_GB2312"/>
              </w:rPr>
              <w:t>4）质保期内免收维修费用，终身维护保养并保证配件供应。在产品最终验收后的质量保证期内，供应商应对由于设计、工艺或材料的缺陷而产生的故障负责（负责解决并承担全部费用）。质保期满后如出现此类问题亦应负责。</w:t>
            </w:r>
          </w:p>
          <w:p>
            <w:pPr>
              <w:pStyle w:val="null3"/>
            </w:pPr>
            <w:r>
              <w:rPr>
                <w:rFonts w:ascii="仿宋_GB2312" w:hAnsi="仿宋_GB2312" w:cs="仿宋_GB2312" w:eastAsia="仿宋_GB2312"/>
              </w:rPr>
              <w:t>服务效率：</w:t>
            </w:r>
          </w:p>
          <w:p>
            <w:pPr>
              <w:pStyle w:val="null3"/>
            </w:pPr>
            <w:r>
              <w:rPr>
                <w:rFonts w:ascii="仿宋_GB2312" w:hAnsi="仿宋_GB2312" w:cs="仿宋_GB2312" w:eastAsia="仿宋_GB2312"/>
              </w:rPr>
              <w:t>接到采购人故障通知后，专业维护工程师在30分钟内应给予以电话回应；在质量保证期内发生重大故障，专业维护工程师抵达现场时间≤8小时，24小时内无法恢复的故障应提供免费备车服务。</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1.交货期：自合同签订之日起30个工作日内完成项目全部内容，并交付采购人验收合格。</w:t>
            </w:r>
          </w:p>
          <w:p>
            <w:pPr>
              <w:pStyle w:val="null3"/>
            </w:pPr>
            <w:r>
              <w:rPr>
                <w:rFonts w:ascii="仿宋_GB2312" w:hAnsi="仿宋_GB2312" w:cs="仿宋_GB2312" w:eastAsia="仿宋_GB2312"/>
              </w:rPr>
              <w:t>2.质保期：自验收合格之日起3年或15万公里。</w:t>
            </w:r>
          </w:p>
          <w:p>
            <w:pPr>
              <w:pStyle w:val="null3"/>
            </w:pPr>
            <w:r>
              <w:rPr>
                <w:rFonts w:ascii="仿宋_GB2312" w:hAnsi="仿宋_GB2312" w:cs="仿宋_GB2312" w:eastAsia="仿宋_GB2312"/>
              </w:rPr>
              <w:t>3.交货地点：采购人指定地点；</w:t>
            </w:r>
          </w:p>
          <w:p>
            <w:pPr>
              <w:pStyle w:val="null3"/>
            </w:pPr>
            <w:r>
              <w:rPr>
                <w:rFonts w:ascii="仿宋_GB2312" w:hAnsi="仿宋_GB2312" w:cs="仿宋_GB2312" w:eastAsia="仿宋_GB2312"/>
              </w:rPr>
              <w:t>4.付款方式：车辆交付后支付合同总价款的100%。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自合同签订之日起30个工作日内完成项目全部内容，并交付采购人验收合格。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自合同签订之日起30个工作日内完成项目全部内容，并交付采购人验收合格。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车辆交付后支付合同总价款的100%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车辆交付后支付合同总价款的100%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车辆到货后，项目使用方及厂家共同验收。在检查设备原产地、型号、规格、 配置符合合同要求后，由乙方负责调试、甲方负责技术验收（乙方协助），验收以国内行业标准或合同文本软件设备供货配置清单中描述的有关技术要求为准。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车辆到货后，项目使用方及厂家共同验收。在检查设备原产地、型号、规格、 配置符合合同要求后，由乙方负责调试、甲方负责技术验收（乙方协助），验收以国内行业标准或合同文本软件设备供货配置清单中描述的有关技术要求为准。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自验收合格之日起3年或15万公里。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自验收合格之日起3年或15万公里。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1.本项目非专门面向中小企业，符合招标文件规定的小微企业、监狱企业、残疾人福利企业优惠条件的供应商，价格给予10%的扣除，用扣除后的投标报价参与评审； 2.本项目属性为货物。 3.本项目合同包1，合同包2采购标的所属行业为：工业； 4.本项目是否属于信用担保试点范围：否。 5.本项目为固定总价合同。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2.提供2025年3月至今已缴纳的至少一个月的纳税证明或完税证明（任意税种），依法免税的单位应提供相关证明材料； 3.社会保障资金缴纳证明：提供2025年3月至今已缴存的至少一个月的社会保障资金缴存单据或社保机构开具的社会保险参保缴费情况证明，依法不需要缴纳社会保障资金的单位应提供相关证明材料；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2.提供2025年3月至今已缴纳的至少一个月的纳税证明或完税证明（任意税种），依法免税的单位应提供相关证明材料； 3.社会保障资金缴纳证明：提供2025年3月至今已缴存的至少一个月的社会保障资金缴存单据或社保机构开具的社会保险参保缴费情况证明，依法不需要缴纳社会保障资金的单位应提供相关证明材料；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财务状况审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投标车辆的规格型号、技术指标、配置等描述完整、详细。设备的彩页（如有）、相应的功能证明材料（包括但不限于测试报告、官网和功能截图等）等进行赋分。 投标车辆的参数等完全满足或优于采购要求、证明文件齐全完整、详尽得7-10分； 投标车辆参数、证明文件基本满足，得4-7分（含7分）； 投标车辆参数不够完善，证明文件不全得0-4分（含4分）。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车辆的质量保障措施，确保生产供应的设备无假货、水货、翻新货且无产权纠纷，并符合国际、国内相关标准或行业标准，提供来源渠道合法的证明文件（包括但不限于销售协议、代理协议、原厂授权等），根据响应程度进行赋分。 投标车辆质量措施完整、详尽，证明文件齐全，得7-10分； 投标设备质量措施、证明文件基本完善，得4-7分（含7分）； 投标车辆质量措施不够完善、证明文件不全，得0-4分（含4分）。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供应商提供的关键零部件及备品备件等配备情况充足、供应渠道充分、总体响应性高，可行性及针对性强得6-8分； 备品备件较充足，总体响应较强，具有一定可行性得3-6分（含6分）； 备品备件配备较少，响应较差，可行性低得0-3分（含3分）。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总体实施方案完备、合理、切实可行，得6-8分； 总体实施方案较完备、合理、基本可行，得3-6分（含6分）； 总体实施方案较差或未提供，得0-3分（含3分）。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根据供应商针对合同执行过程中突发问题的应急处理措施及方案进行评审： 处理方案详细可行，针对性强得6-8分； 处理方案相对完整，具有一定的针对性得3-6分（含6分）； 处理方案逻辑混乱，可行性及针对性较差得0-3分（含3分）。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合理化建议：有利于本项目工作顺利进行的合理化建议详细合理，可行性及针对性强得6-8分； 合理化建议较简洁，针对性较差得3-6分（含6分）； 合理化建议含糊无实质性内容得0-3分（含3分）。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供应商2022年01月01日至今同类项目业绩，每提供1份得2分，最高得4分；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-6分； 售后服务措施和承诺基本合理，得0-3分（含3分）；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需求提供技术培训方案，包括但不限于车辆设备的基本结构、主要部件的构造，日常使用操作、保养与管理、常见故障的排除、紧急情况的处理等，保证最终用户能够熟练操作和日常维护、保养及简单故障的排除，方案完全满足要求且执行性强得3-6分； 方案部分满足要求且执行性一般得0-3分（含3分）。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投标车辆的规格型号、技术指标、配置等描述完整、详细。设备的彩页（如有）、相应的功能证明材料（包括但不限于测试报告、官网和功能截图等）等进行赋分。 投标车辆的参数等完全满足或优于采购要求、证明文件齐全完整、详尽得7-10分； 投标车辆参数、证明文件基本满足，得4-7分（含7分）； 投标车辆参数不够完善，证明文件不全得0-4分（含4分）。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车辆的质量保障措施，确保生产供应的设备无假货、水货、翻新货且无产权纠纷，并符合国际、国内相关标准或行业标准，提供来源渠道合法的证明文件（包括但不限于销售协议、代理协议、原厂授权等），根据响应程度进行赋分。 投标车辆质量措施完整、详尽，证明文件齐全，得7-10分； 投标车辆质量措施、证明文件基本完善，得4-7分（含7分）； 投标车辆质量措施不够完善、证明文件不全，得0-4分（含4分）。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供应商提供的关键零部件及备品备件等配备情况充足、供应渠道充分、总体响应性高，可行性及针对性强得6-8分； 备品备件较充足，总体响应较强，具有一定可行性得3-6分（含6分）； 备品备件配备较少，响应较差，可行性低得0-3分（含3分）。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总体实施方案完备、合理、切实可行，得6-8分； 总体实施方案较完备、合理、基本可行，得3-6分（含6分）； 总体实施方案较差或未提供，得0-3分（含3分）。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根据供应商针对合同执行过程中突发问题的应急处理措施及方案进行评审： 处理方案详细可行，针对性强得6-8分； 处理方案相对完整，具有一定的针对性得3-6分（含6分）； 处理方案逻辑混乱，可行性及针对性较差得0-3分（含3分）。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合理化建议：有利于本项目工作顺利进行的合理化建议详细合理，可行性及针对性强得6-8分； 合理化建议较简洁，针对性较差得3-6分（含6分）； 合理化建议含糊无实质性内容得0-3分（含3分）。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供应商2022年01月01日至今同类项目业绩，每提供1份得2分，最高得4分；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-6分； 售后服务措施和承诺基本合理，得0-3分（含3分）；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需求提供技术培训方案，包括但不限于车辆设备的基本结构、主要部件的构造，日常使用操作、保养与管理、常见故障的排除、紧急情况的处理等，保证最终用户能够熟练操作和日常维护、保养及简单故障的排除，方案完全满足要求且执行性强得3-6分； 方案部分满足要求且执行性一般得0-3分（含3分）。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投标产品为节能、环境标志产品，每提供一项加1分，满分2分。（须提供证明符合招标文件要求的证明材料。）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详见附件：西安市莲湖区机关事务服务中心车辆采购项目采购合同.docx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