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bidi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商务条款偏离表</w:t>
      </w:r>
    </w:p>
    <w:p w14:paraId="54A65306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  <w:lang w:bidi="ar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9A1E1AA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p w14:paraId="4C6FCC97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合同包：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highlight w:val="none"/>
          <w:lang w:eastAsia="zh-CN"/>
        </w:rPr>
        <w:t>进行处罚</w:t>
      </w:r>
      <w:r>
        <w:rPr>
          <w:rFonts w:hint="eastAsia" w:ascii="仿宋" w:hAnsi="仿宋" w:eastAsia="仿宋" w:cs="仿宋"/>
          <w:highlight w:val="none"/>
        </w:rPr>
        <w:t>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highlight w:val="none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highlight w:val="none"/>
        </w:rPr>
        <w:t>签字或盖章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2FEF325F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B01CA"/>
    <w:rsid w:val="33EB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2025-09-02T09:35:00Z</dcterms:created>
  <dc:creator>苍白假面</dc:creator>
  <cp:lastModifiedBy>苍白假面</cp:lastModifiedBy>
  <dcterms:modified xsi:type="dcterms:W3CDTF">2025-09-02T09:35:32Z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0D1701805F2644C799E549E2349BFF2A_11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