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B8DB80">
      <w:pPr>
        <w:spacing w:line="360" w:lineRule="auto"/>
        <w:jc w:val="center"/>
        <w:outlineLvl w:val="9"/>
        <w:rPr>
          <w:rFonts w:hint="eastAsia" w:ascii="仿宋" w:hAnsi="仿宋" w:eastAsia="仿宋" w:cs="仿宋"/>
          <w:b/>
          <w:bCs/>
          <w:color w:val="000000"/>
          <w:sz w:val="52"/>
          <w:szCs w:val="52"/>
          <w:highlight w:val="none"/>
          <w:lang w:eastAsia="zh-CN"/>
        </w:rPr>
      </w:pPr>
      <w:bookmarkStart w:id="0" w:name="_Toc4040"/>
    </w:p>
    <w:p w14:paraId="48538882">
      <w:pPr>
        <w:spacing w:line="360" w:lineRule="auto"/>
        <w:jc w:val="center"/>
        <w:outlineLvl w:val="9"/>
        <w:rPr>
          <w:rFonts w:hint="eastAsia" w:ascii="仿宋" w:hAnsi="仿宋" w:eastAsia="仿宋" w:cs="仿宋"/>
          <w:b/>
          <w:bCs/>
          <w:color w:val="000000"/>
          <w:sz w:val="52"/>
          <w:szCs w:val="52"/>
          <w:highlight w:val="none"/>
          <w:lang w:eastAsia="zh-CN"/>
        </w:rPr>
      </w:pPr>
    </w:p>
    <w:p w14:paraId="12B03F22">
      <w:pPr>
        <w:spacing w:line="360" w:lineRule="auto"/>
        <w:jc w:val="center"/>
        <w:outlineLvl w:val="9"/>
        <w:rPr>
          <w:rFonts w:hint="eastAsia" w:ascii="仿宋" w:hAnsi="仿宋" w:eastAsia="仿宋" w:cs="仿宋"/>
          <w:b/>
          <w:bCs/>
          <w:color w:val="000000"/>
          <w:sz w:val="52"/>
          <w:szCs w:val="52"/>
          <w:highlight w:val="none"/>
          <w:lang w:eastAsia="zh-CN"/>
        </w:rPr>
      </w:pPr>
    </w:p>
    <w:p w14:paraId="0AD1F44C">
      <w:pPr>
        <w:spacing w:line="360" w:lineRule="auto"/>
        <w:jc w:val="center"/>
        <w:outlineLvl w:val="9"/>
        <w:rPr>
          <w:rFonts w:hint="eastAsia" w:ascii="仿宋" w:hAnsi="仿宋" w:eastAsia="仿宋" w:cs="仿宋"/>
          <w:b/>
          <w:bCs/>
          <w:color w:val="000000"/>
          <w:sz w:val="52"/>
          <w:szCs w:val="52"/>
          <w:highlight w:val="none"/>
          <w:lang w:eastAsia="zh-CN"/>
        </w:rPr>
      </w:pPr>
    </w:p>
    <w:p w14:paraId="3C9AAB0A">
      <w:pPr>
        <w:spacing w:line="360" w:lineRule="auto"/>
        <w:jc w:val="center"/>
        <w:outlineLvl w:val="9"/>
        <w:rPr>
          <w:rFonts w:hint="eastAsia" w:ascii="仿宋" w:hAnsi="仿宋" w:eastAsia="仿宋" w:cs="仿宋"/>
          <w:b/>
          <w:bCs/>
          <w:color w:val="000000"/>
          <w:sz w:val="52"/>
          <w:szCs w:val="52"/>
          <w:highlight w:val="none"/>
        </w:rPr>
      </w:pPr>
      <w:bookmarkStart w:id="9" w:name="_GoBack"/>
      <w:bookmarkEnd w:id="9"/>
      <w:r>
        <w:rPr>
          <w:rFonts w:hint="eastAsia" w:ascii="仿宋" w:hAnsi="仿宋" w:eastAsia="仿宋" w:cs="仿宋"/>
          <w:b/>
          <w:bCs/>
          <w:color w:val="000000"/>
          <w:sz w:val="52"/>
          <w:szCs w:val="52"/>
          <w:highlight w:val="none"/>
          <w:lang w:eastAsia="zh-CN"/>
        </w:rPr>
        <w:t>西安市莲湖区机关事务服务中心车辆采购项目</w:t>
      </w:r>
      <w:r>
        <w:rPr>
          <w:rFonts w:hint="eastAsia" w:ascii="仿宋" w:hAnsi="仿宋" w:eastAsia="仿宋" w:cs="仿宋"/>
          <w:b/>
          <w:bCs/>
          <w:color w:val="000000"/>
          <w:sz w:val="52"/>
          <w:szCs w:val="52"/>
          <w:highlight w:val="none"/>
        </w:rPr>
        <w:t>采购合同</w:t>
      </w:r>
      <w:bookmarkEnd w:id="0"/>
    </w:p>
    <w:p w14:paraId="14D3D8BB">
      <w:pPr>
        <w:rPr>
          <w:rFonts w:hint="eastAsia" w:ascii="仿宋" w:hAnsi="仿宋" w:eastAsia="仿宋" w:cs="仿宋"/>
          <w:highlight w:val="none"/>
        </w:rPr>
      </w:pPr>
    </w:p>
    <w:p w14:paraId="22F5ED8F">
      <w:pPr>
        <w:rPr>
          <w:rFonts w:hint="eastAsia" w:ascii="仿宋" w:hAnsi="仿宋" w:eastAsia="仿宋" w:cs="仿宋"/>
          <w:highlight w:val="none"/>
        </w:rPr>
      </w:pPr>
    </w:p>
    <w:p w14:paraId="038354EF">
      <w:pPr>
        <w:rPr>
          <w:rFonts w:hint="eastAsia" w:ascii="仿宋" w:hAnsi="仿宋" w:eastAsia="仿宋" w:cs="仿宋"/>
          <w:highlight w:val="none"/>
        </w:rPr>
      </w:pPr>
    </w:p>
    <w:p w14:paraId="37E85826">
      <w:pPr>
        <w:rPr>
          <w:rFonts w:hint="eastAsia" w:ascii="仿宋" w:hAnsi="仿宋" w:eastAsia="仿宋" w:cs="仿宋"/>
          <w:highlight w:val="none"/>
        </w:rPr>
      </w:pPr>
    </w:p>
    <w:p w14:paraId="542B489A">
      <w:pPr>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（示范文本）</w:t>
      </w:r>
    </w:p>
    <w:p w14:paraId="4C1DA545">
      <w:pPr>
        <w:spacing w:line="360" w:lineRule="auto"/>
        <w:jc w:val="center"/>
        <w:rPr>
          <w:rFonts w:hint="eastAsia" w:ascii="仿宋" w:hAnsi="仿宋" w:eastAsia="仿宋" w:cs="仿宋"/>
          <w:b/>
          <w:bCs/>
          <w:szCs w:val="36"/>
          <w:highlight w:val="none"/>
        </w:rPr>
      </w:pPr>
      <w:r>
        <w:rPr>
          <w:rFonts w:hint="eastAsia" w:ascii="仿宋" w:hAnsi="仿宋" w:eastAsia="仿宋" w:cs="仿宋"/>
          <w:b/>
          <w:sz w:val="36"/>
          <w:szCs w:val="36"/>
          <w:highlight w:val="none"/>
        </w:rPr>
        <w:br w:type="page"/>
      </w:r>
    </w:p>
    <w:p w14:paraId="79D9F845">
      <w:pPr>
        <w:spacing w:line="360" w:lineRule="auto"/>
        <w:ind w:firstLine="482" w:firstLineChars="200"/>
        <w:rPr>
          <w:rFonts w:hint="eastAsia" w:ascii="仿宋" w:hAnsi="仿宋" w:eastAsia="仿宋" w:cs="仿宋"/>
          <w:b/>
          <w:szCs w:val="24"/>
          <w:highlight w:val="none"/>
        </w:rPr>
      </w:pPr>
      <w:r>
        <w:rPr>
          <w:rFonts w:hint="eastAsia" w:ascii="仿宋" w:hAnsi="仿宋" w:eastAsia="仿宋" w:cs="仿宋"/>
          <w:b/>
          <w:szCs w:val="24"/>
          <w:highlight w:val="none"/>
        </w:rPr>
        <w:t>采购人（全称）：</w:t>
      </w:r>
      <w:r>
        <w:rPr>
          <w:rFonts w:hint="eastAsia" w:ascii="仿宋" w:hAnsi="仿宋" w:eastAsia="仿宋" w:cs="仿宋"/>
          <w:b/>
          <w:szCs w:val="24"/>
          <w:highlight w:val="none"/>
          <w:u w:val="single"/>
        </w:rPr>
        <w:t xml:space="preserve">                                      </w:t>
      </w:r>
    </w:p>
    <w:p w14:paraId="747ECB3C">
      <w:pPr>
        <w:spacing w:line="360" w:lineRule="auto"/>
        <w:ind w:firstLine="482" w:firstLineChars="200"/>
        <w:rPr>
          <w:rFonts w:hint="default" w:ascii="仿宋" w:hAnsi="仿宋" w:eastAsia="仿宋" w:cs="仿宋"/>
          <w:b/>
          <w:szCs w:val="24"/>
          <w:highlight w:val="none"/>
          <w:lang w:val="en-US" w:eastAsia="zh-CN"/>
        </w:rPr>
      </w:pPr>
      <w:r>
        <w:rPr>
          <w:rFonts w:hint="eastAsia" w:ascii="仿宋" w:hAnsi="仿宋" w:eastAsia="仿宋" w:cs="仿宋"/>
          <w:b/>
          <w:szCs w:val="24"/>
          <w:highlight w:val="none"/>
          <w:lang w:val="en-US" w:eastAsia="zh-CN"/>
        </w:rPr>
        <w:t>使用方（全称）：</w:t>
      </w:r>
      <w:r>
        <w:rPr>
          <w:rFonts w:hint="eastAsia" w:ascii="仿宋" w:hAnsi="仿宋" w:eastAsia="仿宋" w:cs="仿宋"/>
          <w:b/>
          <w:szCs w:val="24"/>
          <w:highlight w:val="none"/>
          <w:u w:val="single"/>
          <w:lang w:val="en-US" w:eastAsia="zh-CN"/>
        </w:rPr>
        <w:t xml:space="preserve">                                      </w:t>
      </w:r>
    </w:p>
    <w:p w14:paraId="1B15432E">
      <w:pPr>
        <w:spacing w:line="360" w:lineRule="auto"/>
        <w:ind w:firstLine="482" w:firstLineChars="200"/>
        <w:rPr>
          <w:rFonts w:hint="eastAsia" w:ascii="仿宋" w:hAnsi="仿宋" w:eastAsia="仿宋" w:cs="仿宋"/>
          <w:szCs w:val="24"/>
          <w:highlight w:val="none"/>
        </w:rPr>
      </w:pPr>
      <w:r>
        <w:rPr>
          <w:rFonts w:hint="eastAsia" w:ascii="仿宋" w:hAnsi="仿宋" w:eastAsia="仿宋" w:cs="仿宋"/>
          <w:b/>
          <w:szCs w:val="24"/>
          <w:highlight w:val="none"/>
        </w:rPr>
        <w:t>供应商（全称）：</w:t>
      </w:r>
      <w:r>
        <w:rPr>
          <w:rFonts w:hint="eastAsia" w:ascii="仿宋" w:hAnsi="仿宋" w:eastAsia="仿宋" w:cs="仿宋"/>
          <w:b/>
          <w:szCs w:val="24"/>
          <w:highlight w:val="none"/>
          <w:u w:val="single"/>
        </w:rPr>
        <w:t xml:space="preserve">                                   </w:t>
      </w:r>
      <w:r>
        <w:rPr>
          <w:rFonts w:hint="eastAsia" w:ascii="仿宋" w:hAnsi="仿宋" w:eastAsia="仿宋" w:cs="仿宋"/>
          <w:szCs w:val="24"/>
          <w:highlight w:val="none"/>
          <w:u w:val="single"/>
        </w:rPr>
        <w:t xml:space="preserve">   </w:t>
      </w:r>
    </w:p>
    <w:p w14:paraId="7273088B">
      <w:pPr>
        <w:spacing w:line="360" w:lineRule="auto"/>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根据《中华人民共和国民法典》及其他有关法律、法规，遵循平等、自愿、公平和诚信的原则，双方就下述项目范围与相关服务事项协商一致，订立本合同。</w:t>
      </w:r>
    </w:p>
    <w:p w14:paraId="0CBDE0FD">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一、项目概况</w:t>
      </w:r>
    </w:p>
    <w:p w14:paraId="6FC2EB0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1.项目名称：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4A1252CF">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2.项目地点：</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09399E58">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二、组成本合同的文件</w:t>
      </w:r>
    </w:p>
    <w:p w14:paraId="2EBBA74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1.协议书；</w:t>
      </w:r>
    </w:p>
    <w:p w14:paraId="553A0BD8">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2.中标通知书、投标文件、招标文件、澄清、招标补充文件；</w:t>
      </w:r>
    </w:p>
    <w:p w14:paraId="1E847DD7">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3.相关服务建议书；</w:t>
      </w:r>
    </w:p>
    <w:p w14:paraId="1897459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4.附录，即：附表内相关服务的范围和内容；</w:t>
      </w:r>
    </w:p>
    <w:p w14:paraId="77BA38BE">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本合同签订后，双方依法签订的补充协议也是本合同文件的组成部分。</w:t>
      </w:r>
    </w:p>
    <w:p w14:paraId="5F2E8CF1">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三、合同金额</w:t>
      </w:r>
    </w:p>
    <w:p w14:paraId="0E201634">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1.本合同为</w:t>
      </w:r>
      <w:r>
        <w:rPr>
          <w:rFonts w:hint="eastAsia" w:ascii="仿宋" w:hAnsi="仿宋" w:eastAsia="仿宋" w:cs="仿宋"/>
          <w:b/>
          <w:szCs w:val="24"/>
          <w:highlight w:val="none"/>
        </w:rPr>
        <w:t>固定总价合同</w:t>
      </w:r>
      <w:r>
        <w:rPr>
          <w:rFonts w:hint="eastAsia" w:ascii="仿宋" w:hAnsi="仿宋" w:eastAsia="仿宋" w:cs="仿宋"/>
          <w:szCs w:val="24"/>
          <w:highlight w:val="none"/>
        </w:rPr>
        <w:t>。</w:t>
      </w:r>
    </w:p>
    <w:p w14:paraId="0D2C46A2">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合同金额（大写）：</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440C082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3.合同金额即中标价。合同价格为含税价，供应商（中标人）提供产品所发生的一切费用（包括增值税等相关税费）等都已包含于合同价款中。</w:t>
      </w:r>
    </w:p>
    <w:p w14:paraId="5FBD7B54">
      <w:pPr>
        <w:pStyle w:val="3"/>
        <w:spacing w:after="0"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4.合同单价详见附件清单。</w:t>
      </w:r>
    </w:p>
    <w:p w14:paraId="7B34A2BD">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四、结算方式</w:t>
      </w:r>
    </w:p>
    <w:p w14:paraId="14396288">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1.结算单位：银行转账，由采购人负责结算。在付款前，供应商必须开具与合同金额相应的发票给采购人，附详细清单。车款到账后为有效产权转移。</w:t>
      </w:r>
    </w:p>
    <w:p w14:paraId="46675848">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2.付款方式：</w:t>
      </w:r>
    </w:p>
    <w:p w14:paraId="298210C9">
      <w:pPr>
        <w:spacing w:line="360" w:lineRule="auto"/>
        <w:ind w:firstLine="480" w:firstLineChars="200"/>
        <w:rPr>
          <w:rFonts w:hint="eastAsia" w:ascii="仿宋" w:hAnsi="仿宋" w:eastAsia="仿宋" w:cs="仿宋"/>
          <w:bCs/>
          <w:szCs w:val="24"/>
          <w:highlight w:val="none"/>
          <w:lang w:eastAsia="zh-CN"/>
        </w:rPr>
      </w:pPr>
      <w:r>
        <w:rPr>
          <w:rFonts w:hint="eastAsia" w:ascii="仿宋" w:hAnsi="仿宋" w:eastAsia="仿宋" w:cs="仿宋"/>
          <w:bCs/>
          <w:szCs w:val="24"/>
          <w:highlight w:val="none"/>
        </w:rPr>
        <w:t>①车辆交付后支付合同总价款的100%</w:t>
      </w:r>
      <w:r>
        <w:rPr>
          <w:rFonts w:hint="eastAsia" w:ascii="仿宋" w:hAnsi="仿宋" w:eastAsia="仿宋" w:cs="仿宋"/>
          <w:bCs/>
          <w:szCs w:val="24"/>
          <w:highlight w:val="none"/>
          <w:lang w:eastAsia="zh-CN"/>
        </w:rPr>
        <w:t>；</w:t>
      </w:r>
    </w:p>
    <w:p w14:paraId="6BF41D09">
      <w:pPr>
        <w:spacing w:line="360" w:lineRule="auto"/>
        <w:ind w:firstLine="480" w:firstLineChars="200"/>
        <w:rPr>
          <w:rFonts w:hint="eastAsia" w:ascii="仿宋" w:hAnsi="仿宋" w:eastAsia="仿宋" w:cs="仿宋"/>
          <w:bCs/>
          <w:szCs w:val="24"/>
          <w:highlight w:val="none"/>
        </w:rPr>
      </w:pPr>
      <w:r>
        <w:rPr>
          <w:rFonts w:hint="eastAsia" w:ascii="仿宋" w:hAnsi="仿宋" w:eastAsia="仿宋" w:cs="仿宋"/>
          <w:bCs/>
          <w:szCs w:val="24"/>
          <w:highlight w:val="none"/>
        </w:rPr>
        <w:t>②</w:t>
      </w:r>
      <w:r>
        <w:rPr>
          <w:rFonts w:hint="eastAsia" w:ascii="仿宋" w:hAnsi="仿宋" w:eastAsia="仿宋" w:cs="仿宋"/>
          <w:highlight w:val="none"/>
        </w:rPr>
        <w:t>由</w:t>
      </w:r>
      <w:r>
        <w:rPr>
          <w:rFonts w:hint="eastAsia" w:ascii="仿宋" w:hAnsi="仿宋" w:eastAsia="仿宋" w:cs="仿宋"/>
          <w:highlight w:val="none"/>
          <w:lang w:val="en-US" w:eastAsia="zh-CN"/>
        </w:rPr>
        <w:t>中标人</w:t>
      </w:r>
      <w:r>
        <w:rPr>
          <w:rFonts w:hint="eastAsia" w:ascii="仿宋" w:hAnsi="仿宋" w:eastAsia="仿宋" w:cs="仿宋"/>
          <w:highlight w:val="none"/>
        </w:rPr>
        <w:t>按照</w:t>
      </w:r>
      <w:r>
        <w:rPr>
          <w:rFonts w:hint="eastAsia" w:ascii="仿宋" w:hAnsi="仿宋" w:eastAsia="仿宋" w:cs="仿宋"/>
          <w:highlight w:val="none"/>
          <w:lang w:val="en-US" w:eastAsia="zh-CN"/>
        </w:rPr>
        <w:t>招标</w:t>
      </w:r>
      <w:r>
        <w:rPr>
          <w:rFonts w:hint="eastAsia" w:ascii="仿宋" w:hAnsi="仿宋" w:eastAsia="仿宋" w:cs="仿宋"/>
          <w:highlight w:val="none"/>
        </w:rPr>
        <w:t>文件中约定的付款方式向采购人提出申请，征得西安市莲湖区财政局同意后，待财政拨付到位后可按文件中规定的付款方式进行结算。</w:t>
      </w:r>
    </w:p>
    <w:p w14:paraId="7A513797">
      <w:pPr>
        <w:tabs>
          <w:tab w:val="left" w:pos="840"/>
        </w:tabs>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五、交货期：</w:t>
      </w:r>
      <w:r>
        <w:rPr>
          <w:rFonts w:hint="eastAsia" w:ascii="仿宋" w:hAnsi="仿宋" w:eastAsia="仿宋" w:cs="仿宋"/>
          <w:b/>
          <w:szCs w:val="24"/>
          <w:highlight w:val="none"/>
          <w:u w:val="single"/>
        </w:rPr>
        <w:t>自合同签订之日起30个工作日内完成项目全部内容，并交付采购人验收合格。</w:t>
      </w:r>
    </w:p>
    <w:p w14:paraId="53D56F4C">
      <w:pPr>
        <w:tabs>
          <w:tab w:val="left" w:pos="840"/>
        </w:tabs>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六、质保期：</w:t>
      </w:r>
      <w:r>
        <w:rPr>
          <w:rFonts w:hint="eastAsia" w:ascii="仿宋" w:hAnsi="仿宋" w:eastAsia="仿宋" w:cs="仿宋"/>
          <w:b/>
          <w:szCs w:val="24"/>
          <w:highlight w:val="none"/>
          <w:u w:val="single"/>
        </w:rPr>
        <w:t>自验收合格之日起3年或15万公里。</w:t>
      </w:r>
    </w:p>
    <w:p w14:paraId="08A5E570">
      <w:pPr>
        <w:tabs>
          <w:tab w:val="left" w:pos="840"/>
        </w:tabs>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七、内容及要求</w:t>
      </w:r>
    </w:p>
    <w:p w14:paraId="67174E2D">
      <w:pPr>
        <w:tabs>
          <w:tab w:val="left" w:pos="840"/>
        </w:tabs>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即交付的产品、服务内容、数量与投标文件、招标文件等所指明的，或者与本合同所指明的产品、服务内容相一致。（附清单）</w:t>
      </w:r>
    </w:p>
    <w:p w14:paraId="0650A533">
      <w:pPr>
        <w:spacing w:line="360" w:lineRule="auto"/>
        <w:rPr>
          <w:rFonts w:hint="eastAsia" w:ascii="仿宋" w:hAnsi="仿宋" w:eastAsia="仿宋" w:cs="仿宋"/>
          <w:szCs w:val="24"/>
          <w:highlight w:val="none"/>
        </w:rPr>
      </w:pPr>
      <w:r>
        <w:rPr>
          <w:rFonts w:hint="eastAsia" w:ascii="仿宋" w:hAnsi="仿宋" w:eastAsia="仿宋" w:cs="仿宋"/>
          <w:b/>
          <w:szCs w:val="24"/>
          <w:highlight w:val="none"/>
          <w:lang w:val="en-US" w:eastAsia="zh-CN"/>
        </w:rPr>
        <w:t>八</w:t>
      </w:r>
      <w:r>
        <w:rPr>
          <w:rFonts w:hint="eastAsia" w:ascii="仿宋" w:hAnsi="仿宋" w:eastAsia="仿宋" w:cs="仿宋"/>
          <w:b/>
          <w:szCs w:val="24"/>
          <w:highlight w:val="none"/>
        </w:rPr>
        <w:t xml:space="preserve">、运输、安装、调试要求 </w:t>
      </w:r>
    </w:p>
    <w:p w14:paraId="051027E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1.供应商根据产品特性，自行选择运输及包装方式，承担一切运输费用，包括从生产厂到采购人指定交货地点所需的装卸、运输（含保险费）及其他一切费用。</w:t>
      </w:r>
    </w:p>
    <w:p w14:paraId="05CACD3C">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2.由供应商安装、调试及试运行的进度计划表。</w:t>
      </w:r>
    </w:p>
    <w:p w14:paraId="3ACDB98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供应商应在合同规定的安装调试期内完成该项工作。如因供应商责任而造成延期，每超过一天按合同总价款的（1‰）支付采购人误期赔偿金，直至交货或提供服务结束为止，所有因延期而产生的费用由供应商承担。</w:t>
      </w:r>
    </w:p>
    <w:p w14:paraId="479D66B5">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4.安装和调试期间所发生的费用均由供应商负责。</w:t>
      </w:r>
    </w:p>
    <w:p w14:paraId="507D555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5.供应商应对安装调试、整改等实施过程的安全负责，如发生人身伤亡、财产损失的由供应商负责解决并承担全部责任。</w:t>
      </w:r>
    </w:p>
    <w:p w14:paraId="2E6D47F3">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lang w:val="en-US" w:eastAsia="zh-CN"/>
        </w:rPr>
        <w:t>九</w:t>
      </w:r>
      <w:r>
        <w:rPr>
          <w:rFonts w:hint="eastAsia" w:ascii="仿宋" w:hAnsi="仿宋" w:eastAsia="仿宋" w:cs="仿宋"/>
          <w:b/>
          <w:szCs w:val="24"/>
          <w:highlight w:val="none"/>
        </w:rPr>
        <w:t>、技术支持</w:t>
      </w:r>
    </w:p>
    <w:p w14:paraId="68BD542B">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提供质保期内全年7×24小时的技术咨询服务。供应商怠于或无法提供技术具备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0C5D8B3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2.供应商在项目实施过程中，质量保障人员、资源不足或者执行不力，给项目质量带来的风险超出采购人认定的允许范围时，采购人可终止本项目的合作并进行索赔。</w:t>
      </w:r>
    </w:p>
    <w:p w14:paraId="4CE2EF37">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十、技术培训</w:t>
      </w:r>
    </w:p>
    <w:p w14:paraId="1D47D44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供应商指派专业讲师对学校技术管理人员、学校相关教师进行线下培训，并提供线上7×24 小时指导服务。</w:t>
      </w:r>
    </w:p>
    <w:p w14:paraId="3AEA322C">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w:t>
      </w:r>
      <w:r>
        <w:rPr>
          <w:rFonts w:hint="eastAsia" w:ascii="仿宋" w:hAnsi="仿宋" w:eastAsia="仿宋" w:cs="仿宋"/>
          <w:b/>
          <w:bCs/>
          <w:szCs w:val="24"/>
          <w:highlight w:val="none"/>
          <w:lang w:val="en-US" w:eastAsia="zh-CN"/>
        </w:rPr>
        <w:t>一</w:t>
      </w:r>
      <w:r>
        <w:rPr>
          <w:rFonts w:hint="eastAsia" w:ascii="仿宋" w:hAnsi="仿宋" w:eastAsia="仿宋" w:cs="仿宋"/>
          <w:b/>
          <w:bCs/>
          <w:szCs w:val="24"/>
          <w:highlight w:val="none"/>
        </w:rPr>
        <w:t>、技术资料要求</w:t>
      </w:r>
    </w:p>
    <w:p w14:paraId="1AF13717">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供应商应向采购人提供全套中文技术资料一套，其费用包括在投标价格中：</w:t>
      </w:r>
    </w:p>
    <w:p w14:paraId="3D339A40">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1.完整的产品操作使用手册、说明书和维护、修理技术文件，图纸（线路图、原理图等）、保修卡等；</w:t>
      </w:r>
    </w:p>
    <w:p w14:paraId="006C918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2.制造厂的检验、测试报告、产品检验合格证书，质量保证书等文件验收时须一并提供；</w:t>
      </w:r>
    </w:p>
    <w:p w14:paraId="5AC3BBE5">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3.产品验收标准；</w:t>
      </w:r>
    </w:p>
    <w:p w14:paraId="208D4FA9">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4.技术说明书及必须的其它技术资料；</w:t>
      </w:r>
    </w:p>
    <w:p w14:paraId="25EAEBB6">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5.产品安装，调试、维修线路图及原理图；</w:t>
      </w:r>
    </w:p>
    <w:p w14:paraId="2935FC76">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6.零部件目录；</w:t>
      </w:r>
    </w:p>
    <w:p w14:paraId="77F060AC">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7.备品备件、易损件清单；</w:t>
      </w:r>
    </w:p>
    <w:p w14:paraId="239723E0">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8.整体验收后提供验收报告；</w:t>
      </w:r>
    </w:p>
    <w:p w14:paraId="314E50C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9.合同中要求的其他文件资料；</w:t>
      </w:r>
    </w:p>
    <w:p w14:paraId="37301D3B">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10.检定/校准报告。</w:t>
      </w:r>
    </w:p>
    <w:p w14:paraId="38B1A4CD">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w:t>
      </w:r>
      <w:r>
        <w:rPr>
          <w:rFonts w:hint="eastAsia" w:ascii="仿宋" w:hAnsi="仿宋" w:eastAsia="仿宋" w:cs="仿宋"/>
          <w:b/>
          <w:bCs/>
          <w:szCs w:val="24"/>
          <w:highlight w:val="none"/>
          <w:lang w:val="en-US" w:eastAsia="zh-CN"/>
        </w:rPr>
        <w:t>二</w:t>
      </w:r>
      <w:r>
        <w:rPr>
          <w:rFonts w:hint="eastAsia" w:ascii="仿宋" w:hAnsi="仿宋" w:eastAsia="仿宋" w:cs="仿宋"/>
          <w:b/>
          <w:bCs/>
          <w:szCs w:val="24"/>
          <w:highlight w:val="none"/>
        </w:rPr>
        <w:t>、质量保证</w:t>
      </w:r>
    </w:p>
    <w:p w14:paraId="1C3E547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供应商提供的产品及材料必须保证质量可靠，为市场最新或主流产品，进货渠道正常，配置合理齐全，应全面满足招标文件的要求，招标文件未明确要求的内容，供应商须按采购产品主流标准配置或以采购人的补充要求为准。所供产品工艺质量应严格按国家最新发布的规范标准执行，如发生质量问题由供应商承担全部责任。</w:t>
      </w:r>
    </w:p>
    <w:p w14:paraId="4CD95A8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2.供应商应保证所有产品的完好无损包括配套包装，如有缺漏、损坏，由供应商负责调换、补齐或赔偿。</w:t>
      </w:r>
    </w:p>
    <w:p w14:paraId="3C24928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3.采购人使用产品过程中因产品质量、产品缺陷及安装质量等造成人身伤亡、财产损失的，由供应商负责解决并承担全部责任。</w:t>
      </w:r>
    </w:p>
    <w:p w14:paraId="1A62C638">
      <w:pPr>
        <w:tabs>
          <w:tab w:val="left" w:pos="1080"/>
        </w:tabs>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4.供应商应提供可承担维修职能的公司、全资分公司或办事处，并驻守多名维护技术人员，并提供地点、联系人（常驻工程师）及联系电话（服务热线），随时解答各种疑问（需提供相关证明材料）。</w:t>
      </w:r>
    </w:p>
    <w:p w14:paraId="0DD6848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5.服务方式：现场服务，质保期内维修费用含在合同总价中（中标价格），提供终身维修（护）。在质量保证期内发生重大故障，维修工程师抵达现场时间≤48小时。产品实行“三包”，并承担由此产生的包装、运输等的一切费用。</w:t>
      </w:r>
    </w:p>
    <w:p w14:paraId="692FDBA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6.质保期内每月至少一次免费上门维护，回访。</w:t>
      </w:r>
    </w:p>
    <w:p w14:paraId="274EB6BF">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7.对于存在质量问题或者短少的产品，供应商应在接到采购人的通知2个日历日内负责修复，调换、重新制作或补齐。</w:t>
      </w:r>
    </w:p>
    <w:p w14:paraId="01498712">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8.在最终验收后的质量保证期内，供应商应对设计、工艺或材料等的缺陷而产生的故障负责（负责解决并承担全部费用）。质保期满后如出现此类问题亦应负责。</w:t>
      </w:r>
    </w:p>
    <w:p w14:paraId="456CD53C">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9.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w:t>
      </w:r>
    </w:p>
    <w:p w14:paraId="70158CCF">
      <w:pPr>
        <w:spacing w:line="360" w:lineRule="auto"/>
        <w:ind w:firstLine="480" w:firstLineChars="200"/>
        <w:rPr>
          <w:rFonts w:hint="eastAsia" w:ascii="仿宋" w:hAnsi="仿宋" w:eastAsia="仿宋" w:cs="仿宋"/>
          <w:b/>
          <w:szCs w:val="24"/>
          <w:highlight w:val="none"/>
        </w:rPr>
      </w:pPr>
      <w:r>
        <w:rPr>
          <w:rFonts w:hint="eastAsia" w:ascii="仿宋" w:hAnsi="仿宋" w:eastAsia="仿宋" w:cs="仿宋"/>
          <w:szCs w:val="24"/>
          <w:highlight w:val="none"/>
        </w:rPr>
        <w:t>10.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4832340E">
      <w:pPr>
        <w:spacing w:line="360" w:lineRule="auto"/>
        <w:ind w:firstLine="480" w:firstLineChars="200"/>
        <w:rPr>
          <w:rFonts w:hint="eastAsia" w:ascii="仿宋" w:hAnsi="仿宋" w:eastAsia="仿宋" w:cs="仿宋"/>
          <w:b w:val="0"/>
          <w:bCs w:val="0"/>
          <w:szCs w:val="24"/>
          <w:highlight w:val="none"/>
        </w:rPr>
      </w:pPr>
      <w:r>
        <w:rPr>
          <w:rFonts w:hint="eastAsia" w:ascii="仿宋" w:hAnsi="仿宋" w:eastAsia="仿宋" w:cs="仿宋"/>
          <w:b w:val="0"/>
          <w:bCs w:val="0"/>
          <w:szCs w:val="24"/>
          <w:highlight w:val="none"/>
          <w:lang w:val="en-US" w:eastAsia="zh-CN"/>
        </w:rPr>
        <w:t>1</w:t>
      </w:r>
      <w:r>
        <w:rPr>
          <w:rFonts w:hint="eastAsia" w:ascii="仿宋" w:hAnsi="仿宋" w:eastAsia="仿宋" w:cs="仿宋"/>
          <w:b w:val="0"/>
          <w:bCs w:val="0"/>
          <w:szCs w:val="24"/>
          <w:highlight w:val="none"/>
        </w:rPr>
        <w:t>1.保修期内免费保修，同一主要部件出现质量问题经过两次维修后仍无法正常使用，由乙方更换同型号、同规格的产品，服务响应时间不超过8小时，解决问题不超过24小时。</w:t>
      </w:r>
    </w:p>
    <w:p w14:paraId="303F9003">
      <w:pPr>
        <w:spacing w:line="360" w:lineRule="auto"/>
        <w:ind w:firstLine="480" w:firstLineChars="200"/>
        <w:rPr>
          <w:rFonts w:hint="eastAsia" w:ascii="仿宋" w:hAnsi="仿宋" w:eastAsia="仿宋" w:cs="仿宋"/>
          <w:b w:val="0"/>
          <w:bCs w:val="0"/>
          <w:szCs w:val="24"/>
          <w:highlight w:val="none"/>
        </w:rPr>
      </w:pPr>
      <w:r>
        <w:rPr>
          <w:rFonts w:hint="eastAsia" w:ascii="仿宋" w:hAnsi="仿宋" w:eastAsia="仿宋" w:cs="仿宋"/>
          <w:b w:val="0"/>
          <w:bCs w:val="0"/>
          <w:szCs w:val="24"/>
          <w:highlight w:val="none"/>
          <w:lang w:val="en-US" w:eastAsia="zh-CN"/>
        </w:rPr>
        <w:t>1</w:t>
      </w:r>
      <w:r>
        <w:rPr>
          <w:rFonts w:hint="eastAsia" w:ascii="仿宋" w:hAnsi="仿宋" w:eastAsia="仿宋" w:cs="仿宋"/>
          <w:b w:val="0"/>
          <w:bCs w:val="0"/>
          <w:szCs w:val="24"/>
          <w:highlight w:val="none"/>
        </w:rPr>
        <w:t>2.乙方不在约定期限内派人维修、更换，甲方可以委托他人修理、更换，由此产生的费用从保修金中双倍扣除，不足部分，乙方还应补足。</w:t>
      </w:r>
    </w:p>
    <w:p w14:paraId="6CFF0F56">
      <w:pPr>
        <w:spacing w:line="360" w:lineRule="auto"/>
        <w:ind w:firstLine="480" w:firstLineChars="200"/>
        <w:rPr>
          <w:rFonts w:hint="eastAsia" w:ascii="仿宋" w:hAnsi="仿宋" w:eastAsia="仿宋" w:cs="仿宋"/>
          <w:b w:val="0"/>
          <w:bCs w:val="0"/>
          <w:szCs w:val="24"/>
          <w:highlight w:val="none"/>
        </w:rPr>
      </w:pPr>
      <w:r>
        <w:rPr>
          <w:rFonts w:hint="eastAsia" w:ascii="仿宋" w:hAnsi="仿宋" w:eastAsia="仿宋" w:cs="仿宋"/>
          <w:b w:val="0"/>
          <w:bCs w:val="0"/>
          <w:szCs w:val="24"/>
          <w:highlight w:val="none"/>
          <w:lang w:val="en-US" w:eastAsia="zh-CN"/>
        </w:rPr>
        <w:t>1</w:t>
      </w:r>
      <w:r>
        <w:rPr>
          <w:rFonts w:hint="eastAsia" w:ascii="仿宋" w:hAnsi="仿宋" w:eastAsia="仿宋" w:cs="仿宋"/>
          <w:b w:val="0"/>
          <w:bCs w:val="0"/>
          <w:szCs w:val="24"/>
          <w:highlight w:val="none"/>
        </w:rPr>
        <w:t>3.乙方对其所售产品负责备品配件的供应,长期提供维修服务。</w:t>
      </w:r>
    </w:p>
    <w:p w14:paraId="5306819B">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w:t>
      </w:r>
      <w:r>
        <w:rPr>
          <w:rFonts w:hint="eastAsia" w:ascii="仿宋" w:hAnsi="仿宋" w:eastAsia="仿宋" w:cs="仿宋"/>
          <w:b/>
          <w:bCs/>
          <w:szCs w:val="24"/>
          <w:highlight w:val="none"/>
          <w:lang w:val="en-US" w:eastAsia="zh-CN"/>
        </w:rPr>
        <w:t>三</w:t>
      </w:r>
      <w:r>
        <w:rPr>
          <w:rFonts w:hint="eastAsia" w:ascii="仿宋" w:hAnsi="仿宋" w:eastAsia="仿宋" w:cs="仿宋"/>
          <w:b/>
          <w:bCs/>
          <w:szCs w:val="24"/>
          <w:highlight w:val="none"/>
        </w:rPr>
        <w:t>、验收</w:t>
      </w:r>
    </w:p>
    <w:p w14:paraId="71374B07">
      <w:pPr>
        <w:spacing w:line="360" w:lineRule="auto"/>
        <w:ind w:firstLine="480" w:firstLineChars="200"/>
        <w:rPr>
          <w:rFonts w:hint="eastAsia" w:ascii="仿宋" w:hAnsi="仿宋" w:eastAsia="仿宋" w:cs="仿宋"/>
          <w:b w:val="0"/>
          <w:bCs/>
          <w:szCs w:val="24"/>
          <w:highlight w:val="none"/>
        </w:rPr>
      </w:pPr>
      <w:r>
        <w:rPr>
          <w:rFonts w:hint="eastAsia" w:ascii="仿宋" w:hAnsi="仿宋" w:eastAsia="仿宋" w:cs="仿宋"/>
          <w:b w:val="0"/>
          <w:bCs/>
          <w:szCs w:val="24"/>
          <w:highlight w:val="none"/>
          <w:lang w:val="en-US" w:eastAsia="zh-CN"/>
        </w:rPr>
        <w:t>车辆</w:t>
      </w:r>
      <w:r>
        <w:rPr>
          <w:rFonts w:hint="eastAsia" w:ascii="仿宋" w:hAnsi="仿宋" w:eastAsia="仿宋" w:cs="仿宋"/>
          <w:b w:val="0"/>
          <w:bCs/>
          <w:szCs w:val="24"/>
          <w:highlight w:val="none"/>
        </w:rPr>
        <w:t xml:space="preserve">到货后，项目使用方及厂家共同验收。在检查设备原产地、型号、规格、配置符合合同要求后，由乙方负责安装调试、甲方负责技术验收（乙方协助），验收以国内行业标准或合同文本软件设备供货配置清单中描述的有关技术要求为准。 </w:t>
      </w:r>
    </w:p>
    <w:p w14:paraId="73C0280A">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w:t>
      </w:r>
      <w:r>
        <w:rPr>
          <w:rFonts w:hint="eastAsia" w:ascii="仿宋" w:hAnsi="仿宋" w:eastAsia="仿宋" w:cs="仿宋"/>
          <w:b/>
          <w:szCs w:val="24"/>
          <w:highlight w:val="none"/>
          <w:lang w:val="en-US" w:eastAsia="zh-CN"/>
        </w:rPr>
        <w:t>四</w:t>
      </w:r>
      <w:r>
        <w:rPr>
          <w:rFonts w:hint="eastAsia" w:ascii="仿宋" w:hAnsi="仿宋" w:eastAsia="仿宋" w:cs="仿宋"/>
          <w:b/>
          <w:szCs w:val="24"/>
          <w:highlight w:val="none"/>
        </w:rPr>
        <w:t>、保密</w:t>
      </w:r>
    </w:p>
    <w:p w14:paraId="73D3095F">
      <w:pPr>
        <w:tabs>
          <w:tab w:val="left" w:pos="1080"/>
        </w:tabs>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对工作中了解到的采购人的技术、机密等进行严格保密，不得向他人泄漏。本合同的解除或终止不免除供应商应承担的保密义务。</w:t>
      </w:r>
    </w:p>
    <w:p w14:paraId="451B310F">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w:t>
      </w:r>
      <w:r>
        <w:rPr>
          <w:rFonts w:hint="eastAsia" w:ascii="仿宋" w:hAnsi="仿宋" w:eastAsia="仿宋" w:cs="仿宋"/>
          <w:b/>
          <w:szCs w:val="24"/>
          <w:highlight w:val="none"/>
          <w:lang w:val="en-US" w:eastAsia="zh-CN"/>
        </w:rPr>
        <w:t>五</w:t>
      </w:r>
      <w:r>
        <w:rPr>
          <w:rFonts w:hint="eastAsia" w:ascii="仿宋" w:hAnsi="仿宋" w:eastAsia="仿宋" w:cs="仿宋"/>
          <w:b/>
          <w:szCs w:val="24"/>
          <w:highlight w:val="none"/>
        </w:rPr>
        <w:t>、知识产权</w:t>
      </w:r>
    </w:p>
    <w:p w14:paraId="70A773D0">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42C9C88C">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w:t>
      </w:r>
      <w:r>
        <w:rPr>
          <w:rFonts w:hint="eastAsia" w:ascii="仿宋" w:hAnsi="仿宋" w:eastAsia="仿宋" w:cs="仿宋"/>
          <w:b/>
          <w:szCs w:val="24"/>
          <w:highlight w:val="none"/>
          <w:lang w:val="en-US" w:eastAsia="zh-CN"/>
        </w:rPr>
        <w:t>六</w:t>
      </w:r>
      <w:r>
        <w:rPr>
          <w:rFonts w:hint="eastAsia" w:ascii="仿宋" w:hAnsi="仿宋" w:eastAsia="仿宋" w:cs="仿宋"/>
          <w:b/>
          <w:szCs w:val="24"/>
          <w:highlight w:val="none"/>
        </w:rPr>
        <w:t>、合同争议的解决</w:t>
      </w:r>
    </w:p>
    <w:p w14:paraId="14F64B1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合同执行中发生争议的，当事人双方应协商解决。协商达不成一致时，可向当地行政仲裁机关申请仲裁。</w:t>
      </w:r>
    </w:p>
    <w:p w14:paraId="552A390D">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w:t>
      </w:r>
      <w:r>
        <w:rPr>
          <w:rFonts w:hint="eastAsia" w:ascii="仿宋" w:hAnsi="仿宋" w:eastAsia="仿宋" w:cs="仿宋"/>
          <w:b/>
          <w:bCs/>
          <w:szCs w:val="24"/>
          <w:highlight w:val="none"/>
          <w:lang w:val="en-US" w:eastAsia="zh-CN"/>
        </w:rPr>
        <w:t>七</w:t>
      </w:r>
      <w:r>
        <w:rPr>
          <w:rFonts w:hint="eastAsia" w:ascii="仿宋" w:hAnsi="仿宋" w:eastAsia="仿宋" w:cs="仿宋"/>
          <w:b/>
          <w:bCs/>
          <w:szCs w:val="24"/>
          <w:highlight w:val="none"/>
        </w:rPr>
        <w:t>、不可抗力情况下的免责约定</w:t>
      </w:r>
    </w:p>
    <w:p w14:paraId="1BAD05C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双方约定不可抗力情况指：双方不可预见、不可避免、不可克服的客观情况，但不包括双方的违约或疏忽。这些事件包括但不限于：战争、严重火灾、洪水、台风、地震、疫情等。</w:t>
      </w:r>
    </w:p>
    <w:p w14:paraId="6054C17A">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w:t>
      </w:r>
      <w:r>
        <w:rPr>
          <w:rFonts w:hint="eastAsia" w:ascii="仿宋" w:hAnsi="仿宋" w:eastAsia="仿宋" w:cs="仿宋"/>
          <w:b/>
          <w:szCs w:val="24"/>
          <w:highlight w:val="none"/>
          <w:lang w:val="en-US" w:eastAsia="zh-CN"/>
        </w:rPr>
        <w:t>八</w:t>
      </w:r>
      <w:r>
        <w:rPr>
          <w:rFonts w:hint="eastAsia" w:ascii="仿宋" w:hAnsi="仿宋" w:eastAsia="仿宋" w:cs="仿宋"/>
          <w:b/>
          <w:szCs w:val="24"/>
          <w:highlight w:val="none"/>
        </w:rPr>
        <w:t>、违约责任</w:t>
      </w:r>
    </w:p>
    <w:p w14:paraId="794A9C5E">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14:paraId="44D3EBD2">
      <w:pPr>
        <w:spacing w:line="360" w:lineRule="auto"/>
        <w:rPr>
          <w:rFonts w:hint="eastAsia" w:ascii="仿宋" w:hAnsi="仿宋" w:eastAsia="仿宋" w:cs="仿宋"/>
          <w:szCs w:val="24"/>
          <w:highlight w:val="none"/>
        </w:rPr>
      </w:pPr>
      <w:r>
        <w:rPr>
          <w:rFonts w:hint="eastAsia" w:ascii="仿宋" w:hAnsi="仿宋" w:eastAsia="仿宋" w:cs="仿宋"/>
          <w:b/>
          <w:szCs w:val="24"/>
          <w:highlight w:val="none"/>
        </w:rPr>
        <w:t>十</w:t>
      </w:r>
      <w:r>
        <w:rPr>
          <w:rFonts w:hint="eastAsia" w:ascii="仿宋" w:hAnsi="仿宋" w:eastAsia="仿宋" w:cs="仿宋"/>
          <w:b/>
          <w:szCs w:val="24"/>
          <w:highlight w:val="none"/>
          <w:lang w:val="en-US" w:eastAsia="zh-CN"/>
        </w:rPr>
        <w:t>九</w:t>
      </w:r>
      <w:r>
        <w:rPr>
          <w:rFonts w:hint="eastAsia" w:ascii="仿宋" w:hAnsi="仿宋" w:eastAsia="仿宋" w:cs="仿宋"/>
          <w:b/>
          <w:szCs w:val="24"/>
          <w:highlight w:val="none"/>
        </w:rPr>
        <w:t>、其他（</w:t>
      </w:r>
      <w:r>
        <w:rPr>
          <w:rFonts w:hint="eastAsia" w:ascii="仿宋" w:hAnsi="仿宋" w:eastAsia="仿宋" w:cs="仿宋"/>
          <w:szCs w:val="24"/>
          <w:highlight w:val="none"/>
        </w:rPr>
        <w:t>在合同中具体明确）</w:t>
      </w:r>
    </w:p>
    <w:p w14:paraId="4C888F0B">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二十、合同订立</w:t>
      </w:r>
    </w:p>
    <w:p w14:paraId="02FA2300">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1.订立时间：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2E1B8E6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2.订立地点：</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1289B86A">
      <w:pPr>
        <w:tabs>
          <w:tab w:val="left" w:pos="980"/>
        </w:tabs>
        <w:kinsoku w:val="0"/>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3.本合同一式</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份，具有同等法律效力，双方各执</w:t>
      </w:r>
      <w:r>
        <w:rPr>
          <w:rFonts w:hint="eastAsia" w:ascii="仿宋" w:hAnsi="仿宋" w:eastAsia="仿宋" w:cs="仿宋"/>
          <w:szCs w:val="24"/>
          <w:highlight w:val="none"/>
          <w:u w:val="single"/>
        </w:rPr>
        <w:t>贰</w:t>
      </w:r>
      <w:r>
        <w:rPr>
          <w:rFonts w:hint="eastAsia" w:ascii="仿宋" w:hAnsi="仿宋" w:eastAsia="仿宋" w:cs="仿宋"/>
          <w:szCs w:val="24"/>
          <w:highlight w:val="none"/>
        </w:rPr>
        <w:t>份采购代理机构存档</w:t>
      </w:r>
      <w:r>
        <w:rPr>
          <w:rFonts w:hint="eastAsia" w:ascii="仿宋" w:hAnsi="仿宋" w:eastAsia="仿宋" w:cs="仿宋"/>
          <w:szCs w:val="24"/>
          <w:highlight w:val="none"/>
          <w:u w:val="single"/>
        </w:rPr>
        <w:t>壹</w:t>
      </w:r>
      <w:r>
        <w:rPr>
          <w:rFonts w:hint="eastAsia" w:ascii="仿宋" w:hAnsi="仿宋" w:eastAsia="仿宋" w:cs="仿宋"/>
          <w:szCs w:val="24"/>
          <w:highlight w:val="none"/>
        </w:rPr>
        <w:t>份。各方签字盖章后生效，合同执行完毕自动失效。（合同的服务承诺则长期有效）。</w:t>
      </w:r>
    </w:p>
    <w:p w14:paraId="32FD62A7">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（以下无正文）</w:t>
      </w:r>
    </w:p>
    <w:p w14:paraId="29F3C78F">
      <w:pPr>
        <w:spacing w:line="360" w:lineRule="auto"/>
        <w:ind w:firstLine="480" w:firstLineChars="200"/>
        <w:rPr>
          <w:rFonts w:hint="eastAsia" w:ascii="仿宋" w:hAnsi="仿宋" w:eastAsia="仿宋" w:cs="仿宋"/>
          <w:szCs w:val="24"/>
          <w:highlight w:val="none"/>
        </w:rPr>
      </w:pPr>
    </w:p>
    <w:p w14:paraId="3270C44F">
      <w:pPr>
        <w:spacing w:line="360" w:lineRule="auto"/>
        <w:rPr>
          <w:rFonts w:hint="eastAsia" w:ascii="仿宋" w:hAnsi="仿宋" w:eastAsia="仿宋" w:cs="仿宋"/>
          <w:szCs w:val="24"/>
          <w:highlight w:val="none"/>
        </w:rPr>
      </w:pPr>
    </w:p>
    <w:p w14:paraId="26FFE6B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br w:type="page"/>
      </w:r>
    </w:p>
    <w:p w14:paraId="28BB14E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采购人：</w:t>
      </w:r>
      <w:r>
        <w:rPr>
          <w:rFonts w:hint="eastAsia" w:ascii="仿宋" w:hAnsi="仿宋" w:eastAsia="仿宋" w:cs="仿宋"/>
          <w:szCs w:val="24"/>
          <w:highlight w:val="none"/>
          <w:u w:val="single"/>
        </w:rPr>
        <w:t xml:space="preserve">   （盖章）      </w:t>
      </w: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使用方</w:t>
      </w:r>
      <w:r>
        <w:rPr>
          <w:rFonts w:hint="eastAsia" w:ascii="仿宋" w:hAnsi="仿宋" w:eastAsia="仿宋" w:cs="仿宋"/>
          <w:szCs w:val="24"/>
          <w:highlight w:val="none"/>
        </w:rPr>
        <w:t>：</w:t>
      </w:r>
      <w:r>
        <w:rPr>
          <w:rFonts w:hint="eastAsia" w:ascii="仿宋" w:hAnsi="仿宋" w:eastAsia="仿宋" w:cs="仿宋"/>
          <w:szCs w:val="24"/>
          <w:highlight w:val="none"/>
          <w:u w:val="single"/>
        </w:rPr>
        <w:t xml:space="preserve">   （盖章）         </w:t>
      </w:r>
    </w:p>
    <w:p w14:paraId="70AD8DB4">
      <w:pPr>
        <w:spacing w:line="360" w:lineRule="auto"/>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 xml:space="preserve">地 址：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地  址：</w:t>
      </w:r>
      <w:r>
        <w:rPr>
          <w:rFonts w:hint="eastAsia" w:ascii="仿宋" w:hAnsi="仿宋" w:eastAsia="仿宋" w:cs="仿宋"/>
          <w:szCs w:val="24"/>
          <w:highlight w:val="none"/>
          <w:u w:val="single"/>
        </w:rPr>
        <w:t xml:space="preserve">                    </w:t>
      </w:r>
    </w:p>
    <w:p w14:paraId="387B0179">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邮政编码：</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邮政编码：</w:t>
      </w:r>
      <w:r>
        <w:rPr>
          <w:rFonts w:hint="eastAsia" w:ascii="仿宋" w:hAnsi="仿宋" w:eastAsia="仿宋" w:cs="仿宋"/>
          <w:szCs w:val="24"/>
          <w:highlight w:val="none"/>
          <w:u w:val="single"/>
        </w:rPr>
        <w:t xml:space="preserve">                   </w:t>
      </w:r>
    </w:p>
    <w:p w14:paraId="1B5723C8">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 xml:space="preserve">法定代表人或其授权                   法定代表人或其授权 </w:t>
      </w:r>
    </w:p>
    <w:p w14:paraId="3F8B4B3B">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的代理人：</w:t>
      </w:r>
      <w:r>
        <w:rPr>
          <w:rFonts w:hint="eastAsia" w:ascii="仿宋" w:hAnsi="仿宋" w:eastAsia="仿宋" w:cs="仿宋"/>
          <w:szCs w:val="24"/>
          <w:highlight w:val="none"/>
          <w:u w:val="single"/>
        </w:rPr>
        <w:t xml:space="preserve">（签字）      </w:t>
      </w:r>
      <w:r>
        <w:rPr>
          <w:rFonts w:hint="eastAsia" w:ascii="仿宋" w:hAnsi="仿宋" w:eastAsia="仿宋" w:cs="仿宋"/>
          <w:szCs w:val="24"/>
          <w:highlight w:val="none"/>
        </w:rPr>
        <w:t xml:space="preserve">             的代理人：</w:t>
      </w:r>
      <w:r>
        <w:rPr>
          <w:rFonts w:hint="eastAsia" w:ascii="仿宋" w:hAnsi="仿宋" w:eastAsia="仿宋" w:cs="仿宋"/>
          <w:szCs w:val="24"/>
          <w:highlight w:val="none"/>
          <w:u w:val="single"/>
        </w:rPr>
        <w:t xml:space="preserve">（签字）           </w:t>
      </w:r>
    </w:p>
    <w:p w14:paraId="652D8152">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开户银行：</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开户银行：</w:t>
      </w:r>
      <w:r>
        <w:rPr>
          <w:rFonts w:hint="eastAsia" w:ascii="仿宋" w:hAnsi="仿宋" w:eastAsia="仿宋" w:cs="仿宋"/>
          <w:szCs w:val="24"/>
          <w:highlight w:val="none"/>
          <w:u w:val="single"/>
        </w:rPr>
        <w:t xml:space="preserve">                   </w:t>
      </w:r>
    </w:p>
    <w:p w14:paraId="2B8A0D9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账号：</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账号：</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w:t>
      </w:r>
    </w:p>
    <w:p w14:paraId="73C0246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电话：</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电话：</w:t>
      </w:r>
      <w:r>
        <w:rPr>
          <w:rFonts w:hint="eastAsia" w:ascii="仿宋" w:hAnsi="仿宋" w:eastAsia="仿宋" w:cs="仿宋"/>
          <w:szCs w:val="24"/>
          <w:highlight w:val="none"/>
          <w:u w:val="single"/>
        </w:rPr>
        <w:t xml:space="preserve">                       </w:t>
      </w:r>
    </w:p>
    <w:p w14:paraId="092835D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传真：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传真：</w:t>
      </w:r>
      <w:r>
        <w:rPr>
          <w:rFonts w:hint="eastAsia" w:ascii="仿宋" w:hAnsi="仿宋" w:eastAsia="仿宋" w:cs="仿宋"/>
          <w:szCs w:val="24"/>
          <w:highlight w:val="none"/>
          <w:u w:val="single"/>
        </w:rPr>
        <w:t xml:space="preserve">                       </w:t>
      </w:r>
    </w:p>
    <w:p w14:paraId="06A28667">
      <w:pPr>
        <w:spacing w:line="360" w:lineRule="auto"/>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电子邮箱：</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电子邮箱：</w:t>
      </w:r>
      <w:r>
        <w:rPr>
          <w:rFonts w:hint="eastAsia" w:ascii="仿宋" w:hAnsi="仿宋" w:eastAsia="仿宋" w:cs="仿宋"/>
          <w:szCs w:val="24"/>
          <w:highlight w:val="none"/>
          <w:u w:val="single"/>
        </w:rPr>
        <w:t xml:space="preserve">                   </w:t>
      </w:r>
    </w:p>
    <w:p w14:paraId="453C2B49">
      <w:pPr>
        <w:spacing w:before="166" w:beforeLines="50" w:after="120"/>
        <w:jc w:val="left"/>
        <w:outlineLvl w:val="9"/>
        <w:rPr>
          <w:rFonts w:hint="eastAsia" w:ascii="仿宋" w:hAnsi="仿宋" w:eastAsia="仿宋" w:cs="仿宋"/>
          <w:b/>
          <w:sz w:val="21"/>
          <w:szCs w:val="21"/>
          <w:highlight w:val="none"/>
        </w:rPr>
      </w:pPr>
    </w:p>
    <w:p w14:paraId="57D5A2C6">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lang w:val="en-US" w:eastAsia="zh-CN"/>
        </w:rPr>
        <w:t>供应商</w:t>
      </w:r>
      <w:r>
        <w:rPr>
          <w:rFonts w:hint="eastAsia" w:ascii="仿宋" w:hAnsi="仿宋" w:eastAsia="仿宋" w:cs="仿宋"/>
          <w:szCs w:val="24"/>
          <w:highlight w:val="none"/>
        </w:rPr>
        <w:t>：</w:t>
      </w:r>
      <w:r>
        <w:rPr>
          <w:rFonts w:hint="eastAsia" w:ascii="仿宋" w:hAnsi="仿宋" w:eastAsia="仿宋" w:cs="仿宋"/>
          <w:szCs w:val="24"/>
          <w:highlight w:val="none"/>
          <w:u w:val="single"/>
        </w:rPr>
        <w:t xml:space="preserve">   （盖章）      </w:t>
      </w:r>
      <w:r>
        <w:rPr>
          <w:rFonts w:hint="eastAsia" w:ascii="仿宋" w:hAnsi="仿宋" w:eastAsia="仿宋" w:cs="仿宋"/>
          <w:szCs w:val="24"/>
          <w:highlight w:val="none"/>
        </w:rPr>
        <w:t xml:space="preserve">            </w:t>
      </w:r>
    </w:p>
    <w:p w14:paraId="55BDD314">
      <w:pPr>
        <w:spacing w:line="360" w:lineRule="auto"/>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 xml:space="preserve">地 址：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w:t>
      </w:r>
    </w:p>
    <w:p w14:paraId="39FE296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邮政编码：</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w:t>
      </w:r>
    </w:p>
    <w:p w14:paraId="43C1B769">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 xml:space="preserve">法定代表人或其授权                   </w:t>
      </w:r>
    </w:p>
    <w:p w14:paraId="4F91325E">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的代理人：</w:t>
      </w:r>
      <w:r>
        <w:rPr>
          <w:rFonts w:hint="eastAsia" w:ascii="仿宋" w:hAnsi="仿宋" w:eastAsia="仿宋" w:cs="仿宋"/>
          <w:szCs w:val="24"/>
          <w:highlight w:val="none"/>
          <w:u w:val="single"/>
        </w:rPr>
        <w:t xml:space="preserve">（签字）      </w:t>
      </w:r>
      <w:r>
        <w:rPr>
          <w:rFonts w:hint="eastAsia" w:ascii="仿宋" w:hAnsi="仿宋" w:eastAsia="仿宋" w:cs="仿宋"/>
          <w:szCs w:val="24"/>
          <w:highlight w:val="none"/>
        </w:rPr>
        <w:t xml:space="preserve">             </w:t>
      </w:r>
    </w:p>
    <w:p w14:paraId="57A2F8F0">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开户银行：</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w:t>
      </w:r>
    </w:p>
    <w:p w14:paraId="7B3FF3BE">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账号：</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w:t>
      </w:r>
    </w:p>
    <w:p w14:paraId="6910845F">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电话：</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w:t>
      </w:r>
    </w:p>
    <w:p w14:paraId="3730D5EF">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传真：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w:t>
      </w:r>
    </w:p>
    <w:p w14:paraId="212A606C">
      <w:pPr>
        <w:bidi w:val="0"/>
        <w:ind w:firstLine="422" w:firstLineChars="200"/>
        <w:jc w:val="left"/>
        <w:rPr>
          <w:rFonts w:hint="eastAsia" w:ascii="仿宋" w:hAnsi="仿宋" w:eastAsia="仿宋" w:cs="仿宋"/>
          <w:b/>
          <w:sz w:val="21"/>
          <w:szCs w:val="21"/>
          <w:highlight w:val="none"/>
        </w:rPr>
      </w:pPr>
      <w:r>
        <w:rPr>
          <w:rFonts w:hint="eastAsia" w:ascii="仿宋" w:hAnsi="仿宋" w:eastAsia="仿宋" w:cs="仿宋"/>
          <w:b/>
          <w:sz w:val="21"/>
          <w:szCs w:val="21"/>
          <w:highlight w:val="none"/>
        </w:rPr>
        <w:br w:type="page"/>
      </w:r>
      <w:r>
        <w:rPr>
          <w:rFonts w:hint="eastAsia" w:ascii="仿宋" w:hAnsi="仿宋" w:eastAsia="仿宋" w:cs="仿宋"/>
          <w:bCs/>
          <w:sz w:val="21"/>
          <w:szCs w:val="21"/>
          <w:highlight w:val="none"/>
        </w:rPr>
        <w:t>附件1：</w:t>
      </w:r>
    </w:p>
    <w:p w14:paraId="4B03B4A5">
      <w:pPr>
        <w:spacing w:after="120"/>
        <w:jc w:val="center"/>
        <w:outlineLvl w:val="9"/>
        <w:rPr>
          <w:rFonts w:hint="eastAsia" w:ascii="仿宋" w:hAnsi="仿宋" w:eastAsia="仿宋" w:cs="仿宋"/>
          <w:sz w:val="21"/>
          <w:szCs w:val="21"/>
          <w:highlight w:val="none"/>
        </w:rPr>
      </w:pPr>
      <w:r>
        <w:rPr>
          <w:rFonts w:hint="eastAsia" w:ascii="仿宋" w:hAnsi="仿宋" w:eastAsia="仿宋" w:cs="仿宋"/>
          <w:b/>
          <w:sz w:val="21"/>
          <w:szCs w:val="21"/>
          <w:highlight w:val="none"/>
        </w:rPr>
        <w:t>供货内容一览表</w:t>
      </w:r>
    </w:p>
    <w:tbl>
      <w:tblPr>
        <w:tblStyle w:val="4"/>
        <w:tblW w:w="9543"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911"/>
        <w:gridCol w:w="1079"/>
        <w:gridCol w:w="1794"/>
        <w:gridCol w:w="1378"/>
        <w:gridCol w:w="997"/>
        <w:gridCol w:w="1125"/>
        <w:gridCol w:w="1237"/>
        <w:gridCol w:w="1022"/>
      </w:tblGrid>
      <w:tr w14:paraId="65DBFCB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center"/>
          </w:tcPr>
          <w:p w14:paraId="1B5BC197">
            <w:pPr>
              <w:jc w:val="center"/>
              <w:rPr>
                <w:rFonts w:hint="eastAsia" w:ascii="仿宋" w:hAnsi="仿宋" w:eastAsia="仿宋" w:cs="仿宋"/>
                <w:b/>
                <w:sz w:val="21"/>
                <w:szCs w:val="21"/>
                <w:highlight w:val="none"/>
              </w:rPr>
            </w:pPr>
            <w:r>
              <w:rPr>
                <w:rFonts w:hint="eastAsia" w:ascii="仿宋" w:hAnsi="仿宋" w:eastAsia="仿宋" w:cs="仿宋"/>
                <w:b/>
                <w:sz w:val="21"/>
                <w:szCs w:val="21"/>
                <w:highlight w:val="none"/>
              </w:rPr>
              <w:t>序号</w:t>
            </w:r>
          </w:p>
        </w:tc>
        <w:tc>
          <w:tcPr>
            <w:tcW w:w="1079" w:type="dxa"/>
            <w:noWrap w:val="0"/>
            <w:vAlign w:val="center"/>
          </w:tcPr>
          <w:p w14:paraId="1D7C7AE7">
            <w:pPr>
              <w:jc w:val="center"/>
              <w:rPr>
                <w:rFonts w:hint="eastAsia" w:ascii="仿宋" w:hAnsi="仿宋" w:eastAsia="仿宋" w:cs="仿宋"/>
                <w:b/>
                <w:sz w:val="21"/>
                <w:szCs w:val="21"/>
                <w:highlight w:val="none"/>
              </w:rPr>
            </w:pPr>
            <w:r>
              <w:rPr>
                <w:rFonts w:hint="eastAsia" w:ascii="仿宋" w:hAnsi="仿宋" w:eastAsia="仿宋" w:cs="仿宋"/>
                <w:b/>
                <w:sz w:val="21"/>
                <w:szCs w:val="21"/>
                <w:highlight w:val="none"/>
              </w:rPr>
              <w:t>名称</w:t>
            </w:r>
          </w:p>
        </w:tc>
        <w:tc>
          <w:tcPr>
            <w:tcW w:w="1794" w:type="dxa"/>
            <w:tcBorders>
              <w:right w:val="single" w:color="auto" w:sz="4" w:space="0"/>
            </w:tcBorders>
            <w:noWrap w:val="0"/>
            <w:vAlign w:val="center"/>
          </w:tcPr>
          <w:p w14:paraId="111947AC">
            <w:pPr>
              <w:pStyle w:val="2"/>
              <w:spacing w:before="0" w:after="0"/>
              <w:ind w:left="0"/>
              <w:jc w:val="center"/>
              <w:outlineLvl w:val="1"/>
              <w:rPr>
                <w:rFonts w:hint="eastAsia" w:ascii="仿宋" w:hAnsi="仿宋" w:eastAsia="仿宋" w:cs="仿宋"/>
                <w:sz w:val="21"/>
                <w:szCs w:val="21"/>
                <w:highlight w:val="none"/>
              </w:rPr>
            </w:pPr>
            <w:bookmarkStart w:id="1" w:name="_Toc30762"/>
            <w:r>
              <w:rPr>
                <w:rFonts w:hint="eastAsia" w:ascii="仿宋" w:hAnsi="仿宋" w:eastAsia="仿宋" w:cs="仿宋"/>
                <w:sz w:val="21"/>
                <w:szCs w:val="21"/>
                <w:highlight w:val="none"/>
              </w:rPr>
              <w:t>品牌、规格及型号</w:t>
            </w:r>
            <w:bookmarkEnd w:id="1"/>
          </w:p>
        </w:tc>
        <w:tc>
          <w:tcPr>
            <w:tcW w:w="1378" w:type="dxa"/>
            <w:tcBorders>
              <w:left w:val="single" w:color="auto" w:sz="4" w:space="0"/>
            </w:tcBorders>
            <w:noWrap w:val="0"/>
            <w:vAlign w:val="center"/>
          </w:tcPr>
          <w:p w14:paraId="7D2E1C9B">
            <w:pPr>
              <w:pStyle w:val="2"/>
              <w:spacing w:before="0" w:after="0"/>
              <w:ind w:left="0"/>
              <w:jc w:val="center"/>
              <w:outlineLvl w:val="1"/>
              <w:rPr>
                <w:rFonts w:hint="eastAsia" w:ascii="仿宋" w:hAnsi="仿宋" w:eastAsia="仿宋" w:cs="仿宋"/>
                <w:sz w:val="21"/>
                <w:szCs w:val="21"/>
                <w:highlight w:val="none"/>
              </w:rPr>
            </w:pPr>
            <w:bookmarkStart w:id="2" w:name="_Toc438"/>
            <w:r>
              <w:rPr>
                <w:rFonts w:hint="eastAsia" w:ascii="仿宋" w:hAnsi="仿宋" w:eastAsia="仿宋" w:cs="仿宋"/>
                <w:sz w:val="21"/>
                <w:szCs w:val="21"/>
                <w:highlight w:val="none"/>
              </w:rPr>
              <w:t>原产地及制造厂名</w:t>
            </w:r>
            <w:bookmarkEnd w:id="2"/>
          </w:p>
        </w:tc>
        <w:tc>
          <w:tcPr>
            <w:tcW w:w="997" w:type="dxa"/>
            <w:tcBorders>
              <w:right w:val="single" w:color="auto" w:sz="4" w:space="0"/>
            </w:tcBorders>
            <w:noWrap w:val="0"/>
            <w:vAlign w:val="center"/>
          </w:tcPr>
          <w:p w14:paraId="3AA48C9B">
            <w:pPr>
              <w:pStyle w:val="2"/>
              <w:spacing w:before="0" w:after="0"/>
              <w:ind w:left="0"/>
              <w:jc w:val="center"/>
              <w:outlineLvl w:val="1"/>
              <w:rPr>
                <w:rFonts w:hint="eastAsia" w:ascii="仿宋" w:hAnsi="仿宋" w:eastAsia="仿宋" w:cs="仿宋"/>
                <w:sz w:val="21"/>
                <w:szCs w:val="21"/>
                <w:highlight w:val="none"/>
              </w:rPr>
            </w:pPr>
            <w:bookmarkStart w:id="3" w:name="_Toc15015"/>
            <w:r>
              <w:rPr>
                <w:rFonts w:hint="eastAsia" w:ascii="仿宋" w:hAnsi="仿宋" w:eastAsia="仿宋" w:cs="仿宋"/>
                <w:sz w:val="21"/>
                <w:szCs w:val="21"/>
                <w:highlight w:val="none"/>
              </w:rPr>
              <w:t>数量</w:t>
            </w:r>
            <w:bookmarkEnd w:id="3"/>
          </w:p>
        </w:tc>
        <w:tc>
          <w:tcPr>
            <w:tcW w:w="1125" w:type="dxa"/>
            <w:tcBorders>
              <w:left w:val="single" w:color="auto" w:sz="4" w:space="0"/>
            </w:tcBorders>
            <w:noWrap w:val="0"/>
            <w:vAlign w:val="center"/>
          </w:tcPr>
          <w:p w14:paraId="59A30888">
            <w:pPr>
              <w:pStyle w:val="2"/>
              <w:spacing w:before="0" w:after="0"/>
              <w:ind w:left="0"/>
              <w:jc w:val="center"/>
              <w:outlineLvl w:val="1"/>
              <w:rPr>
                <w:rFonts w:hint="eastAsia" w:ascii="仿宋" w:hAnsi="仿宋" w:eastAsia="仿宋" w:cs="仿宋"/>
                <w:sz w:val="21"/>
                <w:szCs w:val="21"/>
                <w:highlight w:val="none"/>
              </w:rPr>
            </w:pPr>
            <w:bookmarkStart w:id="4" w:name="_Toc31690"/>
            <w:r>
              <w:rPr>
                <w:rFonts w:hint="eastAsia" w:ascii="仿宋" w:hAnsi="仿宋" w:eastAsia="仿宋" w:cs="仿宋"/>
                <w:sz w:val="21"/>
                <w:szCs w:val="21"/>
                <w:highlight w:val="none"/>
              </w:rPr>
              <w:t>单价</w:t>
            </w:r>
            <w:bookmarkEnd w:id="4"/>
          </w:p>
          <w:p w14:paraId="70619668">
            <w:pPr>
              <w:pStyle w:val="2"/>
              <w:spacing w:before="0" w:after="0"/>
              <w:ind w:left="0"/>
              <w:jc w:val="center"/>
              <w:outlineLvl w:val="1"/>
              <w:rPr>
                <w:rFonts w:hint="eastAsia" w:ascii="仿宋" w:hAnsi="仿宋" w:eastAsia="仿宋" w:cs="仿宋"/>
                <w:sz w:val="21"/>
                <w:szCs w:val="21"/>
                <w:highlight w:val="none"/>
              </w:rPr>
            </w:pPr>
            <w:bookmarkStart w:id="5" w:name="_Toc28270"/>
            <w:r>
              <w:rPr>
                <w:rFonts w:hint="eastAsia" w:ascii="仿宋" w:hAnsi="仿宋" w:eastAsia="仿宋" w:cs="仿宋"/>
                <w:sz w:val="21"/>
                <w:szCs w:val="21"/>
                <w:highlight w:val="none"/>
              </w:rPr>
              <w:t>（元）</w:t>
            </w:r>
            <w:bookmarkEnd w:id="5"/>
          </w:p>
        </w:tc>
        <w:tc>
          <w:tcPr>
            <w:tcW w:w="1237" w:type="dxa"/>
            <w:tcBorders>
              <w:right w:val="single" w:color="auto" w:sz="4" w:space="0"/>
            </w:tcBorders>
            <w:noWrap w:val="0"/>
            <w:vAlign w:val="center"/>
          </w:tcPr>
          <w:p w14:paraId="32226E1C">
            <w:pPr>
              <w:pStyle w:val="2"/>
              <w:spacing w:before="0" w:after="0"/>
              <w:ind w:left="0"/>
              <w:jc w:val="center"/>
              <w:outlineLvl w:val="1"/>
              <w:rPr>
                <w:rFonts w:hint="eastAsia" w:ascii="仿宋" w:hAnsi="仿宋" w:eastAsia="仿宋" w:cs="仿宋"/>
                <w:sz w:val="21"/>
                <w:szCs w:val="21"/>
                <w:highlight w:val="none"/>
              </w:rPr>
            </w:pPr>
            <w:bookmarkStart w:id="6" w:name="_Toc18055"/>
            <w:r>
              <w:rPr>
                <w:rFonts w:hint="eastAsia" w:ascii="仿宋" w:hAnsi="仿宋" w:eastAsia="仿宋" w:cs="仿宋"/>
                <w:sz w:val="21"/>
                <w:szCs w:val="21"/>
                <w:highlight w:val="none"/>
              </w:rPr>
              <w:t>合价</w:t>
            </w:r>
            <w:bookmarkEnd w:id="6"/>
          </w:p>
          <w:p w14:paraId="28A6C6E4">
            <w:pPr>
              <w:pStyle w:val="2"/>
              <w:spacing w:before="0" w:after="0"/>
              <w:ind w:left="0"/>
              <w:jc w:val="center"/>
              <w:outlineLvl w:val="1"/>
              <w:rPr>
                <w:rFonts w:hint="eastAsia" w:ascii="仿宋" w:hAnsi="仿宋" w:eastAsia="仿宋" w:cs="仿宋"/>
                <w:sz w:val="21"/>
                <w:szCs w:val="21"/>
                <w:highlight w:val="none"/>
              </w:rPr>
            </w:pPr>
            <w:bookmarkStart w:id="7" w:name="_Toc30625"/>
            <w:r>
              <w:rPr>
                <w:rFonts w:hint="eastAsia" w:ascii="仿宋" w:hAnsi="仿宋" w:eastAsia="仿宋" w:cs="仿宋"/>
                <w:sz w:val="21"/>
                <w:szCs w:val="21"/>
                <w:highlight w:val="none"/>
              </w:rPr>
              <w:t>（元）</w:t>
            </w:r>
            <w:bookmarkEnd w:id="7"/>
          </w:p>
        </w:tc>
        <w:tc>
          <w:tcPr>
            <w:tcW w:w="1022" w:type="dxa"/>
            <w:noWrap w:val="0"/>
            <w:vAlign w:val="center"/>
          </w:tcPr>
          <w:p w14:paraId="271C0E0A">
            <w:pPr>
              <w:pStyle w:val="2"/>
              <w:spacing w:before="0" w:after="0"/>
              <w:ind w:left="0"/>
              <w:jc w:val="center"/>
              <w:outlineLvl w:val="1"/>
              <w:rPr>
                <w:rFonts w:hint="eastAsia" w:ascii="仿宋" w:hAnsi="仿宋" w:eastAsia="仿宋" w:cs="仿宋"/>
                <w:sz w:val="21"/>
                <w:szCs w:val="21"/>
                <w:highlight w:val="none"/>
              </w:rPr>
            </w:pPr>
            <w:bookmarkStart w:id="8" w:name="_Toc7122"/>
            <w:r>
              <w:rPr>
                <w:rFonts w:hint="eastAsia" w:ascii="仿宋" w:hAnsi="仿宋" w:eastAsia="仿宋" w:cs="仿宋"/>
                <w:sz w:val="21"/>
                <w:szCs w:val="21"/>
                <w:highlight w:val="none"/>
              </w:rPr>
              <w:t>备注</w:t>
            </w:r>
            <w:bookmarkEnd w:id="8"/>
          </w:p>
        </w:tc>
      </w:tr>
      <w:tr w14:paraId="743F93E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51ADC0BF">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20016BB0">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492DC603">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158FB81B">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76187E42">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06DF8D8C">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60DC516A">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6221C68D">
            <w:pPr>
              <w:spacing w:before="166" w:beforeLines="50" w:line="360" w:lineRule="auto"/>
              <w:jc w:val="center"/>
              <w:rPr>
                <w:rFonts w:hint="eastAsia" w:ascii="仿宋" w:hAnsi="仿宋" w:eastAsia="仿宋" w:cs="仿宋"/>
                <w:sz w:val="21"/>
                <w:szCs w:val="21"/>
                <w:highlight w:val="none"/>
              </w:rPr>
            </w:pPr>
          </w:p>
        </w:tc>
      </w:tr>
      <w:tr w14:paraId="6ADD4BB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3077301E">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14CDF53B">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496267CD">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526C7499">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175EEAB5">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5C8B5FAA">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7C5C8E68">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55121D2E">
            <w:pPr>
              <w:spacing w:before="166" w:beforeLines="50" w:line="360" w:lineRule="auto"/>
              <w:jc w:val="center"/>
              <w:rPr>
                <w:rFonts w:hint="eastAsia" w:ascii="仿宋" w:hAnsi="仿宋" w:eastAsia="仿宋" w:cs="仿宋"/>
                <w:sz w:val="21"/>
                <w:szCs w:val="21"/>
                <w:highlight w:val="none"/>
              </w:rPr>
            </w:pPr>
          </w:p>
        </w:tc>
      </w:tr>
      <w:tr w14:paraId="1037455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12861074">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31688FB6">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3D5FBD43">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3D7E145F">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34E4AF7C">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53441197">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02432C31">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4C88D58E">
            <w:pPr>
              <w:spacing w:before="166" w:beforeLines="50" w:line="360" w:lineRule="auto"/>
              <w:jc w:val="center"/>
              <w:rPr>
                <w:rFonts w:hint="eastAsia" w:ascii="仿宋" w:hAnsi="仿宋" w:eastAsia="仿宋" w:cs="仿宋"/>
                <w:sz w:val="21"/>
                <w:szCs w:val="21"/>
                <w:highlight w:val="none"/>
              </w:rPr>
            </w:pPr>
          </w:p>
        </w:tc>
      </w:tr>
      <w:tr w14:paraId="1D5E387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51E0C96F">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6E5A49FD">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7A741528">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50902991">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6DD2EAA1">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101882CA">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74C315E2">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6B7538BE">
            <w:pPr>
              <w:spacing w:before="166" w:beforeLines="50" w:line="360" w:lineRule="auto"/>
              <w:jc w:val="center"/>
              <w:rPr>
                <w:rFonts w:hint="eastAsia" w:ascii="仿宋" w:hAnsi="仿宋" w:eastAsia="仿宋" w:cs="仿宋"/>
                <w:sz w:val="21"/>
                <w:szCs w:val="21"/>
                <w:highlight w:val="none"/>
              </w:rPr>
            </w:pPr>
          </w:p>
        </w:tc>
      </w:tr>
      <w:tr w14:paraId="10B3B64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23C49AB3">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75C6797C">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192F34B9">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197B7D50">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715E36CC">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6E3AE819">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448B6015">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1B2A2F70">
            <w:pPr>
              <w:spacing w:before="166" w:beforeLines="50" w:line="360" w:lineRule="auto"/>
              <w:jc w:val="center"/>
              <w:rPr>
                <w:rFonts w:hint="eastAsia" w:ascii="仿宋" w:hAnsi="仿宋" w:eastAsia="仿宋" w:cs="仿宋"/>
                <w:sz w:val="21"/>
                <w:szCs w:val="21"/>
                <w:highlight w:val="none"/>
              </w:rPr>
            </w:pPr>
          </w:p>
        </w:tc>
      </w:tr>
      <w:tr w14:paraId="02FEC40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0BA19A84">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74428D8A">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4CFE2A2D">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5A5726EA">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108F64D5">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5A3CD029">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47987AF6">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51EF5D97">
            <w:pPr>
              <w:spacing w:before="166" w:beforeLines="50" w:line="360" w:lineRule="auto"/>
              <w:jc w:val="center"/>
              <w:rPr>
                <w:rFonts w:hint="eastAsia" w:ascii="仿宋" w:hAnsi="仿宋" w:eastAsia="仿宋" w:cs="仿宋"/>
                <w:sz w:val="21"/>
                <w:szCs w:val="21"/>
                <w:highlight w:val="none"/>
              </w:rPr>
            </w:pPr>
          </w:p>
        </w:tc>
      </w:tr>
      <w:tr w14:paraId="1978FD1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0F51B376">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08E14E6E">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19D588D1">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1334CAA8">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165A0D75">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4DB9FC04">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2F26F5C9">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50A9AFCD">
            <w:pPr>
              <w:spacing w:before="166" w:beforeLines="50" w:line="360" w:lineRule="auto"/>
              <w:jc w:val="center"/>
              <w:rPr>
                <w:rFonts w:hint="eastAsia" w:ascii="仿宋" w:hAnsi="仿宋" w:eastAsia="仿宋" w:cs="仿宋"/>
                <w:sz w:val="21"/>
                <w:szCs w:val="21"/>
                <w:highlight w:val="none"/>
              </w:rPr>
            </w:pPr>
          </w:p>
        </w:tc>
      </w:tr>
      <w:tr w14:paraId="0AE1705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7A85301C">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167C7848">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05DEFDC9">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0E65947B">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6D646496">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69D3A0EE">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5BF902CB">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4A86D45F">
            <w:pPr>
              <w:spacing w:before="166" w:beforeLines="50" w:line="360" w:lineRule="auto"/>
              <w:jc w:val="center"/>
              <w:rPr>
                <w:rFonts w:hint="eastAsia" w:ascii="仿宋" w:hAnsi="仿宋" w:eastAsia="仿宋" w:cs="仿宋"/>
                <w:sz w:val="21"/>
                <w:szCs w:val="21"/>
                <w:highlight w:val="none"/>
              </w:rPr>
            </w:pPr>
          </w:p>
        </w:tc>
      </w:tr>
      <w:tr w14:paraId="0D7A296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4B9102D3">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77FAE69D">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455C60A1">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37BE5119">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5DEA5660">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40C82C27">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28FB9A1C">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0853FDB8">
            <w:pPr>
              <w:spacing w:before="166" w:beforeLines="50" w:line="360" w:lineRule="auto"/>
              <w:jc w:val="center"/>
              <w:rPr>
                <w:rFonts w:hint="eastAsia" w:ascii="仿宋" w:hAnsi="仿宋" w:eastAsia="仿宋" w:cs="仿宋"/>
                <w:sz w:val="21"/>
                <w:szCs w:val="21"/>
                <w:highlight w:val="none"/>
              </w:rPr>
            </w:pPr>
          </w:p>
        </w:tc>
      </w:tr>
    </w:tbl>
    <w:p w14:paraId="486B581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976A6F"/>
    <w:rsid w:val="72976A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9"/>
    <w:pPr>
      <w:keepNext/>
      <w:keepLines/>
      <w:widowControl/>
      <w:spacing w:before="260" w:after="260"/>
      <w:ind w:left="284"/>
      <w:jc w:val="left"/>
      <w:outlineLvl w:val="1"/>
    </w:pPr>
    <w:rPr>
      <w:rFonts w:ascii="Arial" w:hAnsi="Arial"/>
      <w:b/>
      <w:bCs/>
      <w:sz w:val="28"/>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2025-09-02T09:29:00Z</dcterms:created>
  <dc:creator>苍白假面</dc:creator>
  <cp:lastModifiedBy>苍白假面</cp:lastModifiedBy>
  <dcterms:modified xsi:type="dcterms:W3CDTF">2025-09-02T09:30:02Z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36B1C7B1E48542CFAA0D97E529237A98_11</vt:lpwstr>
  </property>
  <property fmtid="{D5CDD505-2E9C-101B-9397-08002B2CF9AE}" pid="4" name="KSOTemplateDocerSaveRecord">
    <vt:lpwstr>eyJoZGlkIjoiY2U1ZTlkNThkYmUxMjkwM2M5Y2E1YWM0NWQ1ZjUwMDUiLCJ1c2VySWQiOiIyNzI4NDY5MDUifQ==</vt:lpwstr>
  </property>
</Properties>
</file>