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版本号：SGLQ-202504720260121001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历史数据资源库项目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SGLQ-2025047</w:t>
      </w:r>
      <w:r>
        <w:br/>
      </w:r>
      <w:r>
        <w:br/>
      </w:r>
      <w:r>
        <w:br/>
      </w:r>
    </w:p>
    <w:p>
      <w:pPr>
        <w:pStyle w:val="null3"/>
        <w:jc w:val="center"/>
        <w:outlineLvl w:val="2"/>
      </w:pPr>
      <w:r>
        <w:rPr>
          <w:rFonts w:ascii="仿宋_GB2312" w:hAnsi="仿宋_GB2312" w:cs="仿宋_GB2312" w:eastAsia="仿宋_GB2312"/>
          <w:sz w:val="28"/>
          <w:b/>
        </w:rPr>
        <w:t>西安市莲湖区财政局</w:t>
      </w:r>
    </w:p>
    <w:p>
      <w:pPr>
        <w:pStyle w:val="null3"/>
        <w:jc w:val="center"/>
        <w:outlineLvl w:val="2"/>
      </w:pPr>
      <w:r>
        <w:rPr>
          <w:rFonts w:ascii="仿宋_GB2312" w:hAnsi="仿宋_GB2312" w:cs="仿宋_GB2312" w:eastAsia="仿宋_GB2312"/>
          <w:sz w:val="28"/>
          <w:b/>
        </w:rPr>
        <w:t>陕西尚格利清项目管理有限公司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陕西尚格利清项目管理有限公司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西安市莲湖区财政局</w:t>
      </w:r>
      <w:r>
        <w:rPr>
          <w:rFonts w:ascii="仿宋_GB2312" w:hAnsi="仿宋_GB2312" w:cs="仿宋_GB2312" w:eastAsia="仿宋_GB2312"/>
        </w:rPr>
        <w:t>委托，拟对</w:t>
      </w:r>
      <w:r>
        <w:rPr>
          <w:rFonts w:ascii="仿宋_GB2312" w:hAnsi="仿宋_GB2312" w:cs="仿宋_GB2312" w:eastAsia="仿宋_GB2312"/>
        </w:rPr>
        <w:t>历史数据资源库项目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SGLQ-2025047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历史数据资源库项目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对政府采购、国库支付和总预算会计软件进行数据备份、整合、迁移，支持信创软硬件环境，满足财政部门及各预算单位的业务数据一站式查询需求。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采购包1（历史数据资源库项目）：属于专门面向中小企业采购。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根据《陕西省财政厅关于启用会计师事务所审计报告“二维码”赋码查验功能的通知（陕财办会函〔2022〕55号）》，各供应商经审计的财务会计报告需赋加“注册会计师行业统一监管平台”二维码）；</w:t>
      </w:r>
    </w:p>
    <w:p>
      <w:pPr>
        <w:pStyle w:val="null3"/>
      </w:pPr>
      <w:r>
        <w:rPr>
          <w:rFonts w:ascii="仿宋_GB2312" w:hAnsi="仿宋_GB2312" w:cs="仿宋_GB2312" w:eastAsia="仿宋_GB2312"/>
        </w:rPr>
        <w:t>3、税收缴纳证明：提供2025年7月至今已缴纳的至少一个月的纳税证明或完税证明（任意税种），依法免税的单位应提供相关证明材料；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及被授权人开标前三个月内任意一个月在本单位的社保缴纳证明），法定代表人直接参加磋商，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西安市莲湖区西梆子市街143号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029-87613371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陕西尚格利清项目管理有限公司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西安市曲江新区雁塔南路金辉环球广场C座1509室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燕工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029-89134731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不足8000元的，按8000元计取。2.支付方式：成交供应商应在领取通知书的同时，支付本项目代理服务费。收款账户如下：收款单位：陕西尚格利清项目管理有限公司；银行账号：11475000000052459；开户银行：华夏银行股份有限公司西安航天城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西安市莲湖区财政局</w:t>
      </w:r>
      <w:r>
        <w:rPr>
          <w:rFonts w:ascii="仿宋_GB2312" w:hAnsi="仿宋_GB2312" w:cs="仿宋_GB2312" w:eastAsia="仿宋_GB2312"/>
        </w:rPr>
        <w:t>和</w:t>
      </w:r>
      <w:r>
        <w:rPr>
          <w:rFonts w:ascii="仿宋_GB2312" w:hAnsi="仿宋_GB2312" w:cs="仿宋_GB2312" w:eastAsia="仿宋_GB2312"/>
        </w:rPr>
        <w:t>陕西尚格利清项目管理有限公司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西安市莲湖区财政局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陕西尚格利清项目管理有限公司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西安市莲湖区财政局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陕西尚格利清项目管理有限公司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联系人：燕工</w:t>
      </w:r>
    </w:p>
    <w:p>
      <w:pPr>
        <w:pStyle w:val="null3"/>
      </w:pPr>
      <w:r>
        <w:rPr>
          <w:rFonts w:ascii="仿宋_GB2312" w:hAnsi="仿宋_GB2312" w:cs="仿宋_GB2312" w:eastAsia="仿宋_GB2312"/>
        </w:rPr>
        <w:t>联系电话：029-89134731</w:t>
      </w:r>
    </w:p>
    <w:p>
      <w:pPr>
        <w:pStyle w:val="null3"/>
      </w:pPr>
      <w:r>
        <w:rPr>
          <w:rFonts w:ascii="仿宋_GB2312" w:hAnsi="仿宋_GB2312" w:cs="仿宋_GB2312" w:eastAsia="仿宋_GB2312"/>
        </w:rPr>
        <w:t>地址：西安市曲江新区雁塔南路金辉环球广场C座1509室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对政府采购、国库支付和总预算会计软件进行数据备份、整合、迁移，支持信创软硬件环境，满足财政部门及各预算单位的业务数据一站式查询需求。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780,000.00</w:t>
      </w:r>
    </w:p>
    <w:p>
      <w:pPr>
        <w:pStyle w:val="null3"/>
      </w:pPr>
      <w:r>
        <w:rPr>
          <w:rFonts w:ascii="仿宋_GB2312" w:hAnsi="仿宋_GB2312" w:cs="仿宋_GB2312" w:eastAsia="仿宋_GB2312"/>
        </w:rPr>
        <w:t>采购包最高限价（元）: 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历史数据资源库采购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标的名称：历史数据资源库采购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一、服务内容</w:t>
            </w:r>
          </w:p>
          <w:p>
            <w:pPr>
              <w:pStyle w:val="null3"/>
            </w:pPr>
            <w:r>
              <w:rPr>
                <w:rFonts w:ascii="仿宋_GB2312" w:hAnsi="仿宋_GB2312" w:cs="仿宋_GB2312" w:eastAsia="仿宋_GB2312"/>
              </w:rPr>
              <w:t>1.数据迁移</w:t>
            </w:r>
          </w:p>
          <w:p>
            <w:pPr>
              <w:pStyle w:val="null3"/>
            </w:pPr>
            <w:r>
              <w:rPr>
                <w:rFonts w:ascii="仿宋_GB2312" w:hAnsi="仿宋_GB2312" w:cs="仿宋_GB2312" w:eastAsia="仿宋_GB2312"/>
              </w:rPr>
              <w:t>经过数据治理形成单位标准的财政业务数据库，在标准的数据库基础之上，实现财务会计、总预算会计、预算、指标、支付、非税等财政业务一站式查询，满足用户日常查询需要。以下列举财政数据门户、财务数据一体化查询、预算一体化查询、国库支付查询。</w:t>
            </w:r>
          </w:p>
          <w:p>
            <w:pPr>
              <w:pStyle w:val="null3"/>
            </w:pPr>
            <w:r>
              <w:rPr>
                <w:rFonts w:ascii="仿宋_GB2312" w:hAnsi="仿宋_GB2312" w:cs="仿宋_GB2312" w:eastAsia="仿宋_GB2312"/>
              </w:rPr>
              <w:t>1.1.财政数据门户</w:t>
            </w:r>
          </w:p>
          <w:p>
            <w:pPr>
              <w:pStyle w:val="null3"/>
            </w:pPr>
            <w:r>
              <w:rPr>
                <w:rFonts w:ascii="仿宋_GB2312" w:hAnsi="仿宋_GB2312" w:cs="仿宋_GB2312" w:eastAsia="仿宋_GB2312"/>
              </w:rPr>
              <w:t>整合财政部门数据，形成完整财政数据资源池。</w:t>
            </w:r>
          </w:p>
          <w:p>
            <w:pPr>
              <w:pStyle w:val="null3"/>
            </w:pPr>
            <w:r>
              <w:rPr>
                <w:rFonts w:ascii="仿宋_GB2312" w:hAnsi="仿宋_GB2312" w:cs="仿宋_GB2312" w:eastAsia="仿宋_GB2312"/>
              </w:rPr>
              <w:t>财政数据门户用图表、饼状、柱状、曲线图等多种展现财政数据种类、数据量、利用情况等，也进入各个业务查询系统的入口。</w:t>
            </w:r>
          </w:p>
          <w:p>
            <w:pPr>
              <w:pStyle w:val="null3"/>
            </w:pPr>
            <w:r>
              <w:rPr>
                <w:rFonts w:ascii="仿宋_GB2312" w:hAnsi="仿宋_GB2312" w:cs="仿宋_GB2312" w:eastAsia="仿宋_GB2312"/>
              </w:rPr>
              <w:t>1.2.总预算会计系列查询系统</w:t>
            </w:r>
          </w:p>
          <w:p>
            <w:pPr>
              <w:pStyle w:val="null3"/>
            </w:pPr>
            <w:r>
              <w:rPr>
                <w:rFonts w:ascii="仿宋_GB2312" w:hAnsi="仿宋_GB2312" w:cs="仿宋_GB2312" w:eastAsia="仿宋_GB2312"/>
              </w:rPr>
              <w:t>财务数据智能综合查询平台一套，满足财务人员日常财务查询需要，同时实现财务相关各模块数据互相穿透查询。具体功能要求如下：</w:t>
            </w:r>
          </w:p>
          <w:p>
            <w:pPr>
              <w:pStyle w:val="null3"/>
            </w:pPr>
            <w:r>
              <w:rPr>
                <w:rFonts w:ascii="仿宋_GB2312" w:hAnsi="仿宋_GB2312" w:cs="仿宋_GB2312" w:eastAsia="仿宋_GB2312"/>
              </w:rPr>
              <w:t>（1）凭证查询、打印及附件上传及在线浏览功能；</w:t>
            </w:r>
          </w:p>
          <w:p>
            <w:pPr>
              <w:pStyle w:val="null3"/>
            </w:pPr>
            <w:r>
              <w:rPr>
                <w:rFonts w:ascii="仿宋_GB2312" w:hAnsi="仿宋_GB2312" w:cs="仿宋_GB2312" w:eastAsia="仿宋_GB2312"/>
              </w:rPr>
              <w:t>（2）账表查询功能：余额表、明细账、总账、日记账、辅助明细账、辅助余额表等查询功能；</w:t>
            </w:r>
          </w:p>
          <w:p>
            <w:pPr>
              <w:pStyle w:val="null3"/>
            </w:pPr>
            <w:r>
              <w:rPr>
                <w:rFonts w:ascii="仿宋_GB2312" w:hAnsi="仿宋_GB2312" w:cs="仿宋_GB2312" w:eastAsia="仿宋_GB2312"/>
              </w:rPr>
              <w:t>（3）报表管理文件管理功能，同时具有账表在线浏览功能；</w:t>
            </w:r>
          </w:p>
          <w:p>
            <w:pPr>
              <w:pStyle w:val="null3"/>
            </w:pPr>
            <w:r>
              <w:rPr>
                <w:rFonts w:ascii="仿宋_GB2312" w:hAnsi="仿宋_GB2312" w:cs="仿宋_GB2312" w:eastAsia="仿宋_GB2312"/>
              </w:rPr>
              <w:t>（4）数据管理功能，审计数据导入、导出，数据校验功能；</w:t>
            </w:r>
          </w:p>
          <w:p>
            <w:pPr>
              <w:pStyle w:val="null3"/>
            </w:pPr>
            <w:r>
              <w:rPr>
                <w:rFonts w:ascii="仿宋_GB2312" w:hAnsi="仿宋_GB2312" w:cs="仿宋_GB2312" w:eastAsia="仿宋_GB2312"/>
              </w:rPr>
              <w:t>（5）备份保管功能，保管原始数据，支持下载利用；</w:t>
            </w:r>
          </w:p>
          <w:p>
            <w:pPr>
              <w:pStyle w:val="null3"/>
            </w:pPr>
            <w:r>
              <w:rPr>
                <w:rFonts w:ascii="仿宋_GB2312" w:hAnsi="仿宋_GB2312" w:cs="仿宋_GB2312" w:eastAsia="仿宋_GB2312"/>
              </w:rPr>
              <w:t>（6）具有会计核算云数据的导入功能；</w:t>
            </w:r>
          </w:p>
          <w:p>
            <w:pPr>
              <w:pStyle w:val="null3"/>
            </w:pPr>
            <w:r>
              <w:rPr>
                <w:rFonts w:ascii="仿宋_GB2312" w:hAnsi="仿宋_GB2312" w:cs="仿宋_GB2312" w:eastAsia="仿宋_GB2312"/>
              </w:rPr>
              <w:t>（7）支持财务数据跨年度综合查询，同时支持在查询结果中进行多次查询；</w:t>
            </w:r>
          </w:p>
          <w:p>
            <w:pPr>
              <w:pStyle w:val="null3"/>
            </w:pPr>
            <w:r>
              <w:rPr>
                <w:rFonts w:ascii="仿宋_GB2312" w:hAnsi="仿宋_GB2312" w:cs="仿宋_GB2312" w:eastAsia="仿宋_GB2312"/>
              </w:rPr>
              <w:t>（8）支持财务相关数据互相穿透查询；</w:t>
            </w:r>
          </w:p>
          <w:p>
            <w:pPr>
              <w:pStyle w:val="null3"/>
            </w:pPr>
            <w:r>
              <w:rPr>
                <w:rFonts w:ascii="仿宋_GB2312" w:hAnsi="仿宋_GB2312" w:cs="仿宋_GB2312" w:eastAsia="仿宋_GB2312"/>
              </w:rPr>
              <w:t>（9）支持信创，可以在信创环境下部署;</w:t>
            </w:r>
          </w:p>
          <w:p>
            <w:pPr>
              <w:pStyle w:val="null3"/>
            </w:pPr>
            <w:r>
              <w:rPr>
                <w:rFonts w:ascii="仿宋_GB2312" w:hAnsi="仿宋_GB2312" w:cs="仿宋_GB2312" w:eastAsia="仿宋_GB2312"/>
              </w:rPr>
              <w:t>（10）拨款单查询。</w:t>
            </w:r>
          </w:p>
          <w:p>
            <w:pPr>
              <w:pStyle w:val="null3"/>
            </w:pPr>
            <w:r>
              <w:rPr>
                <w:rFonts w:ascii="仿宋_GB2312" w:hAnsi="仿宋_GB2312" w:cs="仿宋_GB2312" w:eastAsia="仿宋_GB2312"/>
              </w:rPr>
              <w:t>1.3.政府采购查询系统</w:t>
            </w:r>
          </w:p>
          <w:p>
            <w:pPr>
              <w:pStyle w:val="null3"/>
            </w:pPr>
            <w:r>
              <w:rPr>
                <w:rFonts w:ascii="仿宋_GB2312" w:hAnsi="仿宋_GB2312" w:cs="仿宋_GB2312" w:eastAsia="仿宋_GB2312"/>
              </w:rPr>
              <w:t>政府采购查询实现政府采购系统数据查询利用，主要功能包括：协议供货查询、项目采购计划、合同管理查询和采购明细查询。</w:t>
            </w:r>
          </w:p>
          <w:p>
            <w:pPr>
              <w:pStyle w:val="null3"/>
            </w:pPr>
            <w:r>
              <w:rPr>
                <w:rFonts w:ascii="仿宋_GB2312" w:hAnsi="仿宋_GB2312" w:cs="仿宋_GB2312" w:eastAsia="仿宋_GB2312"/>
              </w:rPr>
              <w:t>另外根据莲湖区财政局实际需求，定制报表及查询功能。</w:t>
            </w:r>
          </w:p>
          <w:p>
            <w:pPr>
              <w:pStyle w:val="null3"/>
            </w:pPr>
            <w:r>
              <w:rPr>
                <w:rFonts w:ascii="仿宋_GB2312" w:hAnsi="仿宋_GB2312" w:cs="仿宋_GB2312" w:eastAsia="仿宋_GB2312"/>
              </w:rPr>
              <w:t>1.4.国库支付系列查询</w:t>
            </w:r>
          </w:p>
          <w:p>
            <w:pPr>
              <w:pStyle w:val="null3"/>
            </w:pPr>
            <w:r>
              <w:rPr>
                <w:rFonts w:ascii="仿宋_GB2312" w:hAnsi="仿宋_GB2312" w:cs="仿宋_GB2312" w:eastAsia="仿宋_GB2312"/>
              </w:rPr>
              <w:t>国库集中支付查询主要是对指标、计划、支付数据查询和利用，财政端主要功能包括：</w:t>
            </w:r>
          </w:p>
          <w:p>
            <w:pPr>
              <w:pStyle w:val="null3"/>
            </w:pPr>
            <w:r>
              <w:rPr>
                <w:rFonts w:ascii="仿宋_GB2312" w:hAnsi="仿宋_GB2312" w:cs="仿宋_GB2312" w:eastAsia="仿宋_GB2312"/>
              </w:rPr>
              <w:t>（1）指标查询：指标查询、预算指标执行情况查询、预算指标分配情况。</w:t>
            </w:r>
          </w:p>
          <w:p>
            <w:pPr>
              <w:pStyle w:val="null3"/>
            </w:pPr>
            <w:r>
              <w:rPr>
                <w:rFonts w:ascii="仿宋_GB2312" w:hAnsi="仿宋_GB2312" w:cs="仿宋_GB2312" w:eastAsia="仿宋_GB2312"/>
              </w:rPr>
              <w:t>（2）计划查询：用款计划查询、计划明细查询、计划查询、计划执行情况查询、计划报表，如：旬用款查询、月度用款计划查询、季度用款查询等。</w:t>
            </w:r>
          </w:p>
          <w:p>
            <w:pPr>
              <w:pStyle w:val="null3"/>
            </w:pPr>
            <w:r>
              <w:rPr>
                <w:rFonts w:ascii="仿宋_GB2312" w:hAnsi="仿宋_GB2312" w:cs="仿宋_GB2312" w:eastAsia="仿宋_GB2312"/>
              </w:rPr>
              <w:t>（3）支付查询：支付查询、支付明细查询、支付申请汇总查询、直接支付查询、集中支付查询、支付情况汇总等。</w:t>
            </w:r>
          </w:p>
          <w:p>
            <w:pPr>
              <w:pStyle w:val="null3"/>
            </w:pPr>
            <w:r>
              <w:rPr>
                <w:rFonts w:ascii="仿宋_GB2312" w:hAnsi="仿宋_GB2312" w:cs="仿宋_GB2312" w:eastAsia="仿宋_GB2312"/>
              </w:rPr>
              <w:t>（4）查询统计，实现莲湖区财政局需要用到的各种报表，如：对账单、账簿、执行表、预算指标查询、用款计划查询、集中支付查询、指标计划支付结余查询等。</w:t>
            </w:r>
          </w:p>
          <w:p>
            <w:pPr>
              <w:pStyle w:val="null3"/>
            </w:pPr>
            <w:r>
              <w:rPr>
                <w:rFonts w:ascii="仿宋_GB2312" w:hAnsi="仿宋_GB2312" w:cs="仿宋_GB2312" w:eastAsia="仿宋_GB2312"/>
              </w:rPr>
              <w:t>（5）单位端支付查询包括：单位流水账、单位端支付流水统计表、公务卡消费明细查询、银行日记账、银行日报表。</w:t>
            </w:r>
          </w:p>
          <w:p>
            <w:pPr>
              <w:pStyle w:val="null3"/>
            </w:pPr>
            <w:r>
              <w:rPr>
                <w:rFonts w:ascii="仿宋_GB2312" w:hAnsi="仿宋_GB2312" w:cs="仿宋_GB2312" w:eastAsia="仿宋_GB2312"/>
              </w:rPr>
              <w:t>2.迁移数据范围</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主题</w:t>
                  </w:r>
                </w:p>
              </w:tc>
              <w:tc>
                <w:tcPr>
                  <w:tcW w:type="dxa" w:w="851"/>
                </w:tcPr>
                <w:p>
                  <w:pPr>
                    <w:pStyle w:val="null3"/>
                  </w:pPr>
                  <w:r>
                    <w:rPr>
                      <w:rFonts w:ascii="仿宋_GB2312" w:hAnsi="仿宋_GB2312" w:cs="仿宋_GB2312" w:eastAsia="仿宋_GB2312"/>
                    </w:rPr>
                    <w:t>查询分析内容</w:t>
                  </w:r>
                </w:p>
              </w:tc>
              <w:tc>
                <w:tcPr>
                  <w:tcW w:type="dxa" w:w="851"/>
                </w:tcPr>
                <w:p>
                  <w:pPr>
                    <w:pStyle w:val="null3"/>
                  </w:pPr>
                  <w:r>
                    <w:rPr>
                      <w:rFonts w:ascii="仿宋_GB2312" w:hAnsi="仿宋_GB2312" w:cs="仿宋_GB2312" w:eastAsia="仿宋_GB2312"/>
                    </w:rPr>
                    <w:t>数据涉及年份</w:t>
                  </w:r>
                </w:p>
              </w:tc>
            </w:tr>
            <w:tr>
              <w:tc>
                <w:tcPr>
                  <w:tcW w:type="dxa" w:w="851"/>
                </w:tcPr>
                <w:p>
                  <w:pPr>
                    <w:pStyle w:val="null3"/>
                  </w:pPr>
                  <w:r>
                    <w:rPr>
                      <w:rFonts w:ascii="仿宋_GB2312" w:hAnsi="仿宋_GB2312" w:cs="仿宋_GB2312" w:eastAsia="仿宋_GB2312"/>
                    </w:rPr>
                    <w:t>政府采购</w:t>
                  </w:r>
                </w:p>
              </w:tc>
              <w:tc>
                <w:tcPr>
                  <w:tcW w:type="dxa" w:w="851"/>
                </w:tcPr>
                <w:p>
                  <w:pPr>
                    <w:pStyle w:val="null3"/>
                  </w:pPr>
                  <w:r>
                    <w:rPr>
                      <w:rFonts w:ascii="仿宋_GB2312" w:hAnsi="仿宋_GB2312" w:cs="仿宋_GB2312" w:eastAsia="仿宋_GB2312"/>
                    </w:rPr>
                    <w:t>采购基础数据查询、采购指标查询、采购需求查询、采购合同查询、中标登记查询、采购变更、验收结算等查询。</w:t>
                  </w:r>
                </w:p>
              </w:tc>
              <w:tc>
                <w:tcPr>
                  <w:tcW w:type="dxa" w:w="851"/>
                </w:tcPr>
                <w:p>
                  <w:pPr>
                    <w:pStyle w:val="null3"/>
                  </w:pPr>
                  <w:r>
                    <w:rPr>
                      <w:rFonts w:ascii="仿宋_GB2312" w:hAnsi="仿宋_GB2312" w:cs="仿宋_GB2312" w:eastAsia="仿宋_GB2312"/>
                    </w:rPr>
                    <w:t>2015 - 2020年</w:t>
                  </w:r>
                </w:p>
              </w:tc>
            </w:tr>
            <w:tr>
              <w:tc>
                <w:tcPr>
                  <w:tcW w:type="dxa" w:w="851"/>
                </w:tcPr>
                <w:p>
                  <w:pPr>
                    <w:pStyle w:val="null3"/>
                  </w:pPr>
                  <w:r>
                    <w:rPr>
                      <w:rFonts w:ascii="仿宋_GB2312" w:hAnsi="仿宋_GB2312" w:cs="仿宋_GB2312" w:eastAsia="仿宋_GB2312"/>
                    </w:rPr>
                    <w:t>国库支付系列</w:t>
                  </w:r>
                </w:p>
              </w:tc>
              <w:tc>
                <w:tcPr>
                  <w:tcW w:type="dxa" w:w="851"/>
                </w:tcPr>
                <w:p>
                  <w:pPr>
                    <w:pStyle w:val="null3"/>
                  </w:pPr>
                  <w:r>
                    <w:rPr>
                      <w:rFonts w:ascii="仿宋_GB2312" w:hAnsi="仿宋_GB2312" w:cs="仿宋_GB2312" w:eastAsia="仿宋_GB2312"/>
                    </w:rPr>
                    <w:t>计划明细查询、支付完全查询、计划执行情况查询、公务卡消费明细查询</w:t>
                  </w:r>
                </w:p>
              </w:tc>
              <w:tc>
                <w:tcPr>
                  <w:tcW w:type="dxa" w:w="851"/>
                </w:tcPr>
                <w:p>
                  <w:pPr>
                    <w:pStyle w:val="null3"/>
                  </w:pPr>
                  <w:r>
                    <w:rPr>
                      <w:rFonts w:ascii="仿宋_GB2312" w:hAnsi="仿宋_GB2312" w:cs="仿宋_GB2312" w:eastAsia="仿宋_GB2312"/>
                    </w:rPr>
                    <w:t>2009 - 2020年</w:t>
                  </w:r>
                </w:p>
              </w:tc>
            </w:tr>
            <w:tr>
              <w:tc>
                <w:tcPr>
                  <w:tcW w:type="dxa" w:w="851"/>
                </w:tcPr>
                <w:p>
                  <w:pPr>
                    <w:pStyle w:val="null3"/>
                  </w:pPr>
                  <w:r>
                    <w:rPr>
                      <w:rFonts w:ascii="仿宋_GB2312" w:hAnsi="仿宋_GB2312" w:cs="仿宋_GB2312" w:eastAsia="仿宋_GB2312"/>
                    </w:rPr>
                    <w:t>总预算会计系列</w:t>
                  </w:r>
                </w:p>
              </w:tc>
              <w:tc>
                <w:tcPr>
                  <w:tcW w:type="dxa" w:w="851"/>
                </w:tcPr>
                <w:p>
                  <w:pPr>
                    <w:pStyle w:val="null3"/>
                  </w:pPr>
                  <w:r>
                    <w:rPr>
                      <w:rFonts w:ascii="仿宋_GB2312" w:hAnsi="仿宋_GB2312" w:cs="仿宋_GB2312" w:eastAsia="仿宋_GB2312"/>
                    </w:rPr>
                    <w:t>会计凭证（原始凭证、记账凭证）、会计账簿、财务会计报告、其他会计资料</w:t>
                  </w:r>
                </w:p>
              </w:tc>
              <w:tc>
                <w:tcPr>
                  <w:tcW w:type="dxa" w:w="851"/>
                </w:tcPr>
                <w:p>
                  <w:pPr>
                    <w:pStyle w:val="null3"/>
                  </w:pPr>
                  <w:r>
                    <w:rPr>
                      <w:rFonts w:ascii="仿宋_GB2312" w:hAnsi="仿宋_GB2312" w:cs="仿宋_GB2312" w:eastAsia="仿宋_GB2312"/>
                    </w:rPr>
                    <w:t>2007 - 2021年</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二、服务要求</w:t>
            </w:r>
          </w:p>
          <w:p>
            <w:pPr>
              <w:pStyle w:val="null3"/>
            </w:pPr>
            <w:r>
              <w:rPr>
                <w:rFonts w:ascii="仿宋_GB2312" w:hAnsi="仿宋_GB2312" w:cs="仿宋_GB2312" w:eastAsia="仿宋_GB2312"/>
              </w:rPr>
              <w:t>查询系统需采用主流的体系结构，支持跨平台、跨数据库应用，保证系统技术路线先进、可行、合理、成熟。</w:t>
            </w:r>
          </w:p>
          <w:p>
            <w:pPr>
              <w:pStyle w:val="null3"/>
            </w:pPr>
            <w:r>
              <w:rPr>
                <w:rFonts w:ascii="仿宋_GB2312" w:hAnsi="仿宋_GB2312" w:cs="仿宋_GB2312" w:eastAsia="仿宋_GB2312"/>
              </w:rPr>
              <w:t>构建系统开发和运行环境的技术核心，包括但不仅限于如下技术：</w:t>
            </w:r>
          </w:p>
          <w:p>
            <w:pPr>
              <w:pStyle w:val="null3"/>
            </w:pPr>
            <w:r>
              <w:rPr>
                <w:rFonts w:ascii="仿宋_GB2312" w:hAnsi="仿宋_GB2312" w:cs="仿宋_GB2312" w:eastAsia="仿宋_GB2312"/>
              </w:rPr>
              <w:t>（1）采用多层架构的B/S结构，兼容IE、Edge、360、谷歌等内外主流浏览器；</w:t>
            </w:r>
          </w:p>
          <w:p>
            <w:pPr>
              <w:pStyle w:val="null3"/>
            </w:pPr>
            <w:r>
              <w:rPr>
                <w:rFonts w:ascii="仿宋_GB2312" w:hAnsi="仿宋_GB2312" w:cs="仿宋_GB2312" w:eastAsia="仿宋_GB2312"/>
              </w:rPr>
              <w:t>（2）采用JAVA语言进行系统设计和开发；</w:t>
            </w:r>
          </w:p>
          <w:p>
            <w:pPr>
              <w:pStyle w:val="null3"/>
            </w:pPr>
            <w:r>
              <w:rPr>
                <w:rFonts w:ascii="仿宋_GB2312" w:hAnsi="仿宋_GB2312" w:cs="仿宋_GB2312" w:eastAsia="仿宋_GB2312"/>
              </w:rPr>
              <w:t>（3）支持Windows、Linux、统信等国内外操作系统；</w:t>
            </w:r>
          </w:p>
          <w:p>
            <w:pPr>
              <w:pStyle w:val="null3"/>
            </w:pPr>
            <w:r>
              <w:rPr>
                <w:rFonts w:ascii="仿宋_GB2312" w:hAnsi="仿宋_GB2312" w:cs="仿宋_GB2312" w:eastAsia="仿宋_GB2312"/>
              </w:rPr>
              <w:t>（4）支持Tomcat、东方通等多种国内外主流中间件；</w:t>
            </w:r>
          </w:p>
          <w:p>
            <w:pPr>
              <w:pStyle w:val="null3"/>
            </w:pPr>
            <w:r>
              <w:rPr>
                <w:rFonts w:ascii="仿宋_GB2312" w:hAnsi="仿宋_GB2312" w:cs="仿宋_GB2312" w:eastAsia="仿宋_GB2312"/>
              </w:rPr>
              <w:t>（5）支持信创软硬件环境，并能将系统直接迁移至信创软硬件环境；</w:t>
            </w:r>
          </w:p>
          <w:p>
            <w:pPr>
              <w:pStyle w:val="null3"/>
            </w:pPr>
            <w:r>
              <w:rPr>
                <w:rFonts w:ascii="仿宋_GB2312" w:hAnsi="仿宋_GB2312" w:cs="仿宋_GB2312" w:eastAsia="仿宋_GB2312"/>
              </w:rPr>
              <w:t>（6）具有会计核算云下行数据接口，并能接收会计核算云数据；</w:t>
            </w:r>
          </w:p>
          <w:p>
            <w:pPr>
              <w:pStyle w:val="null3"/>
            </w:pPr>
            <w:r>
              <w:rPr>
                <w:rFonts w:ascii="仿宋_GB2312" w:hAnsi="仿宋_GB2312" w:cs="仿宋_GB2312" w:eastAsia="仿宋_GB2312"/>
              </w:rPr>
              <w:t>（7）数据集中存放，整合使用，支持数据的可视化展示，满足业务人员对财政业务历史数据一站查询的诉求。</w:t>
            </w:r>
          </w:p>
          <w:p>
            <w:pPr>
              <w:pStyle w:val="null3"/>
            </w:pPr>
            <w:r>
              <w:rPr>
                <w:rFonts w:ascii="仿宋_GB2312" w:hAnsi="仿宋_GB2312" w:cs="仿宋_GB2312" w:eastAsia="仿宋_GB2312"/>
              </w:rPr>
              <w:t>（8）提供数据的统一共享服务，实现跨部门、跨系统的数据共享。</w:t>
            </w:r>
          </w:p>
          <w:p>
            <w:pPr>
              <w:pStyle w:val="null3"/>
            </w:pPr>
            <w:r>
              <w:rPr>
                <w:rFonts w:ascii="仿宋_GB2312" w:hAnsi="仿宋_GB2312" w:cs="仿宋_GB2312" w:eastAsia="仿宋_GB2312"/>
              </w:rPr>
              <w:t>（9）系统能够长期稳定运行，并保证执行效率；</w:t>
            </w:r>
          </w:p>
          <w:p>
            <w:pPr>
              <w:pStyle w:val="null3"/>
            </w:pPr>
            <w:r>
              <w:rPr>
                <w:rFonts w:ascii="仿宋_GB2312" w:hAnsi="仿宋_GB2312" w:cs="仿宋_GB2312" w:eastAsia="仿宋_GB2312"/>
              </w:rPr>
              <w:t>（10）系统需满足可扩展性要求，具备开放、标准的接口，能够与其他系统进行集成。同时采用模块化设计，能够灵活增减系统功能；</w:t>
            </w:r>
          </w:p>
          <w:p>
            <w:pPr>
              <w:pStyle w:val="null3"/>
            </w:pPr>
            <w:r>
              <w:rPr>
                <w:rFonts w:ascii="仿宋_GB2312" w:hAnsi="仿宋_GB2312" w:cs="仿宋_GB2312" w:eastAsia="仿宋_GB2312"/>
              </w:rPr>
              <w:t>（11）系统能够7*24小时不间断工作。</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三、商务要求</w:t>
            </w:r>
          </w:p>
          <w:p>
            <w:pPr>
              <w:pStyle w:val="null3"/>
            </w:pPr>
            <w:r>
              <w:rPr>
                <w:rFonts w:ascii="仿宋_GB2312" w:hAnsi="仿宋_GB2312" w:cs="仿宋_GB2312" w:eastAsia="仿宋_GB2312"/>
              </w:rPr>
              <w:t>1.服务地点：采购人指定地点。</w:t>
            </w:r>
          </w:p>
          <w:p>
            <w:pPr>
              <w:pStyle w:val="null3"/>
            </w:pPr>
            <w:r>
              <w:rPr>
                <w:rFonts w:ascii="仿宋_GB2312" w:hAnsi="仿宋_GB2312" w:cs="仿宋_GB2312" w:eastAsia="仿宋_GB2312"/>
              </w:rPr>
              <w:t>2.服务期：自合同签订之日起90日历日。</w:t>
            </w:r>
          </w:p>
          <w:p>
            <w:pPr>
              <w:pStyle w:val="null3"/>
            </w:pPr>
            <w:r>
              <w:rPr>
                <w:rFonts w:ascii="仿宋_GB2312" w:hAnsi="仿宋_GB2312" w:cs="仿宋_GB2312" w:eastAsia="仿宋_GB2312"/>
              </w:rPr>
              <w:t>3.成交供应商不得将项目转包或分包给第三方。</w:t>
            </w:r>
          </w:p>
          <w:p>
            <w:pPr>
              <w:pStyle w:val="null3"/>
            </w:pPr>
            <w:r>
              <w:rPr>
                <w:rFonts w:ascii="仿宋_GB2312" w:hAnsi="仿宋_GB2312" w:cs="仿宋_GB2312" w:eastAsia="仿宋_GB2312"/>
              </w:rPr>
              <w:t>4.付款方式：①合同签订后，支付合同金额的40%作为预付款；</w:t>
            </w:r>
          </w:p>
          <w:p>
            <w:pPr>
              <w:pStyle w:val="null3"/>
            </w:pPr>
            <w:r>
              <w:rPr>
                <w:rFonts w:ascii="仿宋_GB2312" w:hAnsi="仿宋_GB2312" w:cs="仿宋_GB2312" w:eastAsia="仿宋_GB2312"/>
              </w:rPr>
              <w:t>②完成所有服务内容并验收合格后，支付剩余合同价款；。</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四、其他</w:t>
            </w:r>
          </w:p>
          <w:p>
            <w:pPr>
              <w:pStyle w:val="null3"/>
            </w:pPr>
            <w:r>
              <w:rPr>
                <w:rFonts w:ascii="仿宋_GB2312" w:hAnsi="仿宋_GB2312" w:cs="仿宋_GB2312" w:eastAsia="仿宋_GB2312"/>
              </w:rPr>
              <w:t>成果交付要求：提供的服务成果符合国家的相关要求，各项相关服务成果标准达到采购人使用需求。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1.每个业务系统在验收时随机抽查不少于10组数据，要求与旧业务系统同一笔业务数据比对达到100%匹配，否则视为验收不合格，验收后出具验收报告。 2.采购人进行验收，若认为验收不合格，供应商应重新调整且进行重新验收。 3.验收依据： ①本项目磋商文件、磋商响应文件； ②本合同及附件文本； ③合同签订时国家及行业现行的标准和技术规范。 ④供应商应向采购人提交项目实施过程中的所有资料，以便采购人日后整理汇总。 4.具体验收流程按照相关验收规定和合同内容开展。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合同签订后，支付合同金额的40%作为预付款。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完成所有服务内容并验收合格后，支付剩余合同价款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2.如乙方所提供的服务内容出现瑕疵及质量问题，或乙方未按合同要求提供服务或服务不能满足合同要求，甲方有权依据《中华人民共和国民法典》有关条款及合同约定终止合同，并要求服务商承担违约责任。 3.甲乙双方应遵守合同并执行合同中的各项规定，保证合同的正常履行。 4.如碰到不可抗力因素造成无法按照原计划提供服务的，由甲乙双方协商解决。 解决争议的方法：合同执行中发生争议的，当事人双方应协商解决，协商达不成一致时，可向西安仲裁委员会申请仲裁。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1.本项目专门面向中小企业采购，供应商应为中小微企业或监狱企业或残疾人福利性单位。 2.本项目合同包1采购标的所属行业为：软件和信息技术服务业； 3.本项目是否属于信用担保试点范围：否。 4.本项目为固定总价合同。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7月至今已缴纳的至少一个月的纳税证明或完税证明（任意税种），依法免税的单位应提供相关证明材料；3.提供2025年7月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根据《陕西省财政厅关于启用会计师事务所审计报告“二维码”赋码查验功能的通知（陕财办会函〔2022〕55号）》，各供应商经审计的财务会计报告需赋加“注册会计师行业统一监管平台”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根据《陕西省财政厅关于启用会计师事务所审计报告“二维码”赋码查验功能的通知（陕财办会函〔2022〕55号）》，各供应商经审计的财务会计报告需赋加“注册会计师行业统一监管平台”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提供2025年7月至今已缴纳的至少一个月的纳税证明或完税证明（任意税种），依法免税的单位应提供相关证明材料；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法定代表人授权书（附法定代表人、被授权人身份证复印件及被授权人开标前三个月内任意一个月在本单位的社保缴纳证明），法定代表人直接参加磋商，须提供法定代表人身份证明；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业绩.docx 中小企业声明函 报价表 资格证明文件.docx 响应文件封面 残疾人福利性单位声明函 其它说明.docx 标的清单 响应函 商务条款偏离表.docx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供应商参加政府采购活动承诺书.docx 业绩.docx 中小企业声明函 报价表 资格证明文件.docx 响应文件封面 残疾人福利性单位声明函 其它说明.docx 标的清单 响应函 商务条款偏离表.docx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其它说明.docx 响应函 商务条款偏离表.docx 磋商方案.docx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提出针对于本项目的整体服务方案，方案内容包含：①服务总体计划和目标②技术实施方案③对项目的理解。 二、评审标准 1.完整性：方案须全面，对评审内容中的各项要求有详细描述及说明； 2.可实施性：切合本项目实际情况，实施步骤清晰、合理； 3.针对性：方案能够紧扣项目实际情况，内容科学合理。 三、赋分标准 ①-②项评审内容，每项评审内容每完全满足一项评审标准得2.5分，每项评审内容每有一处缺陷扣0.5分，未提供得0分，满分15分。第③项评审内容，每项评审内容每完全满足一项评审标准得2分，每项评审内容每有一处缺陷扣0.2分，未提供得0分，满分6分。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一、评审内容 针对本项目提出的进度控制方案，方案内容包含：①成果交付进度控制方案②服务期进度控制方案。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每项评审内容每完全满足一项评审标准得2分，每项评审内容每有一处缺陷扣0.2分，未提供得0分，满分12分。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一、评审内容 针对本项目提出的质量控制方案，方案内容包含：①项目整体质量控制方案②系统成果质量控制方案。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每项评审内容每完全满足一项评审标准得2分，每项评审内容每有一处缺陷扣0.2分，未提供得0分，满分12分。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应急响应</w:t>
            </w:r>
          </w:p>
        </w:tc>
        <w:tc>
          <w:tcPr>
            <w:tcW w:type="dxa" w:w="2492"/>
          </w:tcPr>
          <w:p>
            <w:pPr>
              <w:pStyle w:val="null3"/>
            </w:pPr>
            <w:r>
              <w:rPr>
                <w:rFonts w:ascii="仿宋_GB2312" w:hAnsi="仿宋_GB2312" w:cs="仿宋_GB2312" w:eastAsia="仿宋_GB2312"/>
              </w:rPr>
              <w:t>一、评审内容 针对本项目提供应急响应方案，方案内容包含：①应急处理工作流程、应用系统恢复策略、事后处理工作②应急保障等。 二、评审标准 1.完整性：方案全面，梳理出项目关键点，并给出控制策略，对评审内容中的各项要求有详细描述及说明； 2.可实施性：切合本项目实际情况，实施步骤清晰、合理； 3.针对性：方案能够紧扣项目实际情况，内容科学合理。 二、赋分标准 每项评审内容每完全满足一项评审标准得2分，每项评审内容每有一处缺陷扣0.2分，未提供得0分，满分12分。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针对本项目完善的售后服务方案，方案内容包含 ①售后服务体系、售后服务方式②售后服务团队③响应时间、人员到位情况的服务承诺。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每项评审内容每完全满足一项评审标准得1分，每项评审内容每有一处缺陷扣0.2分，未提供得0分，满分9分。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项目组人员组成</w:t>
            </w:r>
          </w:p>
        </w:tc>
        <w:tc>
          <w:tcPr>
            <w:tcW w:type="dxa" w:w="2492"/>
          </w:tcPr>
          <w:p>
            <w:pPr>
              <w:pStyle w:val="null3"/>
            </w:pPr>
            <w:r>
              <w:rPr>
                <w:rFonts w:ascii="仿宋_GB2312" w:hAnsi="仿宋_GB2312" w:cs="仿宋_GB2312" w:eastAsia="仿宋_GB2312"/>
              </w:rPr>
              <w:t>一、评审内容 针对本项目提供人员配备方案。方案包含：①管理机构及岗位职责②专业技术人员投入③人员保障措施。 二、赋分依据 评审内容齐全，方案完整且具有针对性，符合本项目实际情况得满分9分，评审内容每有一处缺陷扣0.5分，未提供得0分。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针对本项目提供保密措施和保密方案，方案内容包含：①保密措施②保密方案。 二、评审标准 1.完整性：方案全面，梳理出项目关键点，并给出控制策略，对评审内容中的各项要求有详细描述及说明； 2.可实施性：切合本项目实际情况，实施步骤清晰、合理；3、针对性：方案能够紧扣项目实际情况，内容科学合理。 二、赋分标准 每项评审内容每完全满足一项评审标准得1.5分，每项评审内容每有一处缺陷扣0.2分，未提供得0分，满分9分。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类似项目业绩，每提供1份计2分，最高得6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2.满足磋商文件实质性要求且最终报价最低的供应商的价格为磋商基准价，其价格分10分。3.磋商报价得分=（磋商基准价/最终磋商报价）×10的公式计算得分。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详见附件：西安市莲湖区财政局历史数据资源库项目.docx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