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版本号：SXXDDL-【2026】011.20260126001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莲湖区2025年城市“断头路”打通工程监理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SXXDDL-【2026】011.</w:t>
      </w:r>
      <w:r>
        <w:br/>
      </w:r>
      <w:r>
        <w:br/>
      </w:r>
      <w:r>
        <w:br/>
      </w:r>
    </w:p>
    <w:p>
      <w:pPr>
        <w:pStyle w:val="null3"/>
        <w:jc w:val="center"/>
        <w:outlineLvl w:val="2"/>
      </w:pPr>
      <w:r>
        <w:rPr>
          <w:rFonts w:ascii="仿宋_GB2312" w:hAnsi="仿宋_GB2312" w:cs="仿宋_GB2312" w:eastAsia="仿宋_GB2312"/>
          <w:sz w:val="28"/>
          <w:b/>
        </w:rPr>
        <w:t>西安市莲湖区住房和城市建设局</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西安市莲湖区住房和城市建设局</w:t>
      </w:r>
      <w:r>
        <w:rPr>
          <w:rFonts w:ascii="仿宋_GB2312" w:hAnsi="仿宋_GB2312" w:cs="仿宋_GB2312" w:eastAsia="仿宋_GB2312"/>
        </w:rPr>
        <w:t>委托，拟对</w:t>
      </w:r>
      <w:r>
        <w:rPr>
          <w:rFonts w:ascii="仿宋_GB2312" w:hAnsi="仿宋_GB2312" w:cs="仿宋_GB2312" w:eastAsia="仿宋_GB2312"/>
        </w:rPr>
        <w:t>莲湖区2025年城市“断头路”打通工程监理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SXXDDL-【2026】011.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莲湖区2025年城市“断头路”打通工程监理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区2025年城市“断头路”打通工程共涉及土门桥西巷、富力东路、八家巷二期、善学巷南延伸段4条道路，现状为土门桥西巷未打通断头路，导致沣惠南路与创新路东西不通，大桥西巷呈常态化交通拥堵；富力东路未打通断头路，导致土门桥西巷东段与昆明路南北不通，大桥西巷、土门桥西巷东段呈常态化交通拥堵；八家巷二期未打通断头路，导致西华门街与二府街南北不通，麦苋街呈常态化交通拥堵；善学巷南延伸段道路两侧用地已出售，东侧区域目前正在开发建设，现需打通断头路，完善路网结构，缓解交通压力。此项工程主要包含道路工程、雨水工程、污水工程、交通工程、照明工程、绿化工程等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采购包1（莲湖区2025年城市“断头路”打通工程监理）：属于专门面向中小企业采购。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财务报告，包括“四表一注”（即资产负债表、利润表、现金流量表、所有者权益变动表及其附注，成立时间至提交响应文件截止时间不足一年的可提供成立后任意时段的资产负债表）或在开标日期前六个月内其基本开户银行出具的资信证明（后附基本存款账户信息），以上两种形式的资料提供任何一种即可（分支机构如无法提供财务审计报告，须出具包含分支机构的财务数据的总公司财务审计报告）；事业单位零余额账户提供相应证明；（注：依据财政部、国务院国资委、金融监管总局印发《关于加强审计报告查验工作的通知》(财会(2023〕15号)报告须在注册会计师行业统一监管平台备案并由该平台赋予二维码）。</w:t>
      </w:r>
    </w:p>
    <w:p>
      <w:pPr>
        <w:pStyle w:val="null3"/>
      </w:pPr>
      <w:r>
        <w:rPr>
          <w:rFonts w:ascii="仿宋_GB2312" w:hAnsi="仿宋_GB2312" w:cs="仿宋_GB2312" w:eastAsia="仿宋_GB2312"/>
        </w:rPr>
        <w:t>3、税收缴纳证明：提供提交响应文件截止时间前六个月内至少一个月的纳税证明或完税证明，纳税证明或完税证明上应有代收机构或税务机关的公章或业务专用章。依法免税的供应商应提供相关文件证明。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4、专业技术能力承诺：供应商须提供具有履行合同所必需的设备和专业技术能力的承诺。</w:t>
      </w:r>
    </w:p>
    <w:p>
      <w:pPr>
        <w:pStyle w:val="null3"/>
      </w:pPr>
      <w:r>
        <w:rPr>
          <w:rFonts w:ascii="仿宋_GB2312" w:hAnsi="仿宋_GB2312" w:cs="仿宋_GB2312" w:eastAsia="仿宋_GB2312"/>
        </w:rPr>
        <w:t>5、社会保障资金缴纳证明：提供提交响应文件截止时间前六个月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出具参加本次政府采购活动前三年内在经营活动中没有重大违法记录（包括但不限于未被列入失信被执行人、重大税收违法案件当事人名单、政府采购严重违法失信行为记录名单）的书面声明。</w:t>
      </w:r>
    </w:p>
    <w:p>
      <w:pPr>
        <w:pStyle w:val="null3"/>
      </w:pPr>
      <w:r>
        <w:rPr>
          <w:rFonts w:ascii="仿宋_GB2312" w:hAnsi="仿宋_GB2312" w:cs="仿宋_GB2312" w:eastAsia="仿宋_GB2312"/>
        </w:rPr>
        <w:t>7、法定代表人或被授权人身份证明：供应商应授权合法的人员参加磋商全过程，法定代表人（负责人）委托代理人参加磋商时，应提供法定代表人委托授权书及被授权人近三个月内任意一个月社保证明；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8、参加本项目的潜在供应商须无不良信用记录：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pPr>
      <w:r>
        <w:rPr>
          <w:rFonts w:ascii="仿宋_GB2312" w:hAnsi="仿宋_GB2312" w:cs="仿宋_GB2312" w:eastAsia="仿宋_GB2312"/>
        </w:rPr>
        <w:t>9、供应商资质：供应商须具备建设行政主管部门颁发的工程监理综合资质或市政公用工程监理丙级及以上资质。</w:t>
      </w:r>
    </w:p>
    <w:p>
      <w:pPr>
        <w:pStyle w:val="null3"/>
      </w:pPr>
      <w:r>
        <w:rPr>
          <w:rFonts w:ascii="仿宋_GB2312" w:hAnsi="仿宋_GB2312" w:cs="仿宋_GB2312" w:eastAsia="仿宋_GB2312"/>
        </w:rPr>
        <w:t>10、项目总监：拟派项目总监理工程师须具备市政公用工程专业国家注册监理工程师资格，在本单位注册，且无在监项目。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西安市莲湖区住房和城市建设局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陕西省西安市莲湖区红埠街59号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029-87610159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郭佳佳、曹静、赵佳欢、罗雪绒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件及《国家发展改革委关于降低部分建设项目收费标准规范收费行为等有关问题的通知》发改价格[2011]534号文件规定；发改价格[2015]299号文件规定；经双方友好协商按[2002]1980号文件计取，服务费以中标金额为基数按[2002]1980号文件计费标准下浮30%计取。代理服务费不足5000元时，按照5000元计取。 请将采购代理服务费汇至下列指定账户：开户名称：陕西希地工程项目管理有限公司；开户银行：建设银行西安友谊东路支行；开户账号：61001905400052501896。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西安市莲湖区住房和城市建设局</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西安市莲湖区住房和城市建设局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西安市莲湖区住房和城市建设局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符合国家工程质量验收“合格”标准，具体详见合同约定。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联系人：郭佳佳、曹静、赵佳欢、罗雪绒</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区2025年城市“断头路”打通工程共涉及土门桥西巷、富力东路、八家巷二期、善学巷南延伸段4条道路，现状为土门桥西巷未打通断头路，导致沣惠南路与创新路东西不通，大桥西巷呈常态化交通拥堵；富力东路未打通断头路，导致土门桥西巷东段与昆明路南北不通，大桥西巷、土门桥西巷东段呈常态化交通拥堵；八家巷二期未打通断头路，导致西华门街与二府街南北不通，麦苋街呈常态化交通拥堵；善学巷南延伸段道路两侧用地已出售，东侧区域目前正在开发建设，现需打通断头路，完善路网结构，缓解交通压力。此项工程主要包含道路工程、雨水工程、污水工程、交通工程、照明工程、绿化工程等施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莲湖区2025年城市断头路打通工程监理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标的名称：莲湖区2025年城市断头路打通工程监理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jc w:val="both"/>
            </w:pPr>
            <w:r>
              <w:rPr>
                <w:rFonts w:ascii="仿宋_GB2312" w:hAnsi="仿宋_GB2312" w:cs="仿宋_GB2312" w:eastAsia="仿宋_GB2312"/>
                <w:sz w:val="20"/>
              </w:rPr>
              <w:t xml:space="preserve">    莲湖区</w:t>
            </w:r>
            <w:r>
              <w:rPr>
                <w:rFonts w:ascii="仿宋_GB2312" w:hAnsi="仿宋_GB2312" w:cs="仿宋_GB2312" w:eastAsia="仿宋_GB2312"/>
                <w:sz w:val="20"/>
              </w:rPr>
              <w:t>2025年城市“断头路”打通工程共涉及土门桥西巷、富力东路、八家巷二期、善学巷南延伸段4条道路，现状为土门桥西巷未打通断头路，导致沣惠南路与创新路东西不通，大桥西巷呈常态化交通拥堵；富力东路未打通断头路，导致土门桥西巷东段与昆明路南北不通，大桥西巷、土门桥西巷东段呈常态化交通拥堵；八家巷二期未打通断头路，导致西华门街与二府街南北不通，麦苋街呈常态化交通拥堵；善学巷南延伸段道路两侧用地已出售，东侧区域目前正在开发建设，现需打通断头路，完善路网结构，缓解交通压力。此项工程主要包含道路工程、雨水工程、污水工程、交通工程、照明工程、绿化工程等施工。</w:t>
            </w:r>
          </w:p>
          <w:p>
            <w:pPr>
              <w:pStyle w:val="null3"/>
              <w:jc w:val="both"/>
            </w:pPr>
            <w:r>
              <w:rPr>
                <w:rFonts w:ascii="仿宋_GB2312" w:hAnsi="仿宋_GB2312" w:cs="仿宋_GB2312" w:eastAsia="仿宋_GB2312"/>
                <w:sz w:val="20"/>
                <w:b/>
              </w:rPr>
              <w:t>二、服务内容</w:t>
            </w:r>
          </w:p>
          <w:p>
            <w:pPr>
              <w:pStyle w:val="null3"/>
              <w:jc w:val="both"/>
            </w:pPr>
            <w:r>
              <w:rPr>
                <w:rFonts w:ascii="仿宋_GB2312" w:hAnsi="仿宋_GB2312" w:cs="仿宋_GB2312" w:eastAsia="仿宋_GB2312"/>
                <w:sz w:val="20"/>
              </w:rPr>
              <w:t xml:space="preserve">    对莲湖区</w:t>
            </w:r>
            <w:r>
              <w:rPr>
                <w:rFonts w:ascii="仿宋_GB2312" w:hAnsi="仿宋_GB2312" w:cs="仿宋_GB2312" w:eastAsia="仿宋_GB2312"/>
                <w:sz w:val="20"/>
              </w:rPr>
              <w:t>2025年城市"断头路"打通工程涉及土门桥巷、善学巷、富力东路、八家巷二期四条道路改造项目施工进行监理服务。具体包括但不限于项目过程中的质量控制、进度控制、合同管理、变更管理、安全和文明施工管理等。</w:t>
            </w:r>
          </w:p>
          <w:p>
            <w:pPr>
              <w:pStyle w:val="null3"/>
              <w:jc w:val="both"/>
            </w:pPr>
            <w:r>
              <w:rPr>
                <w:rFonts w:ascii="仿宋_GB2312" w:hAnsi="仿宋_GB2312" w:cs="仿宋_GB2312" w:eastAsia="仿宋_GB2312"/>
                <w:sz w:val="20"/>
                <w:b/>
              </w:rPr>
              <w:t>三、技术要求</w:t>
            </w:r>
          </w:p>
          <w:p>
            <w:pPr>
              <w:pStyle w:val="null3"/>
              <w:jc w:val="both"/>
            </w:pPr>
            <w:r>
              <w:rPr>
                <w:rFonts w:ascii="仿宋_GB2312" w:hAnsi="仿宋_GB2312" w:cs="仿宋_GB2312" w:eastAsia="仿宋_GB2312"/>
                <w:sz w:val="20"/>
              </w:rPr>
              <w:t xml:space="preserve">    施工阶段监理：</w:t>
            </w:r>
          </w:p>
          <w:p>
            <w:pPr>
              <w:pStyle w:val="null3"/>
              <w:jc w:val="both"/>
            </w:pPr>
            <w:r>
              <w:rPr>
                <w:rFonts w:ascii="仿宋_GB2312" w:hAnsi="仿宋_GB2312" w:cs="仿宋_GB2312" w:eastAsia="仿宋_GB2312"/>
                <w:sz w:val="20"/>
              </w:rPr>
              <w:t xml:space="preserve">    质量控制：对施工过程进行巡视、旁站、平行检验；对进场材料、构配件和设备进行验收；对隐蔽工程、检验批、分项、分部工程进行验收；签发工程暂停令及复工令；处理质量问题和事故。</w:t>
            </w:r>
          </w:p>
          <w:p>
            <w:pPr>
              <w:pStyle w:val="null3"/>
              <w:jc w:val="both"/>
            </w:pPr>
            <w:r>
              <w:rPr>
                <w:rFonts w:ascii="仿宋_GB2312" w:hAnsi="仿宋_GB2312" w:cs="仿宋_GB2312" w:eastAsia="仿宋_GB2312"/>
                <w:sz w:val="20"/>
              </w:rPr>
              <w:t xml:space="preserve">    进度控制：审核施工总进度计划和年</w:t>
            </w:r>
            <w:r>
              <w:rPr>
                <w:rFonts w:ascii="仿宋_GB2312" w:hAnsi="仿宋_GB2312" w:cs="仿宋_GB2312" w:eastAsia="仿宋_GB2312"/>
                <w:sz w:val="20"/>
              </w:rPr>
              <w:t>/月/周进度计划；检查进度计划的实施情况，动态进行进度偏差分析与预测；主持召开进度协调会，向采购人提交进度控制报告。</w:t>
            </w:r>
          </w:p>
          <w:p>
            <w:pPr>
              <w:pStyle w:val="null3"/>
              <w:jc w:val="both"/>
            </w:pPr>
            <w:r>
              <w:rPr>
                <w:rFonts w:ascii="仿宋_GB2312" w:hAnsi="仿宋_GB2312" w:cs="仿宋_GB2312" w:eastAsia="仿宋_GB2312"/>
                <w:sz w:val="20"/>
              </w:rPr>
              <w:t xml:space="preserve">    投资（造价）控制：审核工程计量与价款支付申请；审查设计变更、工程洽商费用；处理工程索赔事宜，协助采购人进行竣工结算审核。</w:t>
            </w:r>
          </w:p>
          <w:p>
            <w:pPr>
              <w:pStyle w:val="null3"/>
              <w:jc w:val="both"/>
            </w:pPr>
            <w:r>
              <w:rPr>
                <w:rFonts w:ascii="仿宋_GB2312" w:hAnsi="仿宋_GB2312" w:cs="仿宋_GB2312" w:eastAsia="仿宋_GB2312"/>
                <w:sz w:val="20"/>
              </w:rPr>
              <w:t xml:space="preserve">    安全管理：审查施工单位的安全专项方案和应急预案；监督施工单位落实安全措施；定期组织安全检查并督促整改；对高危作业进行旁站监督。</w:t>
            </w:r>
          </w:p>
          <w:p>
            <w:pPr>
              <w:pStyle w:val="null3"/>
              <w:jc w:val="both"/>
            </w:pPr>
            <w:r>
              <w:rPr>
                <w:rFonts w:ascii="仿宋_GB2312" w:hAnsi="仿宋_GB2312" w:cs="仿宋_GB2312" w:eastAsia="仿宋_GB2312"/>
                <w:sz w:val="20"/>
              </w:rPr>
              <w:t xml:space="preserve">    合同与信息管理：监督合同的履行，处理合同争议；主持监理例会，组织专题会议；按规范收集、整理、归档所有监理资料，确保资料的真实、及时、完整。</w:t>
            </w:r>
          </w:p>
          <w:p>
            <w:pPr>
              <w:pStyle w:val="null3"/>
              <w:jc w:val="both"/>
            </w:pPr>
            <w:r>
              <w:rPr>
                <w:rFonts w:ascii="仿宋_GB2312" w:hAnsi="仿宋_GB2312" w:cs="仿宋_GB2312" w:eastAsia="仿宋_GB2312"/>
                <w:sz w:val="20"/>
              </w:rPr>
              <w:t xml:space="preserve">    文明施工与环境保护：监督施工单位落实治污减霾、扬尘治理</w:t>
            </w:r>
            <w:r>
              <w:rPr>
                <w:rFonts w:ascii="仿宋_GB2312" w:hAnsi="仿宋_GB2312" w:cs="仿宋_GB2312" w:eastAsia="仿宋_GB2312"/>
                <w:sz w:val="20"/>
              </w:rPr>
              <w:t>“六个百分百”要求；检查噪声、废弃物控制措施。</w:t>
            </w:r>
          </w:p>
          <w:p>
            <w:pPr>
              <w:pStyle w:val="null3"/>
              <w:jc w:val="both"/>
            </w:pPr>
            <w:r>
              <w:rPr>
                <w:rFonts w:ascii="仿宋_GB2312" w:hAnsi="仿宋_GB2312" w:cs="仿宋_GB2312" w:eastAsia="仿宋_GB2312"/>
                <w:sz w:val="20"/>
              </w:rPr>
              <w:t xml:space="preserve">    保修阶段监理：</w:t>
            </w:r>
          </w:p>
          <w:p>
            <w:pPr>
              <w:pStyle w:val="null3"/>
              <w:jc w:val="both"/>
            </w:pPr>
            <w:r>
              <w:rPr>
                <w:rFonts w:ascii="仿宋_GB2312" w:hAnsi="仿宋_GB2312" w:cs="仿宋_GB2312" w:eastAsia="仿宋_GB2312"/>
                <w:sz w:val="20"/>
              </w:rPr>
              <w:t xml:space="preserve">    在工程保修期内，定期进行工程回访；检查和记录工程质量缺陷；监督施工单位进行保修，并组织对修复工程进行验收。</w:t>
            </w:r>
          </w:p>
          <w:p>
            <w:pPr>
              <w:pStyle w:val="null3"/>
              <w:jc w:val="both"/>
            </w:pPr>
            <w:r>
              <w:rPr>
                <w:rFonts w:ascii="仿宋_GB2312" w:hAnsi="仿宋_GB2312" w:cs="仿宋_GB2312" w:eastAsia="仿宋_GB2312"/>
                <w:sz w:val="20"/>
                <w:b/>
              </w:rPr>
              <w:t>四、服务要求</w:t>
            </w:r>
          </w:p>
          <w:p>
            <w:pPr>
              <w:pStyle w:val="null3"/>
              <w:jc w:val="both"/>
            </w:pPr>
            <w:r>
              <w:rPr>
                <w:rFonts w:ascii="仿宋_GB2312" w:hAnsi="仿宋_GB2312" w:cs="仿宋_GB2312" w:eastAsia="仿宋_GB2312"/>
                <w:sz w:val="20"/>
              </w:rPr>
              <w:t xml:space="preserve">    1.人员配置：拟派项目总监理工程师1名，必须持有国家注册监理工程师证书（市政公用工程专业），具备中级或以上技术职称；拟派专业监理工程师及监理员数量应满足施工的监管需要，且均需持证上岗。</w:t>
            </w:r>
          </w:p>
          <w:p>
            <w:pPr>
              <w:pStyle w:val="null3"/>
              <w:jc w:val="both"/>
            </w:pPr>
            <w:r>
              <w:rPr>
                <w:rFonts w:ascii="仿宋_GB2312" w:hAnsi="仿宋_GB2312" w:cs="仿宋_GB2312" w:eastAsia="仿宋_GB2312"/>
                <w:sz w:val="20"/>
              </w:rPr>
              <w:t xml:space="preserve">    2.专业设备：监理单位在施工现场配备满足工程需要的测量仪器、检测工具、办公设备和通讯设备。</w:t>
            </w:r>
          </w:p>
          <w:p>
            <w:pPr>
              <w:pStyle w:val="null3"/>
              <w:jc w:val="both"/>
            </w:pPr>
            <w:r>
              <w:rPr>
                <w:rFonts w:ascii="仿宋_GB2312" w:hAnsi="仿宋_GB2312" w:cs="仿宋_GB2312" w:eastAsia="仿宋_GB2312"/>
                <w:sz w:val="20"/>
              </w:rPr>
              <w:t xml:space="preserve">    3.服务标准：量化考核指标。关键工序及部位旁站率达到100%。进场材料、设备验收率达到100%。监理通知单闭合率达到100%。安全生产及文明施工巡查每周至少覆盖全部作业点1次。监理资料与工程进度同步，且归档及时率达到100%。</w:t>
            </w:r>
          </w:p>
          <w:p>
            <w:pPr>
              <w:pStyle w:val="null3"/>
              <w:jc w:val="both"/>
            </w:pPr>
            <w:r>
              <w:rPr>
                <w:rFonts w:ascii="仿宋_GB2312" w:hAnsi="仿宋_GB2312" w:cs="仿宋_GB2312" w:eastAsia="仿宋_GB2312"/>
                <w:sz w:val="20"/>
                <w:b/>
              </w:rPr>
              <w:t>五、其他要求</w:t>
            </w:r>
          </w:p>
          <w:p>
            <w:pPr>
              <w:pStyle w:val="null3"/>
              <w:jc w:val="both"/>
            </w:pPr>
            <w:r>
              <w:rPr>
                <w:rFonts w:ascii="仿宋_GB2312" w:hAnsi="仿宋_GB2312" w:cs="仿宋_GB2312" w:eastAsia="仿宋_GB2312"/>
                <w:sz w:val="20"/>
              </w:rPr>
              <w:t xml:space="preserve">    （一）业绩</w:t>
            </w:r>
          </w:p>
          <w:p>
            <w:pPr>
              <w:pStyle w:val="null3"/>
              <w:jc w:val="both"/>
            </w:pPr>
            <w:r>
              <w:rPr>
                <w:rFonts w:ascii="仿宋_GB2312" w:hAnsi="仿宋_GB2312" w:cs="仿宋_GB2312" w:eastAsia="仿宋_GB2312"/>
                <w:sz w:val="20"/>
              </w:rPr>
              <w:t xml:space="preserve">    供应商提供近三年类似的服务业绩证明</w:t>
            </w:r>
            <w:r>
              <w:rPr>
                <w:rFonts w:ascii="仿宋_GB2312" w:hAnsi="仿宋_GB2312" w:cs="仿宋_GB2312" w:eastAsia="仿宋_GB2312"/>
                <w:sz w:val="20"/>
              </w:rPr>
              <w:t>(至少1项，以所附合同复印件加盖公章为准，弄虚作假者取消其成交资格)。</w:t>
            </w:r>
          </w:p>
          <w:p>
            <w:pPr>
              <w:pStyle w:val="null3"/>
              <w:jc w:val="both"/>
            </w:pPr>
            <w:r>
              <w:rPr>
                <w:rFonts w:ascii="仿宋_GB2312" w:hAnsi="仿宋_GB2312" w:cs="仿宋_GB2312" w:eastAsia="仿宋_GB2312"/>
                <w:sz w:val="20"/>
              </w:rPr>
              <w:t xml:space="preserve">    （二）</w:t>
            </w:r>
            <w:r>
              <w:rPr>
                <w:rFonts w:ascii="仿宋_GB2312" w:hAnsi="仿宋_GB2312" w:cs="仿宋_GB2312" w:eastAsia="仿宋_GB2312"/>
                <w:sz w:val="20"/>
              </w:rPr>
              <w:t>进度要求</w:t>
            </w:r>
          </w:p>
          <w:p>
            <w:pPr>
              <w:pStyle w:val="null3"/>
              <w:jc w:val="both"/>
            </w:pPr>
            <w:r>
              <w:rPr>
                <w:rFonts w:ascii="仿宋_GB2312" w:hAnsi="仿宋_GB2312" w:cs="仿宋_GB2312" w:eastAsia="仿宋_GB2312"/>
                <w:sz w:val="20"/>
              </w:rPr>
              <w:t xml:space="preserve">    进度控制技术要求</w:t>
            </w:r>
          </w:p>
          <w:p>
            <w:pPr>
              <w:pStyle w:val="null3"/>
              <w:jc w:val="both"/>
            </w:pPr>
            <w:r>
              <w:rPr>
                <w:rFonts w:ascii="仿宋_GB2312" w:hAnsi="仿宋_GB2312" w:cs="仿宋_GB2312" w:eastAsia="仿宋_GB2312"/>
                <w:sz w:val="20"/>
              </w:rPr>
              <w:t xml:space="preserve">    1.审核施工单位编制的总进度计划、阶段性进度计划和资源配置计划，提出优化建议。</w:t>
            </w:r>
          </w:p>
          <w:p>
            <w:pPr>
              <w:pStyle w:val="null3"/>
              <w:jc w:val="both"/>
            </w:pPr>
            <w:r>
              <w:rPr>
                <w:rFonts w:ascii="仿宋_GB2312" w:hAnsi="仿宋_GB2312" w:cs="仿宋_GB2312" w:eastAsia="仿宋_GB2312"/>
                <w:sz w:val="20"/>
              </w:rPr>
              <w:t xml:space="preserve">    2.定期检查实际进度与计划进度的偏差，分析原因，提出赶工措施和调整方案。</w:t>
            </w:r>
          </w:p>
          <w:p>
            <w:pPr>
              <w:pStyle w:val="null3"/>
              <w:jc w:val="both"/>
            </w:pPr>
            <w:r>
              <w:rPr>
                <w:rFonts w:ascii="仿宋_GB2312" w:hAnsi="仿宋_GB2312" w:cs="仿宋_GB2312" w:eastAsia="仿宋_GB2312"/>
                <w:sz w:val="20"/>
              </w:rPr>
              <w:t xml:space="preserve">    3.对影响进度的设计变更、施工条件变化等因素进行技术经济分析，为业主决策提供依据。</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三</w:t>
            </w:r>
            <w:r>
              <w:rPr>
                <w:rFonts w:ascii="仿宋_GB2312" w:hAnsi="仿宋_GB2312" w:cs="仿宋_GB2312" w:eastAsia="仿宋_GB2312"/>
                <w:sz w:val="20"/>
              </w:rPr>
              <w:t>）成果交付要求</w:t>
            </w:r>
          </w:p>
          <w:p>
            <w:pPr>
              <w:pStyle w:val="null3"/>
              <w:jc w:val="both"/>
            </w:pPr>
            <w:r>
              <w:rPr>
                <w:rFonts w:ascii="仿宋_GB2312" w:hAnsi="仿宋_GB2312" w:cs="仿宋_GB2312" w:eastAsia="仿宋_GB2312"/>
                <w:sz w:val="20"/>
              </w:rPr>
              <w:t xml:space="preserve">    所有监理过程中形成的文件、记录、报告等，包括但不限于《监理规划》、《监理实施细则》、监理月报、监理会议纪要、工程质量评估报告、监理工作总结以及全套归档的监理资料（纸质版及电子版）。</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四</w:t>
            </w:r>
            <w:r>
              <w:rPr>
                <w:rFonts w:ascii="仿宋_GB2312" w:hAnsi="仿宋_GB2312" w:cs="仿宋_GB2312" w:eastAsia="仿宋_GB2312"/>
                <w:sz w:val="20"/>
              </w:rPr>
              <w:t>）质量验收标准或规范</w:t>
            </w:r>
          </w:p>
          <w:p>
            <w:pPr>
              <w:pStyle w:val="null3"/>
              <w:jc w:val="both"/>
            </w:pPr>
            <w:r>
              <w:rPr>
                <w:rFonts w:ascii="仿宋_GB2312" w:hAnsi="仿宋_GB2312" w:cs="仿宋_GB2312" w:eastAsia="仿宋_GB2312"/>
                <w:sz w:val="20"/>
              </w:rPr>
              <w:t xml:space="preserve">    1.GB/T 50319-2013《建设工程监理规范》</w:t>
            </w:r>
          </w:p>
          <w:p>
            <w:pPr>
              <w:pStyle w:val="null3"/>
              <w:jc w:val="both"/>
            </w:pPr>
            <w:r>
              <w:rPr>
                <w:rFonts w:ascii="仿宋_GB2312" w:hAnsi="仿宋_GB2312" w:cs="仿宋_GB2312" w:eastAsia="仿宋_GB2312"/>
                <w:sz w:val="20"/>
              </w:rPr>
              <w:t xml:space="preserve">    2.GB 50300-20</w:t>
            </w:r>
            <w:r>
              <w:rPr>
                <w:rFonts w:ascii="仿宋_GB2312" w:hAnsi="仿宋_GB2312" w:cs="仿宋_GB2312" w:eastAsia="仿宋_GB2312"/>
                <w:sz w:val="20"/>
              </w:rPr>
              <w:t>1</w:t>
            </w:r>
            <w:r>
              <w:rPr>
                <w:rFonts w:ascii="仿宋_GB2312" w:hAnsi="仿宋_GB2312" w:cs="仿宋_GB2312" w:eastAsia="仿宋_GB2312"/>
                <w:sz w:val="20"/>
              </w:rPr>
              <w:t>3《建筑工程施工质量验收统一标准》</w:t>
            </w:r>
          </w:p>
          <w:p>
            <w:pPr>
              <w:pStyle w:val="null3"/>
              <w:jc w:val="both"/>
            </w:pPr>
            <w:r>
              <w:rPr>
                <w:rFonts w:ascii="仿宋_GB2312" w:hAnsi="仿宋_GB2312" w:cs="仿宋_GB2312" w:eastAsia="仿宋_GB2312"/>
                <w:sz w:val="20"/>
              </w:rPr>
              <w:t xml:space="preserve">    3.CJJ 1-2</w:t>
            </w:r>
            <w:r>
              <w:rPr>
                <w:rFonts w:ascii="仿宋_GB2312" w:hAnsi="仿宋_GB2312" w:cs="仿宋_GB2312" w:eastAsia="仿宋_GB2312"/>
                <w:sz w:val="20"/>
              </w:rPr>
              <w:t>008</w:t>
            </w:r>
            <w:r>
              <w:rPr>
                <w:rFonts w:ascii="仿宋_GB2312" w:hAnsi="仿宋_GB2312" w:cs="仿宋_GB2312" w:eastAsia="仿宋_GB2312"/>
                <w:sz w:val="20"/>
              </w:rPr>
              <w:t>《城镇道路工程施工与质量验收规范》</w:t>
            </w:r>
          </w:p>
          <w:p>
            <w:pPr>
              <w:pStyle w:val="null3"/>
            </w:pPr>
            <w:r>
              <w:rPr>
                <w:rFonts w:ascii="仿宋_GB2312" w:hAnsi="仿宋_GB2312" w:cs="仿宋_GB2312" w:eastAsia="仿宋_GB2312"/>
                <w:sz w:val="20"/>
              </w:rPr>
              <w:t xml:space="preserve">    4.GB 50268-2008《给水排水管道工程施工及验收规范》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拟派项目总监理工程师1名，必须持有国家注册监理工程师证书（市政公用工程专业），具备中级或以上技术职称；拟派专业监理工程师及监理员数量应满足施工的监管需要，且均需持证上岗。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监理单位在施工现场配备满足工程需要的测量仪器、检测工具、办公设备和通讯设备。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监理服务期自监理合同签订之日起，至本项目所有工程保修期满且完成最终验收之日止。（其中，施工阶段监理服务须与各条道路施工合同工期完全匹配，并确保满足项目总体进度目标要求。）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符合国家工程质量验收“合格”标准，具体详见合同约定。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项目结算审计完成后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基本开户银行出具的资信证明（后附基本存款账户信息），以上两种形式的资料提供任何一种即可（分支机构如无法提供财务审计报告，须出具包含分支机构的财务数据的总公司财务审计报告）；事业单位零余额账户提供相应证明。（注：依据财政部、国务院国资委、金融监管总局印发《关于加强审计报告查验工作的通知》(财会(2023〕15号)报告须在注册会计师行业统一监管平台备案并由该平台赋予二维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财务报告，包括“四表一注”（即资产负债表、利润表、现金流量表、所有者权益变动表及其附注，成立时间至提交响应文件截止时间不足一年的可提供成立后任意时段的资产负债表）或在开标日期前六个月内其基本开户银行出具的资信证明（后附基本存款账户信息），以上两种形式的资料提供任何一种即可（分支机构如无法提供财务审计报告，须出具包含分支机构的财务数据的总公司财务审计报告）；事业单位零余额账户提供相应证明；（注：依据财政部、国务院国资委、金融监管总局印发《关于加强审计报告查验工作的通知》(财会(2023〕15号)报告须在注册会计师行业统一监管平台备案并由该平台赋予二维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提供提交响应文件截止时间前六个月内至少一个月的纳税证明或完税证明，纳税证明或完税证明上应有代收机构或税务机关的公章或业务专用章。依法免税的供应商应提供相关文件证明。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响应文件截止时间前六个月内至少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出具参加本次政府采购活动前三年内在经营活动中没有重大违法记录（包括但不限于未被列入失信被执行人、重大税收违法案件当事人名单、政府采购严重违法失信行为记录名单）的书面声明。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供应商应授权合法的人员参加磋商全过程，法定代表人（负责人）委托代理人参加磋商时，应提供法定代表人委托授权书及被授权人近三个月内任意一个月社保证明；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供应商须具备建设行政主管部门颁发的工程监理综合资质或市政公用工程监理丙级及以上资质。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拟派项目总监理工程师须具备市政公用工程专业国家注册监理工程师资格，在本单位注册，且无在监项目。</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陕西省政府采购供应商拒绝政府采购领域商业贿赂承诺书 报价表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陕西省政府采购供应商拒绝政府采购领域商业贿赂承诺书 报价表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响应文件中技术、服务内容达不到采购要求，出现重大负偏差</w:t>
            </w:r>
          </w:p>
        </w:tc>
        <w:tc>
          <w:tcPr>
            <w:tcW w:type="dxa" w:w="3322"/>
          </w:tcPr>
          <w:p>
            <w:pPr>
              <w:pStyle w:val="null3"/>
            </w:pPr>
            <w:r>
              <w:rPr>
                <w:rFonts w:ascii="仿宋_GB2312" w:hAnsi="仿宋_GB2312" w:cs="仿宋_GB2312" w:eastAsia="仿宋_GB2312"/>
              </w:rPr>
              <w:t>技术、服务内容达到采购要求，未出现重大负偏差</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监理程序及工作制度</w:t>
            </w:r>
          </w:p>
        </w:tc>
        <w:tc>
          <w:tcPr>
            <w:tcW w:type="dxa" w:w="2492"/>
          </w:tcPr>
          <w:p>
            <w:pPr>
              <w:pStyle w:val="null3"/>
            </w:pPr>
            <w:r>
              <w:rPr>
                <w:rFonts w:ascii="仿宋_GB2312" w:hAnsi="仿宋_GB2312" w:cs="仿宋_GB2312" w:eastAsia="仿宋_GB2312"/>
              </w:rPr>
              <w:t>针对本项目提供监理程序及工作制度。 1.监理程序及工作制度具体可行、科学合理，有清晰的监理工作流程图、监理工作准则，且可操作性、针对性强的得6分； 2.监理程序及工作制度较具体可行、科学合理，有监理工作流程图、监理工作准则，可操作性、针对性较强的得4分； 3.监理程序及工作制度内容简单，可操作性或针对性一般的，得2分；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针对本项目提供监理工作目标及监理依据。 1.监理工作目标及监理依据具体可行，目标清晰，依据准确，且可操作性、针对性强的得6分； 2.监理工作目标及监理依据较具体可行，可操作性、针对性较强得4分； 3.监理工作目标及监理依据内容简单，可操作性或针对性一般的，得2分；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针对本项目制定明确的质量控制管理目标，提供具体可行的质量控制措施。1.目标清晰、明确，措施科学合理、具体详细，贴近项目情况、针对性强的得6分； 2.目标较清晰、明确，措施较科学合理、具体详细，基本贴近项目情况、针对性较强的得4分； 3.目标及措施不完善，针对性一般的得2分；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安全文明施工及治污减霾监督管理措施</w:t>
            </w:r>
          </w:p>
        </w:tc>
        <w:tc>
          <w:tcPr>
            <w:tcW w:type="dxa" w:w="2492"/>
          </w:tcPr>
          <w:p>
            <w:pPr>
              <w:pStyle w:val="null3"/>
            </w:pPr>
            <w:r>
              <w:rPr>
                <w:rFonts w:ascii="仿宋_GB2312" w:hAnsi="仿宋_GB2312" w:cs="仿宋_GB2312" w:eastAsia="仿宋_GB2312"/>
              </w:rPr>
              <w:t>针对本项目提供安全文明施工及治污减霾监督管理措施。 1.措施符合项目实际情况及实施要求，内容详尽且涵盖角度全面，可行性强，能够保障项目顺利实施的得6分； 2.措施基本符合项目实际情况及实施要求，内容较详细，涵盖角度较全面，基本合理可行的得4分； 3.措施不够符合项目实际情况及实施要求，内容涵盖角度不够全面且实施有难度的得2分；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针对本项目制定明确的进度控制目标，提供具体可行的进度控制措施。 1.目标清晰、明确，措施科学合理、具体详细，贴近项目情况、针对性强的得6分； 2.目标较清晰、明确，措施较科学合理、具体详细，基本贴近项目情况、针对性较强的得4分； 3.目标及措施不完善，提供内容简单有欠缺，或未贴合实际，针对性不强的得2分；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针对本项目提供投资控制管理措施。 1.措施科学合理、具体详细，贴近项目情况、针对性强的得6分； 2.措施较科学合理、具体详细，基本贴近项目情况、针对性较强的得4分； 3.措施不完善，内容简单有欠缺，针对性不强的得2分；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施工现场各方关系协调管理措施</w:t>
            </w:r>
          </w:p>
        </w:tc>
        <w:tc>
          <w:tcPr>
            <w:tcW w:type="dxa" w:w="2492"/>
          </w:tcPr>
          <w:p>
            <w:pPr>
              <w:pStyle w:val="null3"/>
            </w:pPr>
            <w:r>
              <w:rPr>
                <w:rFonts w:ascii="仿宋_GB2312" w:hAnsi="仿宋_GB2312" w:cs="仿宋_GB2312" w:eastAsia="仿宋_GB2312"/>
              </w:rPr>
              <w:t>针对本项目提供施工现场各方关系协调管理措施。 1.措施科学合理、具体详细，贴近项目情况、针对性强的得6分； 2.措施较科学合理、具体详细，基本贴近项目情况、针对性较强的得4分； 3.措施不完善，内容简单有欠缺，针对性不强的得2分；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监理工作重点、难点分析及对策</w:t>
            </w:r>
          </w:p>
        </w:tc>
        <w:tc>
          <w:tcPr>
            <w:tcW w:type="dxa" w:w="2492"/>
          </w:tcPr>
          <w:p>
            <w:pPr>
              <w:pStyle w:val="null3"/>
            </w:pPr>
            <w:r>
              <w:rPr>
                <w:rFonts w:ascii="仿宋_GB2312" w:hAnsi="仿宋_GB2312" w:cs="仿宋_GB2312" w:eastAsia="仿宋_GB2312"/>
              </w:rPr>
              <w:t>针对本项目提供监理工作重点、难点分析及对策。 1.监理工作重点、难点分析及对策科学合理、具体详细，贴近项目情况、针对性强的得6分； 2.监理工作重点、难点分析及对策较科学合理、具体详细，基本贴近项目情况、针对性较强的得4分； 3.监理工作重点、难点分析及对策不完善，内容简单有欠缺，实际针对性不强的得2分；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监理资料的管理及保修阶段的服务管理措施</w:t>
            </w:r>
          </w:p>
        </w:tc>
        <w:tc>
          <w:tcPr>
            <w:tcW w:type="dxa" w:w="2492"/>
          </w:tcPr>
          <w:p>
            <w:pPr>
              <w:pStyle w:val="null3"/>
            </w:pPr>
            <w:r>
              <w:rPr>
                <w:rFonts w:ascii="仿宋_GB2312" w:hAnsi="仿宋_GB2312" w:cs="仿宋_GB2312" w:eastAsia="仿宋_GB2312"/>
              </w:rPr>
              <w:t>针对本项目提供监理资料的管理及保修阶段的服务管理措施。 1.服务管理措施科学合理、具体详细，贴近项目情况、针对性强的得6分； 2.服务管理措施较科学合理、具体详细，基本贴近项目情况、针对性较强的得4分； 3.服务管理措施不完善，内容简单有欠缺，实际针对性不强的得2分；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1、拟派总监理工程师 ①具备高级职称证书得2分，其余不得分。 ②近三年（2023年1月1日至今，以合同签订时间或中标通知书时间为准）具有一个类似项目业绩得1分，最高得2分（以合同或中标通知书或其他有效证明材料中能体现项目总监姓名的为准） 2、项目团队其他人员（专业监理工程师及监理员） ①监理机构及人员配置合理、清晰，岗位设置科学合理，完全匹配项目，完全满足和保障监理服务需求的得4分；②监理机构及人员配置不够清晰，岗位设置合理性一般，基本满足和保障监理服务需求的得2分；③监理机构及人员配置不清晰，岗位设置不合理，很难满足和保障监理服务需求的得1分；④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拟投入主要专业设备</w:t>
            </w:r>
          </w:p>
        </w:tc>
        <w:tc>
          <w:tcPr>
            <w:tcW w:type="dxa" w:w="2492"/>
          </w:tcPr>
          <w:p>
            <w:pPr>
              <w:pStyle w:val="null3"/>
            </w:pPr>
            <w:r>
              <w:rPr>
                <w:rFonts w:ascii="仿宋_GB2312" w:hAnsi="仿宋_GB2312" w:cs="仿宋_GB2312" w:eastAsia="仿宋_GB2312"/>
              </w:rPr>
              <w:t>针对本项目提供拟投入主要测量仪器、检测工具、办公设备和通讯设备。 1.设备配备齐全合理，完全满足和保障监理服务需求的得5分； 2.设备配备较合理，基本满足监理服务需求的得3分； 3.设备配备一般，不能满足监理服务需求的得1分。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针对本项目质量、安全生产、环境环保等方面提供相关承诺，并承诺在监理过程中不随意更换监理人员，按承诺全面性、可行性、合理性，赋分。 1.服务承诺详细全面、合理、可行的得5分； 2.服务承诺全面合理，但不够详细，可行性一般的得3分； 3.服务承诺不详细，考虑不全面的，不够合理，可行性差的得1分；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供应商提供2023年1月至今类似项目业绩合同（以合同签订时间为准）；一个业绩得4分，最高得8分；（类似定义：承接过市政公用工程监理业绩。）评审依据：提供合同复印件并加盖公章。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