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版本号：ZCBN-莲湖区-2026-00010（HYZ【2026】002号）-120260212001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莲湖区红光路消防救援站初步设计服务采购项目(二次)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ZCBN-莲湖区-2026-00010（HYZ【2026】002号）-1</w:t>
      </w:r>
      <w:r>
        <w:br/>
      </w:r>
      <w:r>
        <w:br/>
      </w:r>
      <w:r>
        <w:br/>
      </w:r>
    </w:p>
    <w:p>
      <w:pPr>
        <w:pStyle w:val="null3"/>
        <w:jc w:val="center"/>
        <w:outlineLvl w:val="2"/>
      </w:pPr>
      <w:r>
        <w:rPr>
          <w:rFonts w:ascii="仿宋_GB2312" w:hAnsi="仿宋_GB2312" w:cs="仿宋_GB2312" w:eastAsia="仿宋_GB2312"/>
          <w:sz w:val="28"/>
          <w:b/>
        </w:rPr>
        <w:t>西安大兴新区开发建设管理委员会</w:t>
      </w:r>
    </w:p>
    <w:p>
      <w:pPr>
        <w:pStyle w:val="null3"/>
        <w:jc w:val="center"/>
        <w:outlineLvl w:val="2"/>
      </w:pPr>
      <w:r>
        <w:rPr>
          <w:rFonts w:ascii="仿宋_GB2312" w:hAnsi="仿宋_GB2312" w:cs="仿宋_GB2312" w:eastAsia="仿宋_GB2312"/>
          <w:sz w:val="28"/>
          <w:b/>
        </w:rPr>
        <w:t>宏业国际项目管理有限公司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宏业国际项目管理有限公司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西安大兴新区开发建设管理委员会</w:t>
      </w:r>
      <w:r>
        <w:rPr>
          <w:rFonts w:ascii="仿宋_GB2312" w:hAnsi="仿宋_GB2312" w:cs="仿宋_GB2312" w:eastAsia="仿宋_GB2312"/>
        </w:rPr>
        <w:t>委托，拟对</w:t>
      </w:r>
      <w:r>
        <w:rPr>
          <w:rFonts w:ascii="仿宋_GB2312" w:hAnsi="仿宋_GB2312" w:cs="仿宋_GB2312" w:eastAsia="仿宋_GB2312"/>
        </w:rPr>
        <w:t>莲湖区红光路消防救援站初步设计服务采购项目(二次)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ZCBN-莲湖区-2026-00010（HYZ【2026】002号）-1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莲湖区红光路消防救援站初步设计服务采购项目(二次)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莲湖区红光路消防救援站项目位于莲湖区红光路与阿房路交叉口东南角，占地面积约13.82亩，总建筑面积约4242.1平方米，其中地上建筑面积约3325.4平方米，地下建筑面积约916.7平方米，拟建1栋地下一层、地上局部三层的普通消防站，地上主要设置消防车库、通信室、器材室、备勤室、餐厅、会议室等业务与辅助用房，地下主要设置变配电用房、消防泵房、消防水池等动力设备用房，同时配建1栋首层面积82.35平方米的训练塔（10F/-2F，构筑物不计入建筑面积）和2000平方米的室外训练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年经会计师事务所审计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在开标日期前六个月内其基本开户银行出具的资信证明，以上二种形式的证明资料提供任何一种即可。注：依据财政部、国务院国资委、金融监管总局印发《关于加强审计报告查验工作的通知》（财会〔2023〕15号），报告须在注册会计师行业统一监管平台备案并由该平台赋予二维码，并提供财务审计报告网页查询截图及查询网址。</w:t>
      </w:r>
    </w:p>
    <w:p>
      <w:pPr>
        <w:pStyle w:val="null3"/>
      </w:pPr>
      <w:r>
        <w:rPr>
          <w:rFonts w:ascii="仿宋_GB2312" w:hAnsi="仿宋_GB2312" w:cs="仿宋_GB2312" w:eastAsia="仿宋_GB2312"/>
        </w:rPr>
        <w:t>3、企业资质：供应商须具有建设行政主管部门核发的工程设计综合甲级资质或建筑行业设计乙级或建筑行业（建筑工程）乙级及以上资质。</w:t>
      </w:r>
    </w:p>
    <w:p>
      <w:pPr>
        <w:pStyle w:val="null3"/>
      </w:pPr>
      <w:r>
        <w:rPr>
          <w:rFonts w:ascii="仿宋_GB2312" w:hAnsi="仿宋_GB2312" w:cs="仿宋_GB2312" w:eastAsia="仿宋_GB2312"/>
        </w:rPr>
        <w:t>4、项目负责人：拟派项目设计负责人须具备国家二级注册建筑师执业资格，在本单位注册。</w:t>
      </w:r>
    </w:p>
    <w:p>
      <w:pPr>
        <w:pStyle w:val="null3"/>
      </w:pPr>
      <w:r>
        <w:rPr>
          <w:rFonts w:ascii="仿宋_GB2312" w:hAnsi="仿宋_GB2312" w:cs="仿宋_GB2312" w:eastAsia="仿宋_GB2312"/>
        </w:rPr>
        <w:t>5、依法纳税证明材料：投标截止日前6个月内已缴存的至少一个月的依法纳税证明材料，依法免税及依法不需要缴纳的应提供相关文件证明。</w:t>
      </w:r>
    </w:p>
    <w:p>
      <w:pPr>
        <w:pStyle w:val="null3"/>
      </w:pPr>
      <w:r>
        <w:rPr>
          <w:rFonts w:ascii="仿宋_GB2312" w:hAnsi="仿宋_GB2312" w:cs="仿宋_GB2312" w:eastAsia="仿宋_GB2312"/>
        </w:rPr>
        <w:t>6、社会保障资金的证明材料：投标截止日前6个月内已缴存的至少一个月的社会保障资金缴存单据或社保机构开具的社会保险参保缴费情况证明，依法不需要缴纳社会保障资金的应提供相关证明材料。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7、供应商须提供具有履行合同所必需的设备和专业技术能力：供应商须提供具有履行合同所必需的设备和专业技术能力的书面承诺。（注：提供承诺书）</w:t>
      </w:r>
    </w:p>
    <w:p>
      <w:pPr>
        <w:pStyle w:val="null3"/>
      </w:pPr>
      <w:r>
        <w:rPr>
          <w:rFonts w:ascii="仿宋_GB2312" w:hAnsi="仿宋_GB2312" w:cs="仿宋_GB2312" w:eastAsia="仿宋_GB2312"/>
        </w:rPr>
        <w:t>8、书面声明：参加本次政府采购活动前三年内在经营活动中没有重大违法记录的书面声明。</w:t>
      </w:r>
    </w:p>
    <w:p>
      <w:pPr>
        <w:pStyle w:val="null3"/>
      </w:pPr>
      <w:r>
        <w:rPr>
          <w:rFonts w:ascii="仿宋_GB2312" w:hAnsi="仿宋_GB2312" w:cs="仿宋_GB2312" w:eastAsia="仿宋_GB2312"/>
        </w:rPr>
        <w:t>9、信用记录：供应商在信用中国（www.creditchina.gov.cn）未被列入重大税收违法失信主体、在中国执行信息公开网（http://zxgk.court.gov.cn/）未被列入失信被执行人及在中国政府采购网（www.ccgp.gov.cn）未被列入政府采购严重违法失信行为记录名单，提供网页查询截图及查询网址。</w:t>
      </w:r>
    </w:p>
    <w:p>
      <w:pPr>
        <w:pStyle w:val="null3"/>
      </w:pPr>
      <w:r>
        <w:rPr>
          <w:rFonts w:ascii="仿宋_GB2312" w:hAnsi="仿宋_GB2312" w:cs="仿宋_GB2312" w:eastAsia="仿宋_GB2312"/>
        </w:rPr>
        <w:t>10、控股管理关系：提供直接控股和管理关系清单。若与其他投标人存在单位负责人为同一人或者存在直接控股、管理关系的，则磋商无效。</w:t>
      </w:r>
    </w:p>
    <w:p>
      <w:pPr>
        <w:pStyle w:val="null3"/>
      </w:pPr>
      <w:r>
        <w:rPr>
          <w:rFonts w:ascii="仿宋_GB2312" w:hAnsi="仿宋_GB2312" w:cs="仿宋_GB2312" w:eastAsia="仿宋_GB2312"/>
        </w:rPr>
        <w:t>11、本项目不接受联合体投标：供应商应提供《非联合体投标声明》，视为独立投标。</w:t>
      </w:r>
    </w:p>
    <w:p>
      <w:pPr>
        <w:pStyle w:val="null3"/>
      </w:pPr>
      <w:r>
        <w:rPr>
          <w:rFonts w:ascii="仿宋_GB2312" w:hAnsi="仿宋_GB2312" w:cs="仿宋_GB2312" w:eastAsia="仿宋_GB2312"/>
        </w:rPr>
        <w:t>12、授权委托书：授权委托书：法定代表人授权书（附法定代表人、被授权人身份证复印件及被授权人开标前三个月内任意一个月在本单位的社保缴纳证明），法定代表人直接参加磋商，须提供法定代表人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西安大兴新区开发建设管理委员会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029-89373380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宏业国际项目管理有限公司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陕西省西安市高新区丈八街办高新路西部国际广场1幢13201室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张耀、彭涛、王云朋、王毅刚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029-88859352-8001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代理服务费收费标准：代理服务费收费标准：参照国家计委计价格【2002】1980号及发改价格[2011]534号文件规定下浮5.00%计取，由成交供应商支付代理服务费。收款账户如下： 收款单位：宏业国际项目管理有限公司 开户银行：中国民生银行西安分行营业部 银行账号：1201014170000570 转账时请备注：HYZ[2026]002号项目服务费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西安大兴新区开发建设管理委员会</w:t>
      </w:r>
      <w:r>
        <w:rPr>
          <w:rFonts w:ascii="仿宋_GB2312" w:hAnsi="仿宋_GB2312" w:cs="仿宋_GB2312" w:eastAsia="仿宋_GB2312"/>
        </w:rPr>
        <w:t>和</w:t>
      </w:r>
      <w:r>
        <w:rPr>
          <w:rFonts w:ascii="仿宋_GB2312" w:hAnsi="仿宋_GB2312" w:cs="仿宋_GB2312" w:eastAsia="仿宋_GB2312"/>
        </w:rPr>
        <w:t>宏业国际项目管理有限公司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西安大兴新区开发建设管理委员会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宏业国际项目管理有限公司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西安大兴新区开发建设管理委员会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宏业国际项目管理有限公司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联系人：张耀、彭涛、王云朋、王毅刚</w:t>
      </w:r>
    </w:p>
    <w:p>
      <w:pPr>
        <w:pStyle w:val="null3"/>
      </w:pPr>
      <w:r>
        <w:rPr>
          <w:rFonts w:ascii="仿宋_GB2312" w:hAnsi="仿宋_GB2312" w:cs="仿宋_GB2312" w:eastAsia="仿宋_GB2312"/>
        </w:rPr>
        <w:t>联系电话：029-888593528-8001</w:t>
      </w:r>
    </w:p>
    <w:p>
      <w:pPr>
        <w:pStyle w:val="null3"/>
      </w:pPr>
      <w:r>
        <w:rPr>
          <w:rFonts w:ascii="仿宋_GB2312" w:hAnsi="仿宋_GB2312" w:cs="仿宋_GB2312" w:eastAsia="仿宋_GB2312"/>
        </w:rPr>
        <w:t>地址：西安市高新路2号西部国际广场1幢32层</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莲湖区红光路消防救援站项目位于莲湖区红光路与阿房路交叉口东南角，占地面积约13.82亩，总建筑面积约4242.1平方米，其中地上建筑面积约3325.4平方米，地下建筑面积约916.7平方米，拟建1栋地下一层、地上局部三层的普通消防站，地上主要设置消防车库、通信室、器材室、备勤室、餐厅、会议室等业务与辅助用房，地下主要设置变配电用房、消防泵房、消防水池等动力设备用房，同时配建1栋首层面积82.35平方米的训练塔（10F/-2F，构筑物不计入建筑面积）和2000平方米的室外训练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莲湖区红光路消防救援站初步设计服务采购项目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标的名称：莲湖区红光路消防救援站初步设计服务采购项目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一、项目概况</w:t>
            </w:r>
          </w:p>
          <w:p>
            <w:pPr>
              <w:pStyle w:val="null3"/>
            </w:pPr>
            <w:r>
              <w:rPr>
                <w:rFonts w:ascii="仿宋_GB2312" w:hAnsi="仿宋_GB2312" w:cs="仿宋_GB2312" w:eastAsia="仿宋_GB2312"/>
                <w:sz w:val="20"/>
              </w:rPr>
              <w:t>莲湖区红光路消防救援站项目位于莲湖区红光路与阿房路交叉口东南角，</w:t>
            </w:r>
            <w:r>
              <w:rPr>
                <w:rFonts w:ascii="仿宋_GB2312" w:hAnsi="仿宋_GB2312" w:cs="仿宋_GB2312" w:eastAsia="仿宋_GB2312"/>
                <w:sz w:val="20"/>
              </w:rPr>
              <w:t>占地面积约</w:t>
            </w:r>
            <w:r>
              <w:rPr>
                <w:rFonts w:ascii="仿宋_GB2312" w:hAnsi="仿宋_GB2312" w:cs="仿宋_GB2312" w:eastAsia="仿宋_GB2312"/>
                <w:sz w:val="20"/>
              </w:rPr>
              <w:t>13.82</w:t>
            </w:r>
            <w:r>
              <w:rPr>
                <w:rFonts w:ascii="仿宋_GB2312" w:hAnsi="仿宋_GB2312" w:cs="仿宋_GB2312" w:eastAsia="仿宋_GB2312"/>
                <w:sz w:val="20"/>
              </w:rPr>
              <w:t>亩，</w:t>
            </w:r>
            <w:r>
              <w:rPr>
                <w:rFonts w:ascii="仿宋_GB2312" w:hAnsi="仿宋_GB2312" w:cs="仿宋_GB2312" w:eastAsia="仿宋_GB2312"/>
                <w:sz w:val="20"/>
              </w:rPr>
              <w:t>总建筑面积约</w:t>
            </w:r>
            <w:r>
              <w:rPr>
                <w:rFonts w:ascii="仿宋_GB2312" w:hAnsi="仿宋_GB2312" w:cs="仿宋_GB2312" w:eastAsia="仿宋_GB2312"/>
                <w:sz w:val="20"/>
              </w:rPr>
              <w:t>4242.1</w:t>
            </w:r>
            <w:r>
              <w:rPr>
                <w:rFonts w:ascii="仿宋_GB2312" w:hAnsi="仿宋_GB2312" w:cs="仿宋_GB2312" w:eastAsia="仿宋_GB2312"/>
                <w:sz w:val="20"/>
              </w:rPr>
              <w:t>平方米</w:t>
            </w:r>
            <w:r>
              <w:rPr>
                <w:rFonts w:ascii="仿宋_GB2312" w:hAnsi="仿宋_GB2312" w:cs="仿宋_GB2312" w:eastAsia="仿宋_GB2312"/>
                <w:sz w:val="20"/>
              </w:rPr>
              <w:t>，</w:t>
            </w:r>
            <w:r>
              <w:rPr>
                <w:rFonts w:ascii="仿宋_GB2312" w:hAnsi="仿宋_GB2312" w:cs="仿宋_GB2312" w:eastAsia="仿宋_GB2312"/>
                <w:sz w:val="20"/>
              </w:rPr>
              <w:t>其中地上</w:t>
            </w:r>
            <w:r>
              <w:rPr>
                <w:rFonts w:ascii="仿宋_GB2312" w:hAnsi="仿宋_GB2312" w:cs="仿宋_GB2312" w:eastAsia="仿宋_GB2312"/>
                <w:sz w:val="20"/>
              </w:rPr>
              <w:t>建筑面积约</w:t>
            </w:r>
            <w:r>
              <w:rPr>
                <w:rFonts w:ascii="仿宋_GB2312" w:hAnsi="仿宋_GB2312" w:cs="仿宋_GB2312" w:eastAsia="仿宋_GB2312"/>
                <w:sz w:val="20"/>
              </w:rPr>
              <w:t>3325.4</w:t>
            </w:r>
            <w:r>
              <w:rPr>
                <w:rFonts w:ascii="仿宋_GB2312" w:hAnsi="仿宋_GB2312" w:cs="仿宋_GB2312" w:eastAsia="仿宋_GB2312"/>
                <w:sz w:val="20"/>
              </w:rPr>
              <w:t>平方米，地下</w:t>
            </w:r>
            <w:r>
              <w:rPr>
                <w:rFonts w:ascii="仿宋_GB2312" w:hAnsi="仿宋_GB2312" w:cs="仿宋_GB2312" w:eastAsia="仿宋_GB2312"/>
                <w:sz w:val="20"/>
              </w:rPr>
              <w:t>建筑面积约</w:t>
            </w:r>
            <w:r>
              <w:rPr>
                <w:rFonts w:ascii="仿宋_GB2312" w:hAnsi="仿宋_GB2312" w:cs="仿宋_GB2312" w:eastAsia="仿宋_GB2312"/>
                <w:sz w:val="20"/>
              </w:rPr>
              <w:t>916.7</w:t>
            </w:r>
            <w:r>
              <w:rPr>
                <w:rFonts w:ascii="仿宋_GB2312" w:hAnsi="仿宋_GB2312" w:cs="仿宋_GB2312" w:eastAsia="仿宋_GB2312"/>
                <w:sz w:val="20"/>
              </w:rPr>
              <w:t>平方米，拟建</w:t>
            </w:r>
            <w:r>
              <w:rPr>
                <w:rFonts w:ascii="仿宋_GB2312" w:hAnsi="仿宋_GB2312" w:cs="仿宋_GB2312" w:eastAsia="仿宋_GB2312"/>
                <w:sz w:val="20"/>
              </w:rPr>
              <w:t>1</w:t>
            </w:r>
            <w:r>
              <w:rPr>
                <w:rFonts w:ascii="仿宋_GB2312" w:hAnsi="仿宋_GB2312" w:cs="仿宋_GB2312" w:eastAsia="仿宋_GB2312"/>
                <w:sz w:val="20"/>
              </w:rPr>
              <w:t>栋地下一层、地上局部三层的普通消防站，地上主要设置消防车库、通信室、器材室、备勤室、餐厅、会议室等业务与辅助用房，地下主要设置变配电用房、消防泵房、消防水池等动力设备用房</w:t>
            </w:r>
            <w:r>
              <w:rPr>
                <w:rFonts w:ascii="仿宋_GB2312" w:hAnsi="仿宋_GB2312" w:cs="仿宋_GB2312" w:eastAsia="仿宋_GB2312"/>
                <w:sz w:val="20"/>
              </w:rPr>
              <w:t>，同时配建</w:t>
            </w:r>
            <w:r>
              <w:rPr>
                <w:rFonts w:ascii="仿宋_GB2312" w:hAnsi="仿宋_GB2312" w:cs="仿宋_GB2312" w:eastAsia="仿宋_GB2312"/>
                <w:sz w:val="20"/>
              </w:rPr>
              <w:t>1</w:t>
            </w:r>
            <w:r>
              <w:rPr>
                <w:rFonts w:ascii="仿宋_GB2312" w:hAnsi="仿宋_GB2312" w:cs="仿宋_GB2312" w:eastAsia="仿宋_GB2312"/>
                <w:sz w:val="20"/>
              </w:rPr>
              <w:t>栋首层面积</w:t>
            </w:r>
            <w:r>
              <w:rPr>
                <w:rFonts w:ascii="仿宋_GB2312" w:hAnsi="仿宋_GB2312" w:cs="仿宋_GB2312" w:eastAsia="仿宋_GB2312"/>
                <w:sz w:val="20"/>
              </w:rPr>
              <w:t>82.35</w:t>
            </w:r>
            <w:r>
              <w:rPr>
                <w:rFonts w:ascii="仿宋_GB2312" w:hAnsi="仿宋_GB2312" w:cs="仿宋_GB2312" w:eastAsia="仿宋_GB2312"/>
                <w:sz w:val="20"/>
              </w:rPr>
              <w:t>平方米的训练塔</w:t>
            </w:r>
            <w:r>
              <w:rPr>
                <w:rFonts w:ascii="仿宋_GB2312" w:hAnsi="仿宋_GB2312" w:cs="仿宋_GB2312" w:eastAsia="仿宋_GB2312"/>
                <w:sz w:val="20"/>
              </w:rPr>
              <w:t>（</w:t>
            </w:r>
            <w:r>
              <w:rPr>
                <w:rFonts w:ascii="仿宋_GB2312" w:hAnsi="仿宋_GB2312" w:cs="仿宋_GB2312" w:eastAsia="仿宋_GB2312"/>
                <w:sz w:val="20"/>
              </w:rPr>
              <w:t>10F/-2F</w:t>
            </w:r>
            <w:r>
              <w:rPr>
                <w:rFonts w:ascii="仿宋_GB2312" w:hAnsi="仿宋_GB2312" w:cs="仿宋_GB2312" w:eastAsia="仿宋_GB2312"/>
                <w:sz w:val="20"/>
              </w:rPr>
              <w:t>，构筑物不计入建筑面积</w:t>
            </w:r>
            <w:r>
              <w:rPr>
                <w:rFonts w:ascii="仿宋_GB2312" w:hAnsi="仿宋_GB2312" w:cs="仿宋_GB2312" w:eastAsia="仿宋_GB2312"/>
                <w:sz w:val="20"/>
              </w:rPr>
              <w:t>）</w:t>
            </w:r>
            <w:r>
              <w:rPr>
                <w:rFonts w:ascii="仿宋_GB2312" w:hAnsi="仿宋_GB2312" w:cs="仿宋_GB2312" w:eastAsia="仿宋_GB2312"/>
                <w:sz w:val="20"/>
              </w:rPr>
              <w:t>和</w:t>
            </w:r>
            <w:r>
              <w:rPr>
                <w:rFonts w:ascii="仿宋_GB2312" w:hAnsi="仿宋_GB2312" w:cs="仿宋_GB2312" w:eastAsia="仿宋_GB2312"/>
                <w:sz w:val="20"/>
              </w:rPr>
              <w:t>2000</w:t>
            </w:r>
            <w:r>
              <w:rPr>
                <w:rFonts w:ascii="仿宋_GB2312" w:hAnsi="仿宋_GB2312" w:cs="仿宋_GB2312" w:eastAsia="仿宋_GB2312"/>
                <w:sz w:val="20"/>
              </w:rPr>
              <w:t>平方米的室外训练场。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二、项目要求</w:t>
            </w:r>
          </w:p>
          <w:p>
            <w:pPr>
              <w:pStyle w:val="null3"/>
              <w:ind w:firstLine="400"/>
            </w:pPr>
            <w:r>
              <w:rPr>
                <w:rFonts w:ascii="仿宋_GB2312" w:hAnsi="仿宋_GB2312" w:cs="仿宋_GB2312" w:eastAsia="仿宋_GB2312"/>
                <w:sz w:val="20"/>
              </w:rPr>
              <w:t>2.1</w:t>
            </w:r>
            <w:r>
              <w:rPr>
                <w:rFonts w:ascii="仿宋_GB2312" w:hAnsi="仿宋_GB2312" w:cs="仿宋_GB2312" w:eastAsia="仿宋_GB2312"/>
                <w:sz w:val="20"/>
              </w:rPr>
              <w:t>本次服务主要内容包括：设计包含前期方案设计</w:t>
            </w:r>
            <w:r>
              <w:rPr>
                <w:rFonts w:ascii="仿宋_GB2312" w:hAnsi="仿宋_GB2312" w:cs="仿宋_GB2312" w:eastAsia="仿宋_GB2312"/>
                <w:sz w:val="20"/>
              </w:rPr>
              <w:t>、</w:t>
            </w:r>
            <w:r>
              <w:rPr>
                <w:rFonts w:ascii="仿宋_GB2312" w:hAnsi="仿宋_GB2312" w:cs="仿宋_GB2312" w:eastAsia="仿宋_GB2312"/>
                <w:sz w:val="20"/>
              </w:rPr>
              <w:t>初步设计</w:t>
            </w:r>
            <w:r>
              <w:rPr>
                <w:rFonts w:ascii="仿宋_GB2312" w:hAnsi="仿宋_GB2312" w:cs="仿宋_GB2312" w:eastAsia="仿宋_GB2312"/>
                <w:sz w:val="20"/>
              </w:rPr>
              <w:t>、概算编制</w:t>
            </w:r>
            <w:r>
              <w:rPr>
                <w:rFonts w:ascii="仿宋_GB2312" w:hAnsi="仿宋_GB2312" w:cs="仿宋_GB2312" w:eastAsia="仿宋_GB2312"/>
                <w:sz w:val="20"/>
              </w:rPr>
              <w:t>等；所有成果文件必须符合国家相关规范、标准及采购人要求。</w:t>
            </w:r>
          </w:p>
          <w:p>
            <w:pPr>
              <w:pStyle w:val="null3"/>
              <w:ind w:firstLine="400"/>
            </w:pPr>
            <w:r>
              <w:rPr>
                <w:rFonts w:ascii="仿宋_GB2312" w:hAnsi="仿宋_GB2312" w:cs="仿宋_GB2312" w:eastAsia="仿宋_GB2312"/>
                <w:sz w:val="20"/>
              </w:rPr>
              <w:t>2.2</w:t>
            </w:r>
            <w:r>
              <w:rPr>
                <w:rFonts w:ascii="仿宋_GB2312" w:hAnsi="仿宋_GB2312" w:cs="仿宋_GB2312" w:eastAsia="仿宋_GB2312"/>
                <w:sz w:val="20"/>
              </w:rPr>
              <w:t>设计要求：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）完成前期方案设计及初步设计，按采购人的需求进行设计。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）对采购人的审核修改意见进行修改、完善，保证其设计意图的最终实现。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）根据项目建设进度要求及时提供各阶段报审图纸，协助采购人进行报审工作，根据审查结果进行修改调整，直至审查通过，并最终向采购人提交正式的初步设计文件及批复。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）根据采购人要求，及时参加与设计有关的专题会，现场解决技术问题。</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）提交的设计文件应符合现行规程、规范等要求，并应通过相关部门的审查。</w:t>
            </w:r>
          </w:p>
          <w:p>
            <w:pPr>
              <w:pStyle w:val="null3"/>
              <w:ind w:firstLine="400"/>
            </w:pPr>
            <w:r>
              <w:rPr>
                <w:rFonts w:ascii="仿宋_GB2312" w:hAnsi="仿宋_GB2312" w:cs="仿宋_GB2312" w:eastAsia="仿宋_GB2312"/>
                <w:sz w:val="20"/>
              </w:rPr>
              <w:t>2.3</w:t>
            </w:r>
            <w:r>
              <w:rPr>
                <w:rFonts w:ascii="仿宋_GB2312" w:hAnsi="仿宋_GB2312" w:cs="仿宋_GB2312" w:eastAsia="仿宋_GB2312"/>
                <w:sz w:val="20"/>
              </w:rPr>
              <w:t>服务工期：</w:t>
            </w:r>
            <w:r>
              <w:rPr>
                <w:rFonts w:ascii="仿宋_GB2312" w:hAnsi="仿宋_GB2312" w:cs="仿宋_GB2312" w:eastAsia="仿宋_GB2312"/>
                <w:sz w:val="20"/>
              </w:rPr>
              <w:t>45</w:t>
            </w:r>
            <w:r>
              <w:rPr>
                <w:rFonts w:ascii="仿宋_GB2312" w:hAnsi="仿宋_GB2312" w:cs="仿宋_GB2312" w:eastAsia="仿宋_GB2312"/>
                <w:sz w:val="20"/>
              </w:rPr>
              <w:t>天</w:t>
            </w:r>
          </w:p>
          <w:p>
            <w:pPr>
              <w:pStyle w:val="null3"/>
              <w:ind w:firstLine="400"/>
            </w:pPr>
            <w:r>
              <w:rPr>
                <w:rFonts w:ascii="仿宋_GB2312" w:hAnsi="仿宋_GB2312" w:cs="仿宋_GB2312" w:eastAsia="仿宋_GB2312"/>
                <w:sz w:val="12"/>
              </w:rPr>
              <w:t>2.4</w:t>
            </w:r>
            <w:r>
              <w:rPr>
                <w:rFonts w:ascii="仿宋_GB2312" w:hAnsi="仿宋_GB2312" w:cs="仿宋_GB2312" w:eastAsia="仿宋_GB2312"/>
                <w:sz w:val="12"/>
              </w:rPr>
              <w:t>质量要求：合格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1"/>
              </w:rPr>
              <w:t>项目总平面布置图</w:t>
            </w:r>
          </w:p>
          <w:p>
            <w:pPr>
              <w:pStyle w:val="null3"/>
              <w:jc w:val="both"/>
            </w:pPr>
            <w:r>
              <w:drawing>
                <wp:inline distT="0" distR="0" distB="0" distL="0">
                  <wp:extent cx="1621155" cy="53911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5391150"/>
                          </a:xfrm>
                          <a:prstGeom prst="rect">
                            <a:avLst/>
                          </a:prstGeom>
                        </pic:spPr>
                      </pic:pic>
                    </a:graphicData>
                  </a:graphic>
                </wp:inline>
              </w:drawing>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供应商在磋商报价时，该项目响应总价不得超过项目最高限价，若响应总报价及各分项报价高于其各自最高限价的，其响应文件将按无效处理。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成果交付要求：方案设计文件（方案报建册）、初步设计文件（含设计概算书）各提供纸质版5份、电子版2份及总平面蓝图。 质量验收标准或规范：提交的设计文件应符合现行规程、规范等要求并应通过相关部门的审查。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设计人向发包人提交初步设计文件，取得初步设计批复后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配合施工图设计单位完成施工图设计文件后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合同中未约定的按照（民法典）中的条款执行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线下提交纸质版投标文件，正本壹份、副本贰份、电子版壹份（U盘一套标明供应商名称，随正本密封）及法定代表人授权委托书或法人身份证明原件。若线上电子投标文件与纸质投标文件不一致的，以线上电子投标文件为准；若正本和副本不符，以正本为准。 线下递交文件时间：详见本项目磋商公告提交投标文件截止时间；线下递交文件地点：西安市高新路2号西部国际广场1幢32层会议室1；2、为方便采购人备案留存工作，成交供应商在领取成交通知书前，需向采购代理机构提交纸质版投标文件副本壹份送至代理公司，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具有财务审计资质的单位出具的财务报审计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经会计师事务所审计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在开标日期前六个月内其基本开户银行出具的资信证明，以上二种形式的证明资料提供任何一种即可。注：依据财政部、国务院国资委、金融监管总局印发《关于加强审计报告查验工作的通知》（财会〔2023〕15号），报告须在注册会计师行业统一监管平台备案并由该平台赋予二维码，并提供财务审计报告网页查询截图及查询网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供应商须具有建设行政主管部门核发的工程设计综合甲级资质或建筑行业设计乙级或建筑行业（建筑工程）乙级及以上资质。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拟派项目设计负责人须具备国家二级注册建筑师执业资格，在本单位注册。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依法纳税证明材料</w:t>
            </w:r>
          </w:p>
        </w:tc>
        <w:tc>
          <w:tcPr>
            <w:tcW w:type="dxa" w:w="3322"/>
          </w:tcPr>
          <w:p>
            <w:pPr>
              <w:pStyle w:val="null3"/>
            </w:pPr>
            <w:r>
              <w:rPr>
                <w:rFonts w:ascii="仿宋_GB2312" w:hAnsi="仿宋_GB2312" w:cs="仿宋_GB2312" w:eastAsia="仿宋_GB2312"/>
              </w:rPr>
              <w:t>投标截止日前6个月内已缴存的至少一个月的依法纳税证明材料，依法免税及依法不需要缴纳的应提供相关文件证明。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社会保障资金的证明材料</w:t>
            </w:r>
          </w:p>
        </w:tc>
        <w:tc>
          <w:tcPr>
            <w:tcW w:type="dxa" w:w="3322"/>
          </w:tcPr>
          <w:p>
            <w:pPr>
              <w:pStyle w:val="null3"/>
            </w:pPr>
            <w:r>
              <w:rPr>
                <w:rFonts w:ascii="仿宋_GB2312" w:hAnsi="仿宋_GB2312" w:cs="仿宋_GB2312" w:eastAsia="仿宋_GB2312"/>
              </w:rPr>
              <w:t>投标截止日前6个月内已缴存的至少一个月的社会保障资金缴存单据或社保机构开具的社会保险参保缴费情况证明，依法不需要缴纳社会保障资金的应提供相关证明材料。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供应商须提供具有履行合同所必需的设备和专业技术能力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供应商须提供具有履行合同所必需的设备和专业技术能力的书面承诺。（注：提供承诺书）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提供网页查询截图及查询网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供应商应提供《非联合体投标声明》，视为独立投标。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授权委托书：法定代表人授权书（附法定代表人、被授权人身份证复印件及被授权人开标前三个月内任意一个月在本单位的社保缴纳证明），法定代表人直接参加磋商，须提供法定代表人身份证明。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法定代表人授权委托书或身份证明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投标文件的初步符合性审查</w:t>
            </w:r>
          </w:p>
        </w:tc>
        <w:tc>
          <w:tcPr>
            <w:tcW w:type="dxa" w:w="3322"/>
          </w:tcPr>
          <w:p>
            <w:pPr>
              <w:pStyle w:val="null3"/>
            </w:pPr>
            <w:r>
              <w:rPr>
                <w:rFonts w:ascii="仿宋_GB2312" w:hAnsi="仿宋_GB2312" w:cs="仿宋_GB2312" w:eastAsia="仿宋_GB2312"/>
              </w:rPr>
              <w:t>有下列情形之一的，应在符合性审查时按照无效投标处理： (1)响应文件未按照磋商文件规定要求签署、盖章的； (2)不满足本招标文件中“服务期限、服务地点、采购资金的支付方式及约定”的实质性条款要求的； (3)投标有效期不足的或无有效期的； (4)报价超过招标文件中规定的预算金额； (5)法律、法规和招标文件规定的其他无效情形。</w:t>
            </w:r>
          </w:p>
        </w:tc>
        <w:tc>
          <w:tcPr>
            <w:tcW w:type="dxa" w:w="1661"/>
          </w:tcPr>
          <w:p>
            <w:pPr>
              <w:pStyle w:val="null3"/>
            </w:pPr>
            <w:r>
              <w:rPr>
                <w:rFonts w:ascii="仿宋_GB2312" w:hAnsi="仿宋_GB2312" w:cs="仿宋_GB2312" w:eastAsia="仿宋_GB2312"/>
              </w:rPr>
              <w:t>响应文件封面 服务内容及服务邀请应答表 法定代表人授权委托书或身份证明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供应商每提供一份2023年1月1日至今类似业绩合同（以签订合同时间为准）计2分，本项最高得8分。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人员配备情况1</w:t>
            </w:r>
          </w:p>
        </w:tc>
        <w:tc>
          <w:tcPr>
            <w:tcW w:type="dxa" w:w="2492"/>
          </w:tcPr>
          <w:p>
            <w:pPr>
              <w:pStyle w:val="null3"/>
            </w:pPr>
            <w:r>
              <w:rPr>
                <w:rFonts w:ascii="仿宋_GB2312" w:hAnsi="仿宋_GB2312" w:cs="仿宋_GB2312" w:eastAsia="仿宋_GB2312"/>
              </w:rPr>
              <w:t>1、拟派本项目负责人具有专科学历得1分，具有本科及以上学历得2分，没有不得分。 2、拟派本项目负责人具有中级职称得1分，具有高级职称得3分，没有不得分。 注：提供项目负责人相关证书复印件或扫描件及近一年内连续三个月由供应商缴纳的社保证明复印件并加盖供应商公章，未提供不得分。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人员配备情况2</w:t>
            </w:r>
          </w:p>
        </w:tc>
        <w:tc>
          <w:tcPr>
            <w:tcW w:type="dxa" w:w="2492"/>
          </w:tcPr>
          <w:p>
            <w:pPr>
              <w:pStyle w:val="null3"/>
            </w:pPr>
            <w:r>
              <w:rPr>
                <w:rFonts w:ascii="仿宋_GB2312" w:hAnsi="仿宋_GB2312" w:cs="仿宋_GB2312" w:eastAsia="仿宋_GB2312"/>
              </w:rPr>
              <w:t>1、拟配备于本项目的服务人员（除项目负责人外）：具有专科及以上学历的，每提供一名得1分，本项最多得5分。 2、拟配备于本项目的服务人员（除项目负责人外）：具有中级及以上职称的，每提供一个得1分，本项最多得5分。 注：提供上述人员相关证书复印件或扫描件及近一年内连续三个月由供应商缴纳的社保证明复印件并加盖供应商公章，未提供不得分，上述人员可重复得分。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设计实施方案</w:t>
            </w:r>
          </w:p>
        </w:tc>
        <w:tc>
          <w:tcPr>
            <w:tcW w:type="dxa" w:w="2492"/>
          </w:tcPr>
          <w:p>
            <w:pPr>
              <w:pStyle w:val="null3"/>
            </w:pPr>
            <w:r>
              <w:rPr>
                <w:rFonts w:ascii="仿宋_GB2312" w:hAnsi="仿宋_GB2312" w:cs="仿宋_GB2312" w:eastAsia="仿宋_GB2312"/>
              </w:rPr>
              <w:t>1、设计技术方案响应磋商文件要求，至少应包含：设计方案、结构设计方案等。根据设计方案可行性、深 度、合理程度，5≥得分≥0分； 2、重要节点方案论证充分，交叉关系设计合理，推荐方案合理可行性，5≥得分≥0分； 3、方案设计图纸详实，10≥得分≥0分。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设计进度及保障措施</w:t>
            </w:r>
          </w:p>
        </w:tc>
        <w:tc>
          <w:tcPr>
            <w:tcW w:type="dxa" w:w="2492"/>
          </w:tcPr>
          <w:p>
            <w:pPr>
              <w:pStyle w:val="null3"/>
            </w:pPr>
            <w:r>
              <w:rPr>
                <w:rFonts w:ascii="仿宋_GB2312" w:hAnsi="仿宋_GB2312" w:cs="仿宋_GB2312" w:eastAsia="仿宋_GB2312"/>
              </w:rPr>
              <w:t>评标委员会对各投标人的进度周期，保障体系，节点等进行横向比较，按照由优至劣的程度打分，8≥得分＞3分。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对于本项目的理解及现状分析，难点分析</w:t>
            </w:r>
          </w:p>
        </w:tc>
        <w:tc>
          <w:tcPr>
            <w:tcW w:type="dxa" w:w="2492"/>
          </w:tcPr>
          <w:p>
            <w:pPr>
              <w:pStyle w:val="null3"/>
            </w:pPr>
            <w:r>
              <w:rPr>
                <w:rFonts w:ascii="仿宋_GB2312" w:hAnsi="仿宋_GB2312" w:cs="仿宋_GB2312" w:eastAsia="仿宋_GB2312"/>
              </w:rPr>
              <w:t>供应商对工程的理解程度，特别是对工程设计的现状分析、难点分析是否准确，对重点难点问题拟采取的措施的有效性和针对性打分，15≥得分≥0分。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供应商提供本项目服务质量控制相关内容，明确服务质量管理措施，经现场评审，服务质量控制措施有力，满足采购需求的得7≥得分＞4分； 措施有待完善的得4≥得分＞2分； 措施差的或无响应说明得2≥得分≥0分。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设计过程中对工程费用控制的措施</w:t>
            </w:r>
          </w:p>
        </w:tc>
        <w:tc>
          <w:tcPr>
            <w:tcW w:type="dxa" w:w="2492"/>
          </w:tcPr>
          <w:p>
            <w:pPr>
              <w:pStyle w:val="null3"/>
            </w:pPr>
            <w:r>
              <w:rPr>
                <w:rFonts w:ascii="仿宋_GB2312" w:hAnsi="仿宋_GB2312" w:cs="仿宋_GB2312" w:eastAsia="仿宋_GB2312"/>
              </w:rPr>
              <w:t>供应商提供本项目设计过程中对工程费用控制的相关内容，经现场评审，对工程费用控制措施有力，满足采购需求的得7≥得分＞4分； 措施有待完善的得4≥得分＞2分； 措施差的或无响应说明得2≥得分≥0分。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供应商有完善的售后服务方案，能提供优质的本地化服务，根据服务方案由评委横向对比进行赋分计5≥得分≥0分。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根据项目内容对服务质量、响应速度、信息保密、问题解决等作出承诺，由评委横向对比进行赋分计5≥得分≥0分。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最后提交的磋商响应报价为有效响应报价。评审基准价：即满足磋商文件要求且价格最低的响应报价为评审基准价。其他供应商的价格分统一按照下列公式计算。响应报价得分=(评审基准价／响应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详见附件：法定代表人授权委托书或身份证明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