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7D76">
      <w:pPr>
        <w:pStyle w:val="4"/>
        <w:jc w:val="center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>其它说明</w:t>
      </w:r>
    </w:p>
    <w:p w14:paraId="68B16B01">
      <w:pP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085AB350">
      <w:pP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1.依据竞争性磋商文件要求，供应商认为有必要说明的其他内容。</w:t>
      </w:r>
    </w:p>
    <w:p w14:paraId="4428D76B"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2.其他可以证明供应商实力的文件。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2A2A86"/>
    <w:rsid w:val="302A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文字"/>
    <w:basedOn w:val="1"/>
    <w:autoRedefine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2026-02-25T05:32:00Z</dcterms:created>
  <dc:creator>苍白假面</dc:creator>
  <cp:lastModifiedBy>苍白假面</cp:lastModifiedBy>
  <dcterms:modified xsi:type="dcterms:W3CDTF">2026-02-25T05:32:44Z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F9048CA9FAFD498DB02BB804A0A62B00_11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