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5E954">
      <w:pPr>
        <w:jc w:val="center"/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2038738F">
      <w:pPr>
        <w:jc w:val="center"/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C4C7B61">
      <w:pPr>
        <w:jc w:val="center"/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D27C20F">
      <w:pPr>
        <w:jc w:val="center"/>
        <w:rPr>
          <w:rFonts w:hint="eastAsia" w:ascii="仿宋" w:hAnsi="仿宋" w:eastAsia="仿宋" w:cs="仿宋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  <w:t>西安市莲湖区疾病预防控制中心食堂外包服务</w:t>
      </w:r>
    </w:p>
    <w:p w14:paraId="3F930F50">
      <w:pPr>
        <w:rPr>
          <w:rFonts w:hint="eastAsia" w:ascii="仿宋" w:hAnsi="仿宋" w:eastAsia="仿宋" w:cs="仿宋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417BFA36">
      <w:pPr>
        <w:rPr>
          <w:rFonts w:hint="eastAsia" w:ascii="仿宋" w:hAnsi="仿宋" w:eastAsia="仿宋" w:cs="仿宋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653B7A13">
      <w:pPr>
        <w:jc w:val="center"/>
        <w:rPr>
          <w:rFonts w:hint="eastAsia" w:ascii="仿宋" w:hAnsi="仿宋" w:eastAsia="仿宋" w:cs="仿宋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" w:hAnsi="仿宋" w:eastAsia="仿宋" w:cs="仿宋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采购合同</w:t>
      </w:r>
      <w:bookmarkEnd w:id="0"/>
    </w:p>
    <w:p w14:paraId="00374885">
      <w:pPr>
        <w:jc w:val="center"/>
        <w:rPr>
          <w:rFonts w:hint="eastAsia" w:ascii="仿宋" w:hAnsi="仿宋" w:eastAsia="仿宋" w:cs="仿宋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667FE710">
      <w:pPr>
        <w:jc w:val="center"/>
        <w:rPr>
          <w:rFonts w:hint="eastAsia" w:ascii="仿宋" w:hAnsi="仿宋" w:eastAsia="仿宋" w:cs="仿宋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32E28EF1">
      <w:pPr>
        <w:jc w:val="center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（示范文本）</w:t>
      </w:r>
    </w:p>
    <w:p w14:paraId="093B3D34">
      <w:pPr>
        <w:pStyle w:val="2"/>
        <w:jc w:val="center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53D53BF">
      <w:pP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BDBA2AC">
      <w:pPr>
        <w:pStyle w:val="2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7A7B5E1">
      <w:pPr>
        <w:jc w:val="center"/>
        <w:rPr>
          <w:rFonts w:hint="eastAsia" w:ascii="仿宋" w:hAnsi="仿宋" w:eastAsia="仿宋" w:cs="仿宋"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61084C80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采购人（全称）：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</w:t>
      </w:r>
    </w:p>
    <w:p w14:paraId="774D4449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供应商（全称）：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</w:t>
      </w:r>
    </w:p>
    <w:p w14:paraId="4A801AF3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2A8ECAE1">
      <w:pPr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一、项目概况</w:t>
      </w:r>
    </w:p>
    <w:p w14:paraId="1D3F7EE4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1.项目名称：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；</w:t>
      </w:r>
    </w:p>
    <w:p w14:paraId="075F02F4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2.项目地点：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>采购人指定地点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58347B3E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二、组成本合同的文件</w:t>
      </w:r>
    </w:p>
    <w:p w14:paraId="4479F900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1.协议书；</w:t>
      </w:r>
    </w:p>
    <w:p w14:paraId="48F7AAF7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2.成交通知书、磋商响应文件、磋商文件、澄清、补充文件(或委托书)；</w:t>
      </w:r>
    </w:p>
    <w:p w14:paraId="080E0A7A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3.相关服务建议书；</w:t>
      </w:r>
    </w:p>
    <w:p w14:paraId="4FCD20FF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4.附录，即：附表内相关服务的范围和内容；</w:t>
      </w:r>
    </w:p>
    <w:p w14:paraId="07EC7153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本合同签订后，双方依法签订的补充协议也是本合同文件的组成部分。</w:t>
      </w:r>
    </w:p>
    <w:p w14:paraId="0E48D7B5">
      <w:pPr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三、合同价款</w:t>
      </w:r>
    </w:p>
    <w:p w14:paraId="4DA6BA26">
      <w:pPr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合同总金额(大写)：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(¥ 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)。</w:t>
      </w:r>
    </w:p>
    <w:p w14:paraId="317ECB7D">
      <w:pPr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用"综合餐费包干"模式。甲方仅按本合同约定标准支付就餐费用，乙方承担为履行本合同所需的一切成本、费用、开支及税费，包括但不限于：所有食材采购成本、调味品、燃料、水电气费、人工薪酬福利、社会保险、管理费、利润、税费，以及本合同明确约定的全部厨具、餐具的购置、更换、维修、清洁、折旧等一切费用。除本合同明确约定的就餐费用外，甲方无需就食堂运营向乙方支付任何其他款项。</w:t>
      </w:r>
    </w:p>
    <w:p w14:paraId="177DD5A4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合同总价不受市场价变化或实际工作量变化的影响，也不接受追加金额。</w:t>
      </w:r>
    </w:p>
    <w:p w14:paraId="3D2F664E">
      <w:pPr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四、付款方式</w:t>
      </w:r>
    </w:p>
    <w:p w14:paraId="7BF44ED4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付款方式</w:t>
      </w:r>
      <w:r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：以转账形式按季度支付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合同价款</w:t>
      </w:r>
      <w:r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7A000861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.结算方式：银行转账。</w:t>
      </w:r>
    </w:p>
    <w:p w14:paraId="436E71C1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.结算单位：由成交单位按照采购文件中约定的付款方式向采购人提出申请，待财政拨付到位后可按文件中规定的付款方式进行结算。</w:t>
      </w:r>
    </w:p>
    <w:p w14:paraId="731AAA33">
      <w:pPr>
        <w:spacing w:line="360" w:lineRule="auto"/>
        <w:rPr>
          <w:rFonts w:hint="default" w:ascii="仿宋" w:hAnsi="仿宋" w:eastAsia="仿宋" w:cs="仿宋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五、服务期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：自合同签订之日起一年。</w:t>
      </w:r>
    </w:p>
    <w:p w14:paraId="65C3CAB8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六、质量保证</w:t>
      </w:r>
    </w:p>
    <w:p w14:paraId="09F4C7BF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1.服务方案科学、可行，人员配置合理，全面满足要求。</w:t>
      </w:r>
    </w:p>
    <w:p w14:paraId="52DF5BC5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2.符合国家有关服务规范要求，确保各项服务达到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文件的服务要求。</w:t>
      </w:r>
    </w:p>
    <w:p w14:paraId="79359CBA">
      <w:pPr>
        <w:spacing w:line="360" w:lineRule="auto"/>
        <w:ind w:firstLine="480" w:firstLineChars="200"/>
        <w:rPr>
          <w:rFonts w:hint="default" w:ascii="仿宋" w:hAnsi="仿宋" w:eastAsia="仿宋" w:cs="仿宋"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3.供应商提供的服务，若发生侵权而产生的一切后果，由供应商负责，采购人保留索赔权利。</w:t>
      </w:r>
    </w:p>
    <w:p w14:paraId="6D9239B5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" w:hAnsi="仿宋" w:eastAsia="仿宋" w:cs="仿宋"/>
          <w:b/>
          <w:bCs w:val="0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、服务内容及要求</w:t>
      </w:r>
    </w:p>
    <w:p w14:paraId="7014D4DA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即交付的服务与磋商响应文件、磋商文件等所指明的，或者与本合同所指明的服务内容相一致。</w:t>
      </w:r>
    </w:p>
    <w:p w14:paraId="7A887086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八、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验收</w:t>
      </w:r>
    </w:p>
    <w:p w14:paraId="046B9FFF">
      <w:pPr>
        <w:pStyle w:val="3"/>
        <w:numPr>
          <w:ilvl w:val="0"/>
          <w:numId w:val="0"/>
        </w:numPr>
        <w:ind w:left="60" w:leftChars="0" w:right="240" w:rightChars="100" w:firstLine="480" w:firstLineChars="200"/>
        <w:rPr>
          <w:rFonts w:hint="default" w:ascii="仿宋" w:hAnsi="仿宋" w:eastAsia="仿宋" w:cs="仿宋"/>
          <w:color w:val="000000" w:themeColor="text1"/>
          <w:sz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color w:val="000000" w:themeColor="text1"/>
          <w:sz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1.符合现行国家、行业“合格”标准，符合采购人要求进行验收。</w:t>
      </w:r>
    </w:p>
    <w:p w14:paraId="24FEC9CB">
      <w:pPr>
        <w:pStyle w:val="3"/>
        <w:numPr>
          <w:ilvl w:val="0"/>
          <w:numId w:val="0"/>
        </w:numPr>
        <w:ind w:left="60" w:leftChars="0" w:right="240" w:rightChars="100" w:firstLine="480" w:firstLineChars="200"/>
        <w:rPr>
          <w:rFonts w:hint="default" w:ascii="仿宋" w:hAnsi="仿宋" w:eastAsia="仿宋" w:cs="仿宋"/>
          <w:color w:val="000000" w:themeColor="text1"/>
          <w:sz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color w:val="000000" w:themeColor="text1"/>
          <w:sz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2.采购人进行验收，若认为验收不合格，供应商应重新调整且进行重新验收。</w:t>
      </w:r>
    </w:p>
    <w:p w14:paraId="2B4924BD">
      <w:pPr>
        <w:pStyle w:val="3"/>
        <w:numPr>
          <w:ilvl w:val="0"/>
          <w:numId w:val="0"/>
        </w:numPr>
        <w:ind w:left="60" w:leftChars="0" w:right="240" w:rightChars="100" w:firstLine="480" w:firstLineChars="200"/>
        <w:rPr>
          <w:rFonts w:hint="default" w:ascii="仿宋" w:hAnsi="仿宋" w:eastAsia="仿宋" w:cs="仿宋"/>
          <w:color w:val="000000" w:themeColor="text1"/>
          <w:sz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color w:val="000000" w:themeColor="text1"/>
          <w:sz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3.验收依据：</w:t>
      </w:r>
    </w:p>
    <w:p w14:paraId="2F8ECFDA">
      <w:pPr>
        <w:pStyle w:val="3"/>
        <w:numPr>
          <w:ilvl w:val="0"/>
          <w:numId w:val="0"/>
        </w:numPr>
        <w:ind w:left="60" w:leftChars="0" w:right="240" w:rightChars="100" w:firstLine="480" w:firstLineChars="200"/>
        <w:rPr>
          <w:rFonts w:hint="default" w:ascii="仿宋" w:hAnsi="仿宋" w:eastAsia="仿宋" w:cs="仿宋"/>
          <w:color w:val="000000" w:themeColor="text1"/>
          <w:sz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color w:val="000000" w:themeColor="text1"/>
          <w:sz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①本项目磋商文件、磋商响应文件；</w:t>
      </w:r>
    </w:p>
    <w:p w14:paraId="3006590D">
      <w:pPr>
        <w:pStyle w:val="3"/>
        <w:numPr>
          <w:ilvl w:val="0"/>
          <w:numId w:val="0"/>
        </w:numPr>
        <w:ind w:left="60" w:leftChars="0" w:right="240" w:rightChars="100" w:firstLine="480" w:firstLineChars="200"/>
        <w:rPr>
          <w:rFonts w:hint="default" w:ascii="仿宋" w:hAnsi="仿宋" w:eastAsia="仿宋" w:cs="仿宋"/>
          <w:color w:val="000000" w:themeColor="text1"/>
          <w:sz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color w:val="000000" w:themeColor="text1"/>
          <w:sz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②本合同及附件文本；</w:t>
      </w:r>
    </w:p>
    <w:p w14:paraId="0BB85FD2">
      <w:pPr>
        <w:pStyle w:val="3"/>
        <w:numPr>
          <w:ilvl w:val="0"/>
          <w:numId w:val="0"/>
        </w:numPr>
        <w:ind w:left="60" w:leftChars="0" w:right="240" w:rightChars="100" w:firstLine="480" w:firstLineChars="200"/>
        <w:rPr>
          <w:rFonts w:hint="default" w:ascii="仿宋" w:hAnsi="仿宋" w:eastAsia="仿宋" w:cs="仿宋"/>
          <w:color w:val="000000" w:themeColor="text1"/>
          <w:sz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color w:val="000000" w:themeColor="text1"/>
          <w:sz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③合同签订时国家及行业现行的标准和技术规范。</w:t>
      </w:r>
    </w:p>
    <w:p w14:paraId="3CEE4AA3">
      <w:pPr>
        <w:pStyle w:val="3"/>
        <w:numPr>
          <w:ilvl w:val="0"/>
          <w:numId w:val="0"/>
        </w:numPr>
        <w:ind w:left="60" w:leftChars="0" w:right="240" w:rightChars="100" w:firstLine="480" w:firstLineChars="200"/>
        <w:rPr>
          <w:rFonts w:hint="default" w:ascii="仿宋" w:hAnsi="仿宋" w:eastAsia="仿宋" w:cs="仿宋"/>
          <w:color w:val="000000" w:themeColor="text1"/>
          <w:sz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color w:val="000000" w:themeColor="text1"/>
          <w:sz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④供应商应向采购人提交项目实施过程中的所有资料，以便采购人日后整理汇总。</w:t>
      </w:r>
    </w:p>
    <w:p w14:paraId="27D29A91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、技术要求</w:t>
      </w:r>
    </w:p>
    <w:p w14:paraId="5DCF8193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满足竞争性磋商文件中采购内容及技术要求。</w:t>
      </w:r>
    </w:p>
    <w:p w14:paraId="4584D80D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十、双方的权利和义务</w:t>
      </w:r>
    </w:p>
    <w:p w14:paraId="4CB2574D">
      <w:pPr>
        <w:spacing w:line="360" w:lineRule="auto"/>
        <w:ind w:firstLine="240" w:firstLineChars="1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（1）采购人的权利和义务</w:t>
      </w:r>
    </w:p>
    <w:p w14:paraId="2CCDAE8F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.采购人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的工作进行监督、检查和指导，有权向乙方要求调换服务不合格人员。</w:t>
      </w:r>
    </w:p>
    <w:p w14:paraId="5D11A6EA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.采购人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有权对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配备的服务人员进行审核，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如更换人员，应征得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同意后更换。</w:t>
      </w:r>
    </w:p>
    <w:p w14:paraId="6A5BA8BF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.采购人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应按合同约定及时向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支付服务费用。</w:t>
      </w:r>
    </w:p>
    <w:p w14:paraId="391C8A82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.采购人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应根据管理规定相关要求和条例对乙方进行实时考核，考核内容包含但不限于人员服务情况、培训情况、管理制度、岗位制度、应急处理情况等。</w:t>
      </w:r>
    </w:p>
    <w:p w14:paraId="1DFAADC3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（2）供应商的权利和义务</w:t>
      </w:r>
    </w:p>
    <w:p w14:paraId="6E3D075E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有权要求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按合同约定及时支付合同款。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应及时向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提供台账供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审核确认。</w:t>
      </w:r>
    </w:p>
    <w:p w14:paraId="765374C4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负责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员工用餐的加工制作，提供用餐场所，负责餐厅所辖区域的设备、设施安全运行及维护、卫生清洁服务，负责打卡收费，负责餐厅食品卫生、设备安全等工作，负责完成和餐饮有关的其它工作任务。</w:t>
      </w:r>
    </w:p>
    <w:p w14:paraId="36D0A019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.供应商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必须遵守国家和地方有关安全、环境和食品卫生的标准。严格执行机关厨房的相关安全管理制度、安全操作规程，并认真执行。同时对所属人员进行经常性的职业道德、食品安全卫生、安全规章等安全知识培训。采取有效措施做好各类事故预防工作。</w:t>
      </w:r>
    </w:p>
    <w:p w14:paraId="4CC3EC6D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.供应商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提供的主、副食等食用品及调科制品必须保证其产品质量，严禁使用腐烂、变质、过期的产品。特别肉类制品必须留存合格的卫生检疫证明，对由于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提供不符合食品卫生标准的劣质食品，或任何变质和受污染的食品，造成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人员食物中毒的，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承担全部责任，所产生的费用均由乙方承担。</w:t>
      </w:r>
    </w:p>
    <w:p w14:paraId="7723EC84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5.厨具设备责任</w:t>
      </w:r>
    </w:p>
    <w:p w14:paraId="0A02BE63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(a)范围："厨具设备"指为完成供餐服务所需的全部设备、用具、器皿，包括但不限于灶具、炊具、厨房电器、冷藏冷冻设备、消毒设备、排烟系统、餐具、就餐桌椅等（以下简称"厨具"）。</w:t>
      </w:r>
    </w:p>
    <w:p w14:paraId="2C7D4B1B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(b)购置与权属：供应商应根据餐饮服务许可要求及供餐需求，自行出资购置品质合格、数量充足的厨具。本合同履行期间，供应商添置的所有厨具其所有权归供应商所有。</w:t>
      </w:r>
    </w:p>
    <w:p w14:paraId="425EC996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(c)维护与安全：供应商负责所有厨具的日常维护、保养、清洁、消毒及安全管理，确保其始终处于良好、安全、卫生的工作状态。相关费用由供应商承担。</w:t>
      </w:r>
    </w:p>
    <w:p w14:paraId="37337FF0">
      <w:pPr>
        <w:spacing w:line="360" w:lineRule="auto"/>
        <w:ind w:firstLine="480" w:firstLineChars="200"/>
        <w:rPr>
          <w:rFonts w:hint="default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(d)责任承担：因厨具的采购、质量、安装、使用、维护、存放、处置等引发的任何纠纷、索赔、行政处罚、安全事故（包括但不限于产品质量责任、人身伤害、财产损失等），均由供应商独立承担全部法律责任和经济责任。若因此导致甲方或任何第三方遭受损失，供应商应负责全额赔偿，并保证采购人免受损害。</w:t>
      </w:r>
    </w:p>
    <w:p w14:paraId="38BD3CDB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6.供应商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服务人员必须定期体检，持有效的健康证上岗操作。对因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未组织所属人员体检，携带传染性疾病上岗操作，导致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人员发生传染病事件，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负责承担全部责任。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工作中应厉行节约，杜绝餐饮浪费。</w:t>
      </w:r>
    </w:p>
    <w:p w14:paraId="44E21E86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应认真落实防蚊、蝇、鼠害等安全措施，做好防疫工作，避免疾病，传染病的传播。7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供应商每日食品须留样，食品样品的提取和保存应满足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或政府监管部门的要求，供应商应随时配合政府有关部门的管理。</w:t>
      </w:r>
    </w:p>
    <w:p w14:paraId="02CE1211">
      <w:pPr>
        <w:spacing w:line="360" w:lineRule="auto"/>
        <w:ind w:firstLine="480" w:firstLineChars="200"/>
        <w:rPr>
          <w:rFonts w:hint="default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8.供应商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需指派一名项目负责人，项目负责人负责与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的联系沟通。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项目负责人: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身份证号: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联系电话: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71006FF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.供应商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按照管理制度对人员进行管理，若出现人员不遵守管理制度，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应按制度处罚并及时更换人员。</w:t>
      </w:r>
    </w:p>
    <w:p w14:paraId="7065210B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.供应商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保障员工薪资福利、缴纳社保和商业保险等。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未及时向员工支付相关费用产生的责任由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自行负责，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均不承担责任。</w:t>
      </w:r>
    </w:p>
    <w:p w14:paraId="327B7AE7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.供应商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负责处理相关人员的劳动争议事宜。</w:t>
      </w:r>
    </w:p>
    <w:p w14:paraId="6010D243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因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操作不规范产生的不良影响，由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自行负责。</w:t>
      </w:r>
    </w:p>
    <w:p w14:paraId="2F7B634C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.供应商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应承担工作现场的责任和风险以及期间发生的一切费用，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若因工作现场而发生的人身伤亡、财产或其他损失，不论何种原因所造成，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均不承担责任。</w:t>
      </w:r>
    </w:p>
    <w:p w14:paraId="5BC7A48B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接受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的管理、监督、检查和考核，对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发出的整改通知，应及时按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的要求进行整改。</w:t>
      </w:r>
    </w:p>
    <w:p w14:paraId="06F09BD2">
      <w:pPr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、保密</w:t>
      </w:r>
    </w:p>
    <w:p w14:paraId="333026EE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对工作中了解到的采购人的技术、机密等进行严格保密，不得向他人泄漏。本合同的解除或终止不免除供应商应承担的保密义务。</w:t>
      </w:r>
    </w:p>
    <w:p w14:paraId="4A82D54C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、知识产权</w:t>
      </w:r>
    </w:p>
    <w:p w14:paraId="53A28936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供应商应对所供产品具有或已取得合法知识产权，供应商应保证所供产品及服务不会出现因第三方提出侵犯其专利权、商标权或</w:t>
      </w:r>
      <w:r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19ADD0B5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、合同争议的解决</w:t>
      </w:r>
    </w:p>
    <w:p w14:paraId="42243273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合同执行中发生争议的，当事人双方应协商解决，协商达不成一致时，可向有管辖权的人民法院提起诉讼。</w:t>
      </w:r>
    </w:p>
    <w:p w14:paraId="22FE89DD">
      <w:pPr>
        <w:spacing w:line="360" w:lineRule="auto"/>
        <w:rPr>
          <w:rFonts w:hint="eastAsia" w:ascii="仿宋" w:hAnsi="仿宋" w:eastAsia="仿宋" w:cs="仿宋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仿宋" w:hAnsi="仿宋" w:eastAsia="仿宋" w:cs="仿宋"/>
          <w:b/>
          <w:bCs/>
          <w:color w:val="000000" w:themeColor="text1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" w:hAnsi="仿宋" w:eastAsia="仿宋" w:cs="仿宋"/>
          <w:b/>
          <w:bCs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不可抗力情况下的免责约定</w:t>
      </w:r>
    </w:p>
    <w:p w14:paraId="19C5C04C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双方约定不可抗力情况包括：五级以上地震、大风、大雨、大雪。</w:t>
      </w:r>
    </w:p>
    <w:p w14:paraId="721C0468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、除本合同约定，合同一经签订，不得擅自变更、中止或者终止合同。对确需变更、调整或者中止、终止合同的，应按规定履行相应的手续。</w:t>
      </w:r>
    </w:p>
    <w:p w14:paraId="39B8B0B8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、违约责任</w:t>
      </w:r>
    </w:p>
    <w:p w14:paraId="1D74769A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1.按《中华人民共和国民法典》中的相关条款执行。</w:t>
      </w:r>
    </w:p>
    <w:p w14:paraId="565AE933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2.如乙方所提供的服务内容出现瑕疵及质量问题，或乙方未按合同要求提供服务或服务不能满足合同要求，甲方有权依据《中华人民共和国民法典》有关条款及合同约定终止合同，并要求服务商承担违约责任。</w:t>
      </w:r>
    </w:p>
    <w:p w14:paraId="23256DB9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3.甲乙双方应遵守合同并执行合同中的各项规定，保证合同的正常履行。</w:t>
      </w:r>
    </w:p>
    <w:p w14:paraId="519FE8DB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4.如碰到不可抗力因素造成无法按照原计划提供服务的，由甲乙双方协商解决。</w:t>
      </w:r>
    </w:p>
    <w:p w14:paraId="0D5751F4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十八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、其他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(在合同中具体明确)</w:t>
      </w:r>
    </w:p>
    <w:p w14:paraId="0E1304E0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、合同订立</w:t>
      </w:r>
    </w:p>
    <w:p w14:paraId="7DE65865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1.订立时间：</w:t>
      </w:r>
      <w:r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月      日。</w:t>
      </w:r>
    </w:p>
    <w:p w14:paraId="6BAE0E40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2.订立地点：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0B7AAF96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3.本合同一式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份，具有同等法律效力，双方各执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份，监管部门备案壹份、采购代理机构存档壹份。各方签字盖章后生效，合同执行完毕自动失效。(合同的服务承诺则长期有效)。</w:t>
      </w:r>
    </w:p>
    <w:p w14:paraId="7CA5C6AA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采购人：   （盖章）                      供应商：   （盖章）         </w:t>
      </w:r>
    </w:p>
    <w:p w14:paraId="3A7E35FD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地  址：                                 地  址：                    </w:t>
      </w:r>
    </w:p>
    <w:p w14:paraId="279F8806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邮政编码：                               邮政编码：                  </w:t>
      </w:r>
    </w:p>
    <w:p w14:paraId="204757FA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法定代表人或其授权                       法定代表人或其授权 </w:t>
      </w:r>
    </w:p>
    <w:p w14:paraId="5B88E6DE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的代理人：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（签字）   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的代理人：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（签字）          </w:t>
      </w:r>
    </w:p>
    <w:p w14:paraId="28FBE8D3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开户银行：                               开户银行：                  </w:t>
      </w:r>
    </w:p>
    <w:p w14:paraId="0AAC03F4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账号：                                   账号：                      </w:t>
      </w:r>
    </w:p>
    <w:p w14:paraId="6B838CF0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电话：                                   电话：                      </w:t>
      </w:r>
    </w:p>
    <w:p w14:paraId="4C1D4590">
      <w:pPr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传真：                                   传真：                      </w:t>
      </w:r>
    </w:p>
    <w:p w14:paraId="433269F0"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电子邮箱：                               电子邮箱：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5B6E9A"/>
    <w:rsid w:val="1E5B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lock Text"/>
    <w:basedOn w:val="1"/>
    <w:unhideWhenUsed/>
    <w:qFormat/>
    <w:uiPriority w:val="99"/>
    <w:pPr>
      <w:spacing w:line="360" w:lineRule="auto"/>
      <w:ind w:left="-420" w:leftChars="-200" w:right="210" w:rightChars="100"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2026-02-25T05:32:00Z</dcterms:created>
  <dc:creator>苍白假面</dc:creator>
  <cp:lastModifiedBy>苍白假面</cp:lastModifiedBy>
  <dcterms:modified xsi:type="dcterms:W3CDTF">2026-02-25T05:33:23Z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BB9FC59CFD784837B8E0E9AC9499A169_11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