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EFB57">
      <w:pPr>
        <w:pStyle w:val="6"/>
        <w:jc w:val="center"/>
        <w:outlineLvl w:val="1"/>
        <w:rPr>
          <w:rFonts w:hint="default"/>
          <w:color w:val="auto"/>
        </w:rPr>
      </w:pPr>
      <w:r>
        <w:rPr>
          <w:b/>
          <w:color w:val="auto"/>
          <w:sz w:val="36"/>
        </w:rPr>
        <w:t>第八章拟签订采购合同文本</w:t>
      </w:r>
    </w:p>
    <w:p w14:paraId="7C6361C1">
      <w:pPr>
        <w:pStyle w:val="6"/>
        <w:rPr>
          <w:rFonts w:hint="default"/>
          <w:color w:val="auto"/>
        </w:rPr>
      </w:pPr>
      <w:r>
        <w:rPr>
          <w:color w:val="auto"/>
          <w:sz w:val="24"/>
          <w:szCs w:val="24"/>
        </w:rPr>
        <w:t>详见附件：合同模板.docx</w:t>
      </w:r>
    </w:p>
    <w:p w14:paraId="1B0DEA69">
      <w:pPr>
        <w:pStyle w:val="6"/>
        <w:rPr>
          <w:rFonts w:hint="default"/>
          <w:color w:val="auto"/>
        </w:rPr>
      </w:pPr>
      <w:r>
        <w:rPr>
          <w:color w:val="auto"/>
        </w:rPr>
        <w:br w:type="page"/>
      </w:r>
    </w:p>
    <w:p w14:paraId="371A6852">
      <w:pPr>
        <w:numPr>
          <w:ilvl w:val="0"/>
          <w:numId w:val="1"/>
        </w:numPr>
        <w:spacing w:before="120" w:beforeLines="50" w:line="360" w:lineRule="auto"/>
        <w:jc w:val="center"/>
        <w:rPr>
          <w:rFonts w:hint="eastAsia" w:cs="仿宋" w:asciiTheme="minorEastAsia" w:hAnsiTheme="minorEastAsia"/>
          <w:b/>
          <w:bCs/>
          <w:color w:val="auto"/>
          <w:sz w:val="36"/>
          <w:szCs w:val="36"/>
        </w:rPr>
      </w:pPr>
      <w:r>
        <w:rPr>
          <w:rFonts w:hint="eastAsia" w:cs="仿宋" w:asciiTheme="minorEastAsia" w:hAnsiTheme="minorEastAsia"/>
          <w:b/>
          <w:bCs/>
          <w:color w:val="auto"/>
          <w:sz w:val="36"/>
          <w:szCs w:val="36"/>
        </w:rPr>
        <w:t xml:space="preserve"> 协议书</w:t>
      </w:r>
    </w:p>
    <w:p w14:paraId="5A73EC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甲方（采购人)：</w:t>
      </w:r>
    </w:p>
    <w:p w14:paraId="6426784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0315AD7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乙方（供应商)：</w:t>
      </w:r>
    </w:p>
    <w:p w14:paraId="4E62C4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0086729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甲乙双方本着公正、诚信、互惠互利、友好合作的原则，根据《中华人民共和国政府采购法》、《中华人民共和国民法典》及相关法律规定，就由乙方负责向甲方提供</w:t>
      </w:r>
    </w:p>
    <w:p w14:paraId="338D217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项目相关事宜，为保证双方的权益，特订立本合同。</w:t>
      </w:r>
    </w:p>
    <w:p w14:paraId="4B6004A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一、项目概况</w:t>
      </w:r>
    </w:p>
    <w:p w14:paraId="11EF569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项目名称：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543397B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项目地点：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496296A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二、组成本合同的文件</w:t>
      </w:r>
    </w:p>
    <w:p w14:paraId="5A12467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协议书；</w:t>
      </w:r>
    </w:p>
    <w:p w14:paraId="565B134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成交通知书、响应文件、竞争性磋商文件、澄清、竞争性磋商补充文件；</w:t>
      </w:r>
    </w:p>
    <w:p w14:paraId="62D0D61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 相关服务建议书；</w:t>
      </w:r>
    </w:p>
    <w:p w14:paraId="1634CDC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 附录，即：附表内相关服务的范围和内容；</w:t>
      </w:r>
    </w:p>
    <w:p w14:paraId="030CDD6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本合同签订后，双方依法签订的补充协议也是本合同文件的组成部分。</w:t>
      </w:r>
    </w:p>
    <w:p w14:paraId="0F0E3E2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合同金额</w:t>
      </w:r>
    </w:p>
    <w:p w14:paraId="578729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中标折扣：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</w:t>
      </w:r>
    </w:p>
    <w:p w14:paraId="4EF315B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合同折扣即中标折扣，为一次性报价，不受市场价变化或实际工作量变化的影响。合同价格为含税价，供应商（中标人）提供产品所发生的一切税费（包括增值税）等都已包含于合同价款中。</w:t>
      </w:r>
    </w:p>
    <w:p w14:paraId="2CD43B7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结算方式：</w:t>
      </w:r>
    </w:p>
    <w:p w14:paraId="6396DB2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转账：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月初乙方向甲方提交定价单，甲方根据实际用量，凭本月定价单和验收单，采用支票或转帐的形式结算，结算价格以采购方当月询价标准*供货数量*折扣；第三个月30日前结第一个月货款，第四个月30日前结第二个月货款，依次类推（节假日顺延），最终结算金额不超过采购预算金额。甲方付款前，乙方需提供与当月结算价格等额的正规发票。</w:t>
      </w:r>
    </w:p>
    <w:p w14:paraId="4A8DF85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配送服务期限及内容</w:t>
      </w:r>
    </w:p>
    <w:p w14:paraId="1DA5EB6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服务期：自合同签订之日起一年；</w:t>
      </w:r>
    </w:p>
    <w:p w14:paraId="3ECE4B3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在合同期内，乙方按甲方订购的品种、数量、质量准时向甲方提供配送服务。QQ、微信、传真或邮件等方式向乙方下订单（以上订单方式确定选择一种），以确保采购食材能按时完成并及时送达，过时不予接受订单。订单内容应清楚说明品名、数量、质量及特殊要求等。(特殊情况除外)</w:t>
      </w:r>
    </w:p>
    <w:p w14:paraId="14CBE1A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送货：所有食材采购及配送时间均以甲方通知为准，将所订购的食材送至甲方指定地点。乙方所供的货品必须按甲方所规定的配送时间准时送达，到货后乙方需协助甲方的工作人员过秤入库。如果因食材质量和送货时间延迟未送达到甲方指定地点，累计超过3次甲方有权停止供货商当月送货。　</w:t>
      </w:r>
    </w:p>
    <w:p w14:paraId="383C7FA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验收标准:</w:t>
      </w:r>
    </w:p>
    <w:p w14:paraId="2790093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验收：乙方每次随货送上一式三份的送货清单，甲方须指派专人接收、称重并验收菜品质量；验收合格后由甲方指定验收员签字核认，作为结算凭证。对不符合质量的品种，甲方有权退、换货。货品验收合格签收。</w:t>
      </w:r>
    </w:p>
    <w:p w14:paraId="6B66FE2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库管、采购员负责入库食品检验，值班厨师配合质量验收，食品验收填写《原料购进验收单》，验收标准如下：</w:t>
      </w:r>
    </w:p>
    <w:p w14:paraId="1710304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定型包装食品，应检验包装标识或者产品说明书是否标出品名、产地、厂名、生产日期、批号或者代号、规格、配方或者主要成份、保质期限、食用或者使用方法等，防止购进假冒伪劣产品，禁止“三无”产品进入食堂；</w:t>
      </w:r>
    </w:p>
    <w:p w14:paraId="74B8519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主要食材中的定型包装食品，如米面油类，供应商需要提供三证，即生产厂家的卫生许可证（若非从厂家直接采购的还需同时提供供货单位的卫生许可证）复印件；批次产品卫生主管部门的检验报告；送货人员的健康证明；</w:t>
      </w:r>
    </w:p>
    <w:p w14:paraId="58819EE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（3）包装污秽不洁、严重破损、运输工具不洁等造成污染的产品不得验收入库；</w:t>
      </w:r>
    </w:p>
    <w:p w14:paraId="41CB6D8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非定型包装的食品（或原材料）需进行感官检查：若发现腐败变质、油脂酸度、霉变、生虫、不洁，混有异物或者其他感官性状异常现象，不得入库；未经卫生检验部门或者检验不合格的肉类及其制品不得入库；掺假、掺杂、伪造的食品不得入库。</w:t>
      </w:r>
    </w:p>
    <w:p w14:paraId="1B1C98C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5）食堂采购员、库管员和值班厨师共同对所购食品原辅料的质量、数量进行核对验收，验收合格的及时入库，并在《原料购进验收单》上签字确认。不合格产品应及时退回供应商，同时做好验收记录。食堂厨师长不定时抽查。</w:t>
      </w:r>
    </w:p>
    <w:p w14:paraId="7824B87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（6）入库时，保管员要清点入库物品的数量、规格，做到数量、规格、品种准确无误，入库时按不同的材质、规格、功能和要求，分类、分别储存，做到账物相符。</w:t>
      </w:r>
    </w:p>
    <w:p w14:paraId="712510A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甲方的权利和义务</w:t>
      </w:r>
    </w:p>
    <w:p w14:paraId="5AB1907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（1）在乙方无违约的前提下，甲方委托乙方作为定点采购配送单位，承担本合同类的食堂原材料采购配送工作；</w:t>
      </w:r>
    </w:p>
    <w:p w14:paraId="5534956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（2）甲方有权监督乙方的原材料采购配送工作；</w:t>
      </w:r>
    </w:p>
    <w:p w14:paraId="1FD098F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（3）甲方对乙方所配送食材进行检查，发现过期，损坏等不合格食材，甲方有权拒收，以确保食材安全卫生；乙方所配送食材经甲方指派人员签字后方可视为安全食材；</w:t>
      </w:r>
    </w:p>
    <w:p w14:paraId="7DFA4D7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（4）甲方如有特殊情况，可提前微信图片或电话通知乙方临时增加食材配送工作，乙方应给予积极配合；</w:t>
      </w:r>
    </w:p>
    <w:p w14:paraId="2201306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（5）乙方配送的1/2食材的价格高于采购人考察的市场均价10%以上的，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经双方协商无果后，甲方可以提前终止合同。</w:t>
      </w:r>
    </w:p>
    <w:p w14:paraId="4B3B92B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乙方的权利和义务</w:t>
      </w:r>
    </w:p>
    <w:p w14:paraId="5D13FB4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（1）乙方须按本合同要求，保质保量完成甲方的原材料采购配送工作；</w:t>
      </w:r>
    </w:p>
    <w:p w14:paraId="2622E4A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（2）乙方应指派专人负责甲方原材料采购配送工作，及时收集甲方反馈意见；甲方指定专人检查接收配送产品，如发现不合格产品甲方有权要求乙方更换合格产品，甲方专人签字收货则表明产品无质量问题；</w:t>
      </w:r>
    </w:p>
    <w:p w14:paraId="1B2BD89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（3）乙方在配送过程中应做到安全有序，自觉遵守甲方各项安全管理规章制度。乙方为甲方唯一食材供应商，甲方私自采购食材而出现的食物中毒或其他食品安全事故，其后果由甲方承担。</w:t>
      </w:r>
    </w:p>
    <w:p w14:paraId="20FFBB0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（4）乙方从甲方得到的采购信息，未经甲方同意，乙方不得向第三方公开，泄漏或使用；</w:t>
      </w:r>
    </w:p>
    <w:p w14:paraId="1255150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（5）乙方配送食材原材料被食品监督部门检验不合格造成不良后果，由乙方承担全部责任，并承担全部经济损失；</w:t>
      </w:r>
    </w:p>
    <w:p w14:paraId="0D497E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（6）食材供应发生群体食物中毒事故，经检验是乙方配送食材原因的，乙方承担相应事故责任，并承担全部经济损失。</w:t>
      </w:r>
    </w:p>
    <w:p w14:paraId="485D5DE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九、违约责任</w:t>
      </w:r>
    </w:p>
    <w:p w14:paraId="301172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1、乙方提供的货物不符合合同约定的质量标准的，每违约一次，应向甲方支付违约金人民币10万元（大写：壹拾万元整）；给甲方造成损失的，乙方还应继续承担全部赔偿责任。</w:t>
      </w:r>
    </w:p>
    <w:p w14:paraId="084BED6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2、乙方未按甲方要求的品类、数量、规格等提供货物的，每违约一次，应向甲方支付违约金人民币1万元（大写：壹万元整）；给甲方造成经济损失的，乙方还应继续承担全部赔偿责任。</w:t>
      </w:r>
    </w:p>
    <w:p w14:paraId="0B76473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3、乙方违反合同约定，甲方有权责令其在24小时内整改，如乙方整改后仍不能达到甲方要求，甲方有权解除本合同。</w:t>
      </w:r>
    </w:p>
    <w:p w14:paraId="19D7359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4、任何一方出现违约情形导致合同无法继续履行的，守约方解除合同应提前7个工作日以书面方式通知对方。</w:t>
      </w:r>
    </w:p>
    <w:p w14:paraId="6B4A635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5、乙方未依约按时履行合同义务的，每逾期一日或违约一次的，应向甲方支付违约金5000元。</w:t>
      </w:r>
    </w:p>
    <w:p w14:paraId="1E2D07E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6、乙方严格按照甲方订单指定采购食材，如因甲方订单失误造成乙方采购货品错误，乙方不承担责任。</w:t>
      </w:r>
    </w:p>
    <w:p w14:paraId="428264B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7、违约金可累计计算，乙方同意甲方在应付货款内先予扣除其应支付的违约金。</w:t>
      </w:r>
    </w:p>
    <w:p w14:paraId="1550B36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十、合同生效及其他</w:t>
      </w:r>
    </w:p>
    <w:p w14:paraId="02A7AF9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1、本合同经双方代表签字加盖公章后生效。</w:t>
      </w:r>
    </w:p>
    <w:p w14:paraId="57B5841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2、本合同一式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份，甲方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份、乙方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份。</w:t>
      </w:r>
    </w:p>
    <w:p w14:paraId="6E1DFCC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3、经双方签字核认的送货清单，作为本合同附件同具法律效力。</w:t>
      </w:r>
    </w:p>
    <w:p w14:paraId="47F5A57C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00" w:lineRule="exact"/>
        <w:ind w:firstLineChars="200"/>
        <w:jc w:val="both"/>
        <w:rPr>
          <w:rFonts w:hAnsi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4、本合同未尽事宜，双方协商解决，发生纠纷时如双方协商不成可申请甲方所在地人民法院裁决。</w:t>
      </w:r>
    </w:p>
    <w:p w14:paraId="5471C834">
      <w:pPr>
        <w:pStyle w:val="4"/>
        <w:snapToGrid w:val="0"/>
        <w:spacing w:line="360" w:lineRule="auto"/>
        <w:ind w:firstLineChars="200"/>
        <w:jc w:val="both"/>
        <w:rPr>
          <w:rFonts w:hAnsi="宋体"/>
          <w:color w:val="auto"/>
          <w:szCs w:val="24"/>
        </w:rPr>
      </w:pPr>
    </w:p>
    <w:p w14:paraId="3B329DF6">
      <w:pPr>
        <w:pStyle w:val="4"/>
        <w:snapToGrid w:val="0"/>
        <w:spacing w:line="360" w:lineRule="auto"/>
        <w:ind w:firstLineChars="200"/>
        <w:jc w:val="both"/>
        <w:rPr>
          <w:rFonts w:hAnsi="宋体"/>
          <w:color w:val="auto"/>
          <w:szCs w:val="24"/>
        </w:rPr>
      </w:pPr>
    </w:p>
    <w:p w14:paraId="6B76BBA7">
      <w:pPr>
        <w:pStyle w:val="4"/>
        <w:snapToGrid w:val="0"/>
        <w:spacing w:line="360" w:lineRule="auto"/>
        <w:ind w:firstLineChars="200"/>
        <w:jc w:val="both"/>
        <w:rPr>
          <w:rFonts w:hAnsi="宋体"/>
          <w:color w:val="auto"/>
          <w:szCs w:val="24"/>
        </w:rPr>
      </w:pPr>
    </w:p>
    <w:p w14:paraId="50C5652D">
      <w:pPr>
        <w:pStyle w:val="4"/>
        <w:snapToGrid w:val="0"/>
        <w:spacing w:line="360" w:lineRule="auto"/>
        <w:rPr>
          <w:rFonts w:hAnsi="宋体"/>
          <w:color w:val="auto"/>
          <w:szCs w:val="24"/>
        </w:rPr>
      </w:pPr>
      <w:r>
        <w:rPr>
          <w:rFonts w:hint="eastAsia" w:hAnsi="宋体"/>
          <w:color w:val="auto"/>
          <w:szCs w:val="24"/>
        </w:rPr>
        <w:t>（本页以下无正文）</w:t>
      </w:r>
    </w:p>
    <w:p w14:paraId="3DA9D4EE">
      <w:pPr>
        <w:adjustRightInd w:val="0"/>
        <w:snapToGrid w:val="0"/>
        <w:spacing w:line="360" w:lineRule="auto"/>
        <w:rPr>
          <w:rFonts w:ascii="宋体" w:hAnsi="宋体"/>
          <w:color w:val="auto"/>
          <w:kern w:val="0"/>
          <w:sz w:val="24"/>
        </w:rPr>
        <w:sectPr>
          <w:pgSz w:w="11906" w:h="16838"/>
          <w:pgMar w:top="1417" w:right="1134" w:bottom="1417" w:left="1417" w:header="851" w:footer="992" w:gutter="0"/>
          <w:pgNumType w:fmt="decimal"/>
          <w:cols w:space="425" w:num="1"/>
          <w:rtlGutter w:val="0"/>
          <w:docGrid w:type="lines" w:linePitch="312" w:charSpace="0"/>
        </w:sectPr>
      </w:pPr>
    </w:p>
    <w:tbl>
      <w:tblPr>
        <w:tblStyle w:val="2"/>
        <w:tblW w:w="85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0"/>
        <w:gridCol w:w="4270"/>
      </w:tblGrid>
      <w:tr w14:paraId="6C22B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1" w:hRule="atLeast"/>
          <w:jc w:val="center"/>
        </w:trPr>
        <w:tc>
          <w:tcPr>
            <w:tcW w:w="4270" w:type="dxa"/>
            <w:noWrap/>
          </w:tcPr>
          <w:p w14:paraId="25D8077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lang w:eastAsia="zh-CN"/>
              </w:rPr>
              <w:t>采购人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（甲方）单位名称:</w:t>
            </w:r>
          </w:p>
          <w:p w14:paraId="1C580721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6A11BB51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50694567">
            <w:pPr>
              <w:pStyle w:val="5"/>
              <w:snapToGrid w:val="0"/>
              <w:spacing w:line="360" w:lineRule="auto"/>
              <w:ind w:firstLine="0"/>
              <w:jc w:val="both"/>
              <w:outlineLvl w:val="0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270" w:type="dxa"/>
            <w:noWrap/>
          </w:tcPr>
          <w:p w14:paraId="732FBFB8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lang w:eastAsia="zh-CN"/>
              </w:rPr>
              <w:t>供应商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（乙方）单位名称:</w:t>
            </w:r>
          </w:p>
          <w:p w14:paraId="4EEB9C7C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735AE2D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7AC539B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3E644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452AF5B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法定代表人：</w:t>
            </w:r>
          </w:p>
          <w:p w14:paraId="45BB7E2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248BE2DD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  <w:p w14:paraId="31A1C67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270" w:type="dxa"/>
            <w:noWrap/>
          </w:tcPr>
          <w:p w14:paraId="5A479D1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法定代表人： </w:t>
            </w:r>
          </w:p>
          <w:p w14:paraId="74B4FE8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38DFF60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</w:tc>
      </w:tr>
      <w:tr w14:paraId="13DFF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21FEA25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  <w:tc>
          <w:tcPr>
            <w:tcW w:w="4270" w:type="dxa"/>
            <w:noWrap/>
          </w:tcPr>
          <w:p w14:paraId="442BEE5C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电话： </w:t>
            </w:r>
          </w:p>
        </w:tc>
      </w:tr>
      <w:tr w14:paraId="7C4B3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460569D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</w:tc>
        <w:tc>
          <w:tcPr>
            <w:tcW w:w="4270" w:type="dxa"/>
            <w:noWrap/>
          </w:tcPr>
          <w:p w14:paraId="7197578B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  <w:p w14:paraId="10157C4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2D895B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254EAE9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</w:tc>
        <w:tc>
          <w:tcPr>
            <w:tcW w:w="4270" w:type="dxa"/>
            <w:noWrap/>
          </w:tcPr>
          <w:p w14:paraId="65375BC4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  <w:p w14:paraId="3782CCFD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1834E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792CB2D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  <w:tc>
          <w:tcPr>
            <w:tcW w:w="4270" w:type="dxa"/>
            <w:noWrap/>
          </w:tcPr>
          <w:p w14:paraId="0E97353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</w:tr>
    </w:tbl>
    <w:p w14:paraId="45240585">
      <w:bookmarkStart w:id="0" w:name="_GoBack"/>
      <w:bookmarkEnd w:id="0"/>
    </w:p>
    <w:sectPr>
      <w:pgSz w:w="11906" w:h="16838"/>
      <w:pgMar w:top="1440" w:right="1077" w:bottom="1440" w:left="107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A238E"/>
    <w:multiLevelType w:val="singleLevel"/>
    <w:tmpl w:val="101A238E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56D3F"/>
    <w:rsid w:val="318522A3"/>
    <w:rsid w:val="6906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大分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5">
    <w:name w:val="小标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黑体" w:eastAsia="黑体"/>
      <w:kern w:val="0"/>
      <w:sz w:val="28"/>
      <w:szCs w:val="20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2679</Words>
  <Characters>2697</Characters>
  <Lines>0</Lines>
  <Paragraphs>0</Paragraphs>
  <TotalTime>0</TotalTime>
  <ScaleCrop>false</ScaleCrop>
  <LinksUpToDate>false</LinksUpToDate>
  <CharactersWithSpaces>2841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pc</cp:lastModifiedBy>
  <dcterms:modified xsi:type="dcterms:W3CDTF">2026-03-11T01:01:31Z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6B00D75D772C44ACA0D95B574A6EF09F</vt:lpwstr>
  </property>
  <property fmtid="{D5CDD505-2E9C-101B-9397-08002B2CF9AE}" pid="4" name="KSOTemplateDocerSaveRecord">
    <vt:lpwstr>eyJoZGlkIjoiZDI1YjBlOTQzYmNjN2VlMzc2NDdjOGQyOWNiYjc2NDEiLCJ1c2VySWQiOiI0MDcwNDQ1MjgifQ==</vt:lpwstr>
  </property>
</Properties>
</file>