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版本号：HXGJXM2025-ZC-CS111620260311001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建筑施工质量检测抽测服务(二次)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HXGJXM2025-ZC-CS1116</w:t>
      </w:r>
      <w:r>
        <w:br/>
      </w:r>
      <w:r>
        <w:br/>
      </w:r>
      <w:r>
        <w:br/>
      </w:r>
    </w:p>
    <w:p>
      <w:pPr>
        <w:pStyle w:val="null3"/>
        <w:jc w:val="center"/>
        <w:outlineLvl w:val="2"/>
      </w:pPr>
      <w:r>
        <w:rPr>
          <w:rFonts w:ascii="仿宋_GB2312" w:hAnsi="仿宋_GB2312" w:cs="仿宋_GB2312" w:eastAsia="仿宋_GB2312"/>
          <w:sz w:val="28"/>
          <w:b/>
        </w:rPr>
        <w:t>西安市莲湖区住房和城市建设局</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西安市莲湖区住房和城市建设局</w:t>
      </w:r>
      <w:r>
        <w:rPr>
          <w:rFonts w:ascii="仿宋_GB2312" w:hAnsi="仿宋_GB2312" w:cs="仿宋_GB2312" w:eastAsia="仿宋_GB2312"/>
        </w:rPr>
        <w:t>委托，拟对</w:t>
      </w:r>
      <w:r>
        <w:rPr>
          <w:rFonts w:ascii="仿宋_GB2312" w:hAnsi="仿宋_GB2312" w:cs="仿宋_GB2312" w:eastAsia="仿宋_GB2312"/>
        </w:rPr>
        <w:t>建筑施工质量检测抽测服务(二次)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HXGJXM2025-ZC-CS1116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建筑施工质量检测抽测服务(二次)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筑施工质量检测抽测服务，主要内容为：涵盖三大类抽测服务，包括建筑材料及构配件抽测、工程实体质量抽测、专项设施抽测；通过合规抽测验证工程材料质量、实体施工质量是否符合设计及规范要求，为工程质量监督与验收提供客观技术依据，防范结构安全与使用功能风险；确保项目建设过程中工程质量符合相关标准与要求，保障项目稳步有序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采购包1（建筑施工质量检测抽测服务A包）：属于专门面向中小企业采购。</w:t>
      </w:r>
    </w:p>
    <w:p>
      <w:pPr>
        <w:pStyle w:val="null3"/>
      </w:pPr>
      <w:r>
        <w:rPr>
          <w:rFonts w:ascii="仿宋_GB2312" w:hAnsi="仿宋_GB2312" w:cs="仿宋_GB2312" w:eastAsia="仿宋_GB2312"/>
        </w:rPr>
        <w:t>采购包2（建筑施工质量检测抽测服务B包）：属于专门面向中小企业采购。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1、具有独立承担民事责任能力的法人、其他组织或自然人：法人参与的提供合法有效的营业执照；其他组织参与的提供合法证明文件；自然人参与的提供其身份证明；</w:t>
      </w:r>
    </w:p>
    <w:p>
      <w:pPr>
        <w:pStyle w:val="null3"/>
      </w:pPr>
      <w:r>
        <w:rPr>
          <w:rFonts w:ascii="仿宋_GB2312" w:hAnsi="仿宋_GB2312" w:cs="仿宋_GB2312" w:eastAsia="仿宋_GB2312"/>
        </w:rPr>
        <w:t>2、财务状况证明：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pPr>
        <w:pStyle w:val="null3"/>
      </w:pPr>
      <w:r>
        <w:rPr>
          <w:rFonts w:ascii="仿宋_GB2312" w:hAnsi="仿宋_GB2312" w:cs="仿宋_GB2312" w:eastAsia="仿宋_GB2312"/>
        </w:rPr>
        <w:t>3、承诺：提供具有履行合同所必需的设备和专业技术能力的承诺</w:t>
      </w:r>
    </w:p>
    <w:p>
      <w:pPr>
        <w:pStyle w:val="null3"/>
      </w:pPr>
      <w:r>
        <w:rPr>
          <w:rFonts w:ascii="仿宋_GB2312" w:hAnsi="仿宋_GB2312" w:cs="仿宋_GB2312" w:eastAsia="仿宋_GB2312"/>
        </w:rPr>
        <w:t>4、税收缴纳证明：提供2025年9月至响应文件提交截止时间已缴纳的至少一个月的纳税证明或完税证明,依法免税的单位应提供相关证明材料;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2025年9月至响应文件提交截止时间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6、书面声明：供应商应出具参加政府采购活动前3年内在经营活动中没有重大违法记录的书面声明；</w:t>
      </w:r>
    </w:p>
    <w:p>
      <w:pPr>
        <w:pStyle w:val="null3"/>
      </w:pPr>
      <w:r>
        <w:rPr>
          <w:rFonts w:ascii="仿宋_GB2312" w:hAnsi="仿宋_GB2312" w:cs="仿宋_GB2312" w:eastAsia="仿宋_GB2312"/>
        </w:rPr>
        <w:t>7、法定代表人授权委托书：法定代表人授权书(附法定代表人､被授权人身份证复印件及被授权人2025年12月至响应文件提交截止时间已缴存的至少一个月的社会保障资金凭证),法定代表人直接参加磋商,须提供法定代表人身份证明及身份证复印件;</w:t>
      </w:r>
    </w:p>
    <w:p>
      <w:pPr>
        <w:pStyle w:val="null3"/>
      </w:pPr>
      <w:r>
        <w:rPr>
          <w:rFonts w:ascii="仿宋_GB2312" w:hAnsi="仿宋_GB2312" w:cs="仿宋_GB2312" w:eastAsia="仿宋_GB2312"/>
        </w:rPr>
        <w:t>8、供应商资质：供应商须提供建设工程质量检测机构资质证书（检测范围须包括主体结构工程检测、钢结构工程检测、房屋建筑土建工程建筑材料、构配件进场见证取样检测）及有效的相关部门颁发的计量认证证书（CMA）；</w:t>
      </w:r>
    </w:p>
    <w:p>
      <w:pPr>
        <w:pStyle w:val="null3"/>
      </w:pPr>
      <w:r>
        <w:rPr>
          <w:rFonts w:ascii="仿宋_GB2312" w:hAnsi="仿宋_GB2312" w:cs="仿宋_GB2312" w:eastAsia="仿宋_GB2312"/>
        </w:rPr>
        <w:t>9、信用记录：供应商应在磋商截止日前未被列入失信被执行人､重大税收违法失信主体､政府采购严重违法失信行为记录名单(处罚期限届满的除外)(以“信用中国”网站(www.creditchina.gov.cn)或中国政府采购网(www.ccgp.gov.cn)查询结果为准；</w:t>
      </w:r>
    </w:p>
    <w:p>
      <w:pPr>
        <w:pStyle w:val="null3"/>
      </w:pPr>
      <w:r>
        <w:rPr>
          <w:rFonts w:ascii="仿宋_GB2312" w:hAnsi="仿宋_GB2312" w:cs="仿宋_GB2312" w:eastAsia="仿宋_GB2312"/>
        </w:rPr>
        <w:t>10、联合体：本采购包不接受联合体磋商。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1、具有独立承担民事责任能力的法人、其他组织或自然人：法人参与的提供合法有效的营业执照；其他组织参与的提供合法证明文件；自然人参与的提供其身份证明；</w:t>
      </w:r>
    </w:p>
    <w:p>
      <w:pPr>
        <w:pStyle w:val="null3"/>
      </w:pPr>
      <w:r>
        <w:rPr>
          <w:rFonts w:ascii="仿宋_GB2312" w:hAnsi="仿宋_GB2312" w:cs="仿宋_GB2312" w:eastAsia="仿宋_GB2312"/>
        </w:rPr>
        <w:t>2、财务状况证明：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pPr>
        <w:pStyle w:val="null3"/>
      </w:pPr>
      <w:r>
        <w:rPr>
          <w:rFonts w:ascii="仿宋_GB2312" w:hAnsi="仿宋_GB2312" w:cs="仿宋_GB2312" w:eastAsia="仿宋_GB2312"/>
        </w:rPr>
        <w:t>3、承诺：提供具有履行合同所必需的设备和专业技术能力的承诺；</w:t>
      </w:r>
    </w:p>
    <w:p>
      <w:pPr>
        <w:pStyle w:val="null3"/>
      </w:pPr>
      <w:r>
        <w:rPr>
          <w:rFonts w:ascii="仿宋_GB2312" w:hAnsi="仿宋_GB2312" w:cs="仿宋_GB2312" w:eastAsia="仿宋_GB2312"/>
        </w:rPr>
        <w:t>4、税收缴纳证明：提供2025年9月至响应文件提交截止时间已缴纳的至少一个月的纳税证明或完税证明,依法免税的单位应提供相关证明材料;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2025年9月至响应文件提交截止时间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6、书面声明：供应商应出具参加政府采购活动前3年内在经营活动中没有重大违法记录的书面声明；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授权书(附法定代表人､被授权人身份证复印件及被授权人2025年12月至响应文件提交截止时间已缴存的至少一个月的社会保障资金凭证),法定代表人直接参加磋商,须提供法定代表人身份证明及身份证复印件;</w:t>
      </w:r>
    </w:p>
    <w:p>
      <w:pPr>
        <w:pStyle w:val="null3"/>
      </w:pPr>
      <w:r>
        <w:rPr>
          <w:rFonts w:ascii="仿宋_GB2312" w:hAnsi="仿宋_GB2312" w:cs="仿宋_GB2312" w:eastAsia="仿宋_GB2312"/>
        </w:rPr>
        <w:t>8、供应商资质：供应商须提供建设工程质量检测机构资质证书（检测范围须包括主体结构工程检测、钢结构工程检测、房屋建筑土建工程建筑材料、构配件进场见证取样检测）及有效的相关部门颁发的计量认证证书（CMA）；</w:t>
      </w:r>
    </w:p>
    <w:p>
      <w:pPr>
        <w:pStyle w:val="null3"/>
      </w:pPr>
      <w:r>
        <w:rPr>
          <w:rFonts w:ascii="仿宋_GB2312" w:hAnsi="仿宋_GB2312" w:cs="仿宋_GB2312" w:eastAsia="仿宋_GB2312"/>
        </w:rPr>
        <w:t>9、信用记录：供应商应在磋商截止日前未被列入失信被执行人､重大税收违法失信主体､政府采购严重违法失信行为记录名单(处罚期限届满的除外)(以“信用中国”网站(www.creditchina.gov.cn)或中国政府采购网(www.ccgp.gov.cn)查询结果为准；</w:t>
      </w:r>
    </w:p>
    <w:p>
      <w:pPr>
        <w:pStyle w:val="null3"/>
      </w:pPr>
      <w:r>
        <w:rPr>
          <w:rFonts w:ascii="仿宋_GB2312" w:hAnsi="仿宋_GB2312" w:cs="仿宋_GB2312" w:eastAsia="仿宋_GB2312"/>
        </w:rPr>
        <w:t>10、联合体：本采购包不接受联合体磋商。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西安市莲湖区红埠街59号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029-87312704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魏依依、康敏茹、张璞、张艳萍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采购包1：494,550.00元</w:t>
            </w:r>
          </w:p>
          <w:p>
            <w:pPr>
              <w:pStyle w:val="null3"/>
            </w:pPr>
            <w:r>
              <w:rPr>
                <w:rFonts w:ascii="仿宋_GB2312" w:hAnsi="仿宋_GB2312" w:cs="仿宋_GB2312" w:eastAsia="仿宋_GB2312"/>
              </w:rPr>
              <w:t>采购包2：494,550.00元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计价格[2002]1980号）的通知和国家发展和改革委员会办公厅颁发的《关于招标代理服务收费有关问题的通知》（发改办价格[2003]857号）的有关规定执行。 2.成交单位在领取成交通知书前,须向采购代理机构一次性支付招标代理服务费; 3.招标代理服务费由中标供应商支付,在领取《成交通知书》前由成交供应商一次性支付给华夏国际项目管理（西安）有限公司｡ 招标代理服务费缴纳账户: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西安市莲湖区住房和城市建设局</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联系人：魏依依､康敏茹､张璞､张艳萍</w:t>
      </w:r>
    </w:p>
    <w:p>
      <w:pPr>
        <w:pStyle w:val="null3"/>
      </w:pPr>
      <w:r>
        <w:rPr>
          <w:rFonts w:ascii="仿宋_GB2312" w:hAnsi="仿宋_GB2312" w:cs="仿宋_GB2312" w:eastAsia="仿宋_GB2312"/>
        </w:rPr>
        <w:t>联系电话：029-88899970/72/73/75-805</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筑施工质量检测抽测服务，主要内容为：涵盖三大类抽测服务，包括建筑材料及构配件抽测、工程实体质量抽测、专项设施抽测；通过合规抽测验证工程材料质量、实体施工质量是否符合设计及规范要求，为工程质量监督与验收提供客观技术依据，防范结构安全与使用功能风险；确保项目建设过程中工程质量符合相关标准与要求，保障项目稳步有序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494,550.00</w:t>
      </w:r>
    </w:p>
    <w:p>
      <w:pPr>
        <w:pStyle w:val="null3"/>
      </w:pPr>
      <w:r>
        <w:rPr>
          <w:rFonts w:ascii="仿宋_GB2312" w:hAnsi="仿宋_GB2312" w:cs="仿宋_GB2312" w:eastAsia="仿宋_GB2312"/>
        </w:rPr>
        <w:t>采购包最高限价（元）: 494,550.00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建筑施工质量检测抽测服务A包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494,550.00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494,550.00</w:t>
      </w:r>
    </w:p>
    <w:p>
      <w:pPr>
        <w:pStyle w:val="null3"/>
      </w:pPr>
      <w:r>
        <w:rPr>
          <w:rFonts w:ascii="仿宋_GB2312" w:hAnsi="仿宋_GB2312" w:cs="仿宋_GB2312" w:eastAsia="仿宋_GB2312"/>
        </w:rPr>
        <w:t>采购包最高限价（元）: 494,550.00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建筑施工质量检测抽测服务B包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494,550.00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标的名称：建筑施工质量检测抽测服务A包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color w:val="000000"/>
                <w:shd w:fill="FFFFFF" w:val="clear"/>
              </w:rPr>
              <w:t>项目概况：</w:t>
            </w:r>
          </w:p>
          <w:p>
            <w:pPr>
              <w:pStyle w:val="null3"/>
            </w:pPr>
            <w:r>
              <w:rPr>
                <w:rFonts w:ascii="仿宋_GB2312" w:hAnsi="仿宋_GB2312" w:cs="仿宋_GB2312" w:eastAsia="仿宋_GB2312"/>
                <w:color w:val="000000"/>
                <w:shd w:fill="FFFFFF" w:val="clear"/>
              </w:rPr>
              <w:t>建筑施工质量检测抽测服务，主要内容为：涵盖三大类抽测服务，包括建筑材料及构配件抽测、工程实体质量抽测、专项设施抽测；通过合规抽测验证工程材料质量、实体施工质量是否符合设计及规范要求，为工程质量监督与验收提供客观技术依据，防范结构安全与使用功能风险；确保项目建设过程中工程质量符合相关标准与要求，保障项目稳步有序建设。</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color w:val="000000"/>
              </w:rPr>
              <w:t>一、</w:t>
            </w:r>
            <w:r>
              <w:rPr>
                <w:rFonts w:ascii="仿宋_GB2312" w:hAnsi="仿宋_GB2312" w:cs="仿宋_GB2312" w:eastAsia="仿宋_GB2312"/>
              </w:rPr>
              <w:t>检测项目</w:t>
            </w:r>
          </w:p>
          <w:p>
            <w:pPr>
              <w:pStyle w:val="null3"/>
            </w:pPr>
            <w:r>
              <w:rPr>
                <w:rFonts w:ascii="仿宋_GB2312" w:hAnsi="仿宋_GB2312" w:cs="仿宋_GB2312" w:eastAsia="仿宋_GB2312"/>
              </w:rPr>
              <w:t>西安土门地区“四村”连片综合改造项目、老城根•雍锦里、观澜云筑项目、居礼国际广场项目、西十里铺村城中村改造项目、达建枣园北路住宅项目、西安市远东第二中学教学综合楼项目、博豪工业厂房项目、莲湖路63号院项目、陕西西安智慧汽车产业城项目、莲湖区东桃园村城中村改造综合项目、103号动力控制与高端液压装置研发中心大楼项目、草阳小区棚户区改造项目、旭景•丰泽桃园项目、人民西村棚户区改造项目、农兴路周边改造（保回迁）项目、汉城南路东区国有土地上棚户区改造项目、老城根Gpark商业街项目、世纪锦绣项目、北关村周边国有土地上棚户区改造项目、荣民金融中心项目、红庙坡安置楼项目、中堡子村城中村综合改造项目、九臻云谷栖镜。除列明的具体检测项目外，中标供应商需承接服务期内新增检测项目及已完工项目市民质量投诉引发的专项检测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二、检测内容及数量：</w:t>
            </w:r>
          </w:p>
          <w:tbl>
            <w:tblPr>
              <w:tblInd w:type="dxa" w:w="105"/>
              <w:tblBorders>
                <w:top w:val="none" w:color="000000" w:sz="4"/>
                <w:left w:val="none" w:color="000000" w:sz="4"/>
                <w:bottom w:val="none" w:color="000000" w:sz="4"/>
                <w:right w:val="none" w:color="000000" w:sz="4"/>
                <w:insideH w:val="none"/>
                <w:insideV w:val="none"/>
              </w:tblBorders>
            </w:tblPr>
            <w:tblGrid>
              <w:gridCol w:w="253"/>
              <w:gridCol w:w="773"/>
              <w:gridCol w:w="925"/>
              <w:gridCol w:w="302"/>
              <w:gridCol w:w="299"/>
            </w:tblGrid>
            <w:tr>
              <w:tc>
                <w:tcPr>
                  <w:tcW w:type="dxa" w:w="2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序号</w:t>
                  </w:r>
                </w:p>
              </w:tc>
              <w:tc>
                <w:tcPr>
                  <w:tcW w:type="dxa" w:w="7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检测名称</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检测项目</w:t>
                  </w:r>
                </w:p>
              </w:tc>
              <w:tc>
                <w:tcPr>
                  <w:tcW w:type="dxa" w:w="3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次数</w:t>
                  </w:r>
                </w:p>
              </w:tc>
              <w:tc>
                <w:tcPr>
                  <w:tcW w:type="dxa" w:w="2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单位</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钢筋原材（各种规格）</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屈服强度、抗拉强度、延伸率、冷弯、重量比</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55</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焊（连）接件（各种规格）</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抗拉强度</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50</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3</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防水混凝土</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抗渗等级</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水泥</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安定性、抗折强度、抗压强度</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5</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砂、石</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筛分析、含泥量、泥块含量、云母含量堆积密度</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6</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混凝土试块</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抗压强度</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120</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7</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砂浆试块</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抗压强度</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40</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8</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普通烧结砖</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抗压强度</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15</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9</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空心砖</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抗压强度</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20</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10</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蒸压加气砼砌块</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抗压强度、体积密度、含水率</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11</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电线</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绝缘厚度、线芯直径、导体电阻</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12</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电缆</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绝缘厚度、线芯直径、导体电阻、成品电缆电压试验</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13</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防水卷材</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不透水性、拉力、耐热性、衍射率、低温柔度</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14</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14</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聚氨酯防水涂料</w:t>
                  </w:r>
                </w:p>
              </w:tc>
              <w:tc>
                <w:tcPr>
                  <w:tcW w:type="dxa" w:w="925"/>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拉力、低温柔度、耐热度、伸长率、不透水性</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15</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聚合物防水涂料</w:t>
                  </w:r>
                </w:p>
              </w:tc>
              <w:tc>
                <w:tcPr>
                  <w:tcW w:type="dxa" w:w="925"/>
                  <w:vMerge/>
                  <w:tcBorders>
                    <w:top w:val="none" w:color="000000" w:sz="4"/>
                    <w:left w:val="single" w:color="000000" w:sz="4"/>
                    <w:bottom w:val="none" w:color="000000" w:sz="4"/>
                    <w:right w:val="single" w:color="000000" w:sz="4"/>
                  </w:tcBorders>
                </w:tcP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16</w:t>
                  </w:r>
                </w:p>
              </w:tc>
              <w:tc>
                <w:tcPr>
                  <w:tcW w:type="dxa" w:w="77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EPS（XPS）板</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A1 级燃烧性能（含常规）</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vMerge/>
                  <w:tcBorders>
                    <w:top w:val="none" w:color="000000" w:sz="4"/>
                    <w:left w:val="single" w:color="000000" w:sz="4"/>
                    <w:bottom w:val="none" w:color="000000" w:sz="4"/>
                    <w:right w:val="single" w:color="000000" w:sz="4"/>
                  </w:tcBorders>
                </w:tcPr>
                <w:p/>
              </w:tc>
              <w:tc>
                <w:tcPr>
                  <w:tcW w:type="dxa" w:w="773"/>
                  <w:vMerge/>
                  <w:tcBorders>
                    <w:top w:val="none" w:color="000000" w:sz="4"/>
                    <w:left w:val="single" w:color="000000" w:sz="4"/>
                    <w:bottom w:val="non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A2 级燃烧性能（含常规）</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vMerge/>
                  <w:tcBorders>
                    <w:top w:val="none" w:color="000000" w:sz="4"/>
                    <w:left w:val="single" w:color="000000" w:sz="4"/>
                    <w:bottom w:val="none" w:color="000000" w:sz="4"/>
                    <w:right w:val="single" w:color="000000" w:sz="4"/>
                  </w:tcBorders>
                </w:tcPr>
                <w:p/>
              </w:tc>
              <w:tc>
                <w:tcPr>
                  <w:tcW w:type="dxa" w:w="773"/>
                  <w:vMerge/>
                  <w:tcBorders>
                    <w:top w:val="none" w:color="000000" w:sz="4"/>
                    <w:left w:val="single" w:color="000000" w:sz="4"/>
                    <w:bottom w:val="non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B1 级燃烧性能（含常规）</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vMerge/>
                  <w:tcBorders>
                    <w:top w:val="none" w:color="000000" w:sz="4"/>
                    <w:left w:val="single" w:color="000000" w:sz="4"/>
                    <w:bottom w:val="none" w:color="000000" w:sz="4"/>
                    <w:right w:val="single" w:color="000000" w:sz="4"/>
                  </w:tcBorders>
                </w:tcPr>
                <w:p/>
              </w:tc>
              <w:tc>
                <w:tcPr>
                  <w:tcW w:type="dxa" w:w="773"/>
                  <w:vMerge/>
                  <w:tcBorders>
                    <w:top w:val="none" w:color="000000" w:sz="4"/>
                    <w:left w:val="single" w:color="000000" w:sz="4"/>
                    <w:bottom w:val="non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B2 级燃烧性能（含常规）</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17</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保温浆料</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18</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硬质聚氨酯泡沫塑料</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19</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胶粘剂</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20</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抹面抗裂砂浆</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21</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耐碱玻纤网格布</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22</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镀锌钢丝网</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23</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锚固件</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24</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钢丝网架膨胀聚苯板</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全项（含燃烧性能）</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25</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憎水珍珠岩板</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全项（含燃烧性能）</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26</w:t>
                  </w:r>
                </w:p>
              </w:tc>
              <w:tc>
                <w:tcPr>
                  <w:tcW w:type="dxa" w:w="77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混凝土强度</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回弹检测法</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700</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构件</w:t>
                  </w:r>
                </w:p>
              </w:tc>
            </w:tr>
            <w:tr>
              <w:tc>
                <w:tcPr>
                  <w:tcW w:type="dxa" w:w="253"/>
                  <w:vMerge/>
                  <w:tcBorders>
                    <w:top w:val="none" w:color="000000" w:sz="4"/>
                    <w:left w:val="single" w:color="000000" w:sz="4"/>
                    <w:bottom w:val="none" w:color="000000" w:sz="4"/>
                    <w:right w:val="single" w:color="000000" w:sz="4"/>
                  </w:tcBorders>
                </w:tcPr>
                <w:p/>
              </w:tc>
              <w:tc>
                <w:tcPr>
                  <w:tcW w:type="dxa" w:w="773"/>
                  <w:vMerge/>
                  <w:tcBorders>
                    <w:top w:val="none" w:color="000000" w:sz="4"/>
                    <w:left w:val="single" w:color="000000" w:sz="4"/>
                    <w:bottom w:val="non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钻芯法</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构件</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27</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钢筋保护层厚度</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180</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构件</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28</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砂浆强度检测</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20</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构件</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29</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后置埋件（钢筋、螺栓）</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抗拔承载力</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根</w:t>
                  </w:r>
                </w:p>
              </w:tc>
            </w:tr>
            <w:tr>
              <w:tc>
                <w:tcPr>
                  <w:tcW w:type="dxa" w:w="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30</w:t>
                  </w:r>
                </w:p>
              </w:tc>
              <w:tc>
                <w:tcPr>
                  <w:tcW w:type="dxa" w:w="7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外墙面砖粘结强度</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5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31</w:t>
                  </w:r>
                </w:p>
              </w:tc>
              <w:tc>
                <w:tcPr>
                  <w:tcW w:type="dxa" w:w="77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建筑外窗</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气密性（实验室检测）</w:t>
                  </w:r>
                </w:p>
              </w:tc>
              <w:tc>
                <w:tcPr>
                  <w:tcW w:type="dxa" w:w="302"/>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3樘</w:t>
                  </w:r>
                </w:p>
              </w:tc>
            </w:tr>
            <w:tr>
              <w:tc>
                <w:tcPr>
                  <w:tcW w:type="dxa" w:w="253"/>
                  <w:vMerge/>
                  <w:tcBorders>
                    <w:top w:val="none" w:color="000000" w:sz="4"/>
                    <w:left w:val="single" w:color="000000" w:sz="4"/>
                    <w:bottom w:val="none" w:color="000000" w:sz="4"/>
                    <w:right w:val="single" w:color="000000" w:sz="4"/>
                  </w:tcBorders>
                </w:tcPr>
                <w:p/>
              </w:tc>
              <w:tc>
                <w:tcPr>
                  <w:tcW w:type="dxa" w:w="773"/>
                  <w:vMerge/>
                  <w:tcBorders>
                    <w:top w:val="none" w:color="000000" w:sz="4"/>
                    <w:left w:val="single" w:color="000000" w:sz="4"/>
                    <w:bottom w:val="non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水密性（实验室检测）</w:t>
                  </w:r>
                </w:p>
              </w:tc>
              <w:tc>
                <w:tcPr>
                  <w:tcW w:type="dxa" w:w="302"/>
                  <w:vMerge/>
                  <w:tcBorders>
                    <w:top w:val="none" w:color="000000" w:sz="4"/>
                    <w:left w:val="single" w:color="000000" w:sz="4"/>
                    <w:bottom w:val="none" w:color="000000" w:sz="4"/>
                    <w:right w:val="single" w:color="000000" w:sz="4"/>
                  </w:tcBorders>
                </w:tcPr>
                <w:p/>
              </w:tc>
              <w:tc>
                <w:tcPr>
                  <w:tcW w:type="dxa" w:w="299"/>
                  <w:vMerge/>
                  <w:tcBorders>
                    <w:top w:val="none" w:color="000000" w:sz="4"/>
                    <w:left w:val="single" w:color="000000" w:sz="4"/>
                    <w:bottom w:val="none" w:color="000000" w:sz="4"/>
                    <w:right w:val="single" w:color="000000" w:sz="4"/>
                  </w:tcBorders>
                </w:tcPr>
                <w:p/>
              </w:tc>
            </w:tr>
            <w:tr>
              <w:tc>
                <w:tcPr>
                  <w:tcW w:type="dxa" w:w="253"/>
                  <w:vMerge/>
                  <w:tcBorders>
                    <w:top w:val="none" w:color="000000" w:sz="4"/>
                    <w:left w:val="single" w:color="000000" w:sz="4"/>
                    <w:bottom w:val="none" w:color="000000" w:sz="4"/>
                    <w:right w:val="single" w:color="000000" w:sz="4"/>
                  </w:tcBorders>
                </w:tcPr>
                <w:p/>
              </w:tc>
              <w:tc>
                <w:tcPr>
                  <w:tcW w:type="dxa" w:w="773"/>
                  <w:vMerge/>
                  <w:tcBorders>
                    <w:top w:val="none" w:color="000000" w:sz="4"/>
                    <w:left w:val="single" w:color="000000" w:sz="4"/>
                    <w:bottom w:val="non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抗风压（实验室检测）</w:t>
                  </w:r>
                </w:p>
              </w:tc>
              <w:tc>
                <w:tcPr>
                  <w:tcW w:type="dxa" w:w="302"/>
                  <w:vMerge/>
                  <w:tcBorders>
                    <w:top w:val="none" w:color="000000" w:sz="4"/>
                    <w:left w:val="single" w:color="000000" w:sz="4"/>
                    <w:bottom w:val="none" w:color="000000" w:sz="4"/>
                    <w:right w:val="single" w:color="000000" w:sz="4"/>
                  </w:tcBorders>
                </w:tcPr>
                <w:p/>
              </w:tc>
              <w:tc>
                <w:tcPr>
                  <w:tcW w:type="dxa" w:w="299"/>
                  <w:vMerge/>
                  <w:tcBorders>
                    <w:top w:val="none" w:color="000000" w:sz="4"/>
                    <w:left w:val="single" w:color="000000" w:sz="4"/>
                    <w:bottom w:val="none" w:color="000000" w:sz="4"/>
                    <w:right w:val="single" w:color="000000" w:sz="4"/>
                  </w:tcBorders>
                </w:tcPr>
                <w:p/>
              </w:tc>
            </w:tr>
            <w:tr>
              <w:tc>
                <w:tcPr>
                  <w:tcW w:type="dxa" w:w="253"/>
                  <w:vMerge/>
                  <w:tcBorders>
                    <w:top w:val="none" w:color="000000" w:sz="4"/>
                    <w:left w:val="single" w:color="000000" w:sz="4"/>
                    <w:bottom w:val="none" w:color="000000" w:sz="4"/>
                    <w:right w:val="single" w:color="000000" w:sz="4"/>
                  </w:tcBorders>
                </w:tcPr>
                <w:p/>
              </w:tc>
              <w:tc>
                <w:tcPr>
                  <w:tcW w:type="dxa" w:w="773"/>
                  <w:vMerge/>
                  <w:tcBorders>
                    <w:top w:val="none" w:color="000000" w:sz="4"/>
                    <w:left w:val="single" w:color="000000" w:sz="4"/>
                    <w:bottom w:val="non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气密性现场检测</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樘</w:t>
                  </w:r>
                </w:p>
              </w:tc>
            </w:tr>
            <w:tr>
              <w:tc>
                <w:tcPr>
                  <w:tcW w:type="dxa" w:w="253"/>
                  <w:vMerge/>
                  <w:tcBorders>
                    <w:top w:val="none" w:color="000000" w:sz="4"/>
                    <w:left w:val="single" w:color="000000" w:sz="4"/>
                    <w:bottom w:val="none" w:color="000000" w:sz="4"/>
                    <w:right w:val="single" w:color="000000" w:sz="4"/>
                  </w:tcBorders>
                </w:tcPr>
                <w:p/>
              </w:tc>
              <w:tc>
                <w:tcPr>
                  <w:tcW w:type="dxa" w:w="773"/>
                  <w:vMerge/>
                  <w:tcBorders>
                    <w:top w:val="none" w:color="000000" w:sz="4"/>
                    <w:left w:val="single" w:color="000000" w:sz="4"/>
                    <w:bottom w:val="non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传热系数</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樘</w:t>
                  </w:r>
                </w:p>
              </w:tc>
            </w:tr>
            <w:tr>
              <w:tc>
                <w:tcPr>
                  <w:tcW w:type="dxa" w:w="253"/>
                  <w:vMerge/>
                  <w:tcBorders>
                    <w:top w:val="none" w:color="000000" w:sz="4"/>
                    <w:left w:val="single" w:color="000000" w:sz="4"/>
                    <w:bottom w:val="none" w:color="000000" w:sz="4"/>
                    <w:right w:val="single" w:color="000000" w:sz="4"/>
                  </w:tcBorders>
                </w:tcPr>
                <w:p/>
              </w:tc>
              <w:tc>
                <w:tcPr>
                  <w:tcW w:type="dxa" w:w="773"/>
                  <w:vMerge/>
                  <w:tcBorders>
                    <w:top w:val="none" w:color="000000" w:sz="4"/>
                    <w:left w:val="single" w:color="000000" w:sz="4"/>
                    <w:bottom w:val="none" w:color="000000" w:sz="4"/>
                    <w:right w:val="single" w:color="000000" w:sz="4"/>
                  </w:tcBorders>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中空玻璃露点</w:t>
                  </w:r>
                </w:p>
              </w:tc>
              <w:tc>
                <w:tcPr>
                  <w:tcW w:type="dxa" w:w="3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2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bl>
          <w:p>
            <w:pPr>
              <w:pStyle w:val="null3"/>
            </w:pPr>
            <w:r>
              <w:rPr>
                <w:rFonts w:ascii="仿宋_GB2312" w:hAnsi="仿宋_GB2312" w:cs="仿宋_GB2312" w:eastAsia="仿宋_GB2312"/>
                <w:b/>
              </w:rPr>
              <w:t>注：本项目最终合同价=本表所列的检测项目单价×实际发生的抽测项目次数。</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b/>
                <w:color w:val="000000"/>
              </w:rPr>
              <w:t>三、服务要求</w:t>
            </w:r>
          </w:p>
          <w:p>
            <w:pPr>
              <w:pStyle w:val="null3"/>
              <w:jc w:val="both"/>
            </w:pPr>
            <w:r>
              <w:rPr>
                <w:rFonts w:ascii="仿宋_GB2312" w:hAnsi="仿宋_GB2312" w:cs="仿宋_GB2312" w:eastAsia="仿宋_GB2312"/>
                <w:color w:val="000000"/>
              </w:rPr>
              <w:t>1.检测方按照委托方抽取的试件及时完成试验。</w:t>
            </w:r>
          </w:p>
          <w:p>
            <w:pPr>
              <w:pStyle w:val="null3"/>
              <w:jc w:val="both"/>
            </w:pPr>
            <w:r>
              <w:rPr>
                <w:rFonts w:ascii="仿宋_GB2312" w:hAnsi="仿宋_GB2312" w:cs="仿宋_GB2312" w:eastAsia="仿宋_GB2312"/>
                <w:color w:val="000000"/>
              </w:rPr>
              <w:t>2.检测方检测时严格执行国家有关标准，确保检测结果科学、公正，并提供技术咨询服务。</w:t>
            </w:r>
          </w:p>
          <w:p>
            <w:pPr>
              <w:pStyle w:val="null3"/>
            </w:pPr>
            <w:r>
              <w:rPr>
                <w:rFonts w:ascii="仿宋_GB2312" w:hAnsi="仿宋_GB2312" w:cs="仿宋_GB2312" w:eastAsia="仿宋_GB2312"/>
                <w:color w:val="000000"/>
              </w:rPr>
              <w:t>3.检测完成后应及时出具检测报告，报告提交时间一般不超过 3 个工作日，检测不合格的应优先告知委托方。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b/>
                <w:color w:val="000000"/>
              </w:rPr>
              <w:t>四、其他</w:t>
            </w:r>
          </w:p>
          <w:p>
            <w:pPr>
              <w:pStyle w:val="null3"/>
              <w:jc w:val="both"/>
            </w:pPr>
            <w:r>
              <w:rPr>
                <w:rFonts w:ascii="仿宋_GB2312" w:hAnsi="仿宋_GB2312" w:cs="仿宋_GB2312" w:eastAsia="仿宋_GB2312"/>
                <w:color w:val="000000"/>
              </w:rPr>
              <w:t>（一）进度要求：自合同签订之日起一年内完成所有成果交付，具体进度按甲方要求执行。</w:t>
            </w:r>
          </w:p>
          <w:p>
            <w:pPr>
              <w:pStyle w:val="null3"/>
              <w:jc w:val="both"/>
            </w:pPr>
            <w:r>
              <w:rPr>
                <w:rFonts w:ascii="仿宋_GB2312" w:hAnsi="仿宋_GB2312" w:cs="仿宋_GB2312" w:eastAsia="仿宋_GB2312"/>
                <w:color w:val="000000"/>
              </w:rPr>
              <w:t>（二）成果交付要求：检测方需要提供检测委托单、检测报告、委托方出具的工程质量监督抽测审批单及汇总表。</w:t>
            </w:r>
          </w:p>
          <w:p>
            <w:pPr>
              <w:pStyle w:val="null3"/>
              <w:jc w:val="both"/>
            </w:pPr>
            <w:r>
              <w:rPr>
                <w:rFonts w:ascii="仿宋_GB2312" w:hAnsi="仿宋_GB2312" w:cs="仿宋_GB2312" w:eastAsia="仿宋_GB2312"/>
                <w:color w:val="000000"/>
              </w:rPr>
              <w:t>（三）质量验收标准或规范：</w:t>
            </w:r>
          </w:p>
          <w:p>
            <w:pPr>
              <w:pStyle w:val="null3"/>
              <w:jc w:val="both"/>
            </w:pPr>
            <w:r>
              <w:rPr>
                <w:rFonts w:ascii="仿宋_GB2312" w:hAnsi="仿宋_GB2312" w:cs="仿宋_GB2312" w:eastAsia="仿宋_GB2312"/>
                <w:color w:val="000000"/>
              </w:rPr>
              <w:t>1.建筑工程施工质量验收统一标准 GB 50300-2013</w:t>
            </w:r>
          </w:p>
          <w:p>
            <w:pPr>
              <w:pStyle w:val="null3"/>
              <w:jc w:val="both"/>
            </w:pPr>
            <w:r>
              <w:rPr>
                <w:rFonts w:ascii="仿宋_GB2312" w:hAnsi="仿宋_GB2312" w:cs="仿宋_GB2312" w:eastAsia="仿宋_GB2312"/>
                <w:color w:val="000000"/>
              </w:rPr>
              <w:t>2.回弹法检测高强混凝土抗压强度技术规程 DBJ 24-24-03</w:t>
            </w:r>
          </w:p>
          <w:p>
            <w:pPr>
              <w:pStyle w:val="null3"/>
              <w:jc w:val="both"/>
            </w:pPr>
            <w:r>
              <w:rPr>
                <w:rFonts w:ascii="仿宋_GB2312" w:hAnsi="仿宋_GB2312" w:cs="仿宋_GB2312" w:eastAsia="仿宋_GB2312"/>
                <w:color w:val="000000"/>
              </w:rPr>
              <w:t>3.回弹法检测泵送混凝土抗压强度技术规程 DBJ /T61-46-2007 J11052-2007</w:t>
            </w:r>
          </w:p>
          <w:p>
            <w:pPr>
              <w:pStyle w:val="null3"/>
              <w:jc w:val="both"/>
            </w:pPr>
            <w:r>
              <w:rPr>
                <w:rFonts w:ascii="仿宋_GB2312" w:hAnsi="仿宋_GB2312" w:cs="仿宋_GB2312" w:eastAsia="仿宋_GB2312"/>
                <w:color w:val="000000"/>
              </w:rPr>
              <w:t>4.超声回弹综合法检测混凝土技术规程 CECS 02：2020</w:t>
            </w:r>
          </w:p>
          <w:p>
            <w:pPr>
              <w:pStyle w:val="null3"/>
              <w:jc w:val="both"/>
            </w:pPr>
            <w:r>
              <w:rPr>
                <w:rFonts w:ascii="仿宋_GB2312" w:hAnsi="仿宋_GB2312" w:cs="仿宋_GB2312" w:eastAsia="仿宋_GB2312"/>
                <w:color w:val="000000"/>
              </w:rPr>
              <w:t>5.钻芯法检测混凝土强度技术规程 CECS 03:2007</w:t>
            </w:r>
          </w:p>
          <w:p>
            <w:pPr>
              <w:pStyle w:val="null3"/>
              <w:jc w:val="both"/>
            </w:pPr>
            <w:r>
              <w:rPr>
                <w:rFonts w:ascii="仿宋_GB2312" w:hAnsi="仿宋_GB2312" w:cs="仿宋_GB2312" w:eastAsia="仿宋_GB2312"/>
                <w:color w:val="000000"/>
              </w:rPr>
              <w:t>6.混凝土中钢筋检测技术规程 JGJ/T152-2019</w:t>
            </w:r>
          </w:p>
          <w:p>
            <w:pPr>
              <w:pStyle w:val="null3"/>
              <w:jc w:val="both"/>
            </w:pPr>
            <w:r>
              <w:rPr>
                <w:rFonts w:ascii="仿宋_GB2312" w:hAnsi="仿宋_GB2312" w:cs="仿宋_GB2312" w:eastAsia="仿宋_GB2312"/>
                <w:color w:val="000000"/>
              </w:rPr>
              <w:t>7.碳纤维片材加固混凝土结构技术规程 CECS 146：2003</w:t>
            </w:r>
          </w:p>
          <w:p>
            <w:pPr>
              <w:pStyle w:val="null3"/>
              <w:jc w:val="both"/>
            </w:pPr>
            <w:r>
              <w:rPr>
                <w:rFonts w:ascii="仿宋_GB2312" w:hAnsi="仿宋_GB2312" w:cs="仿宋_GB2312" w:eastAsia="仿宋_GB2312"/>
                <w:color w:val="000000"/>
              </w:rPr>
              <w:t>8.混凝土强度检验评定标准 GB/T50107-2010</w:t>
            </w:r>
          </w:p>
          <w:p>
            <w:pPr>
              <w:pStyle w:val="null3"/>
              <w:jc w:val="both"/>
            </w:pPr>
            <w:r>
              <w:rPr>
                <w:rFonts w:ascii="仿宋_GB2312" w:hAnsi="仿宋_GB2312" w:cs="仿宋_GB2312" w:eastAsia="仿宋_GB2312"/>
                <w:color w:val="000000"/>
              </w:rPr>
              <w:t>9.混凝土结构设计规范 GB50010-2010</w:t>
            </w:r>
          </w:p>
          <w:p>
            <w:pPr>
              <w:pStyle w:val="null3"/>
              <w:jc w:val="both"/>
            </w:pPr>
            <w:r>
              <w:rPr>
                <w:rFonts w:ascii="仿宋_GB2312" w:hAnsi="仿宋_GB2312" w:cs="仿宋_GB2312" w:eastAsia="仿宋_GB2312"/>
                <w:color w:val="000000"/>
              </w:rPr>
              <w:t>10.回弹法检测混凝土抗压强度技术规程 JGJ/T 23-2011</w:t>
            </w:r>
          </w:p>
          <w:p>
            <w:pPr>
              <w:pStyle w:val="null3"/>
              <w:jc w:val="both"/>
            </w:pPr>
            <w:r>
              <w:rPr>
                <w:rFonts w:ascii="仿宋_GB2312" w:hAnsi="仿宋_GB2312" w:cs="仿宋_GB2312" w:eastAsia="仿宋_GB2312"/>
                <w:color w:val="000000"/>
              </w:rPr>
              <w:t>11.砌体结构工程施工质量验收规范 GB 50203-2011</w:t>
            </w:r>
          </w:p>
          <w:p>
            <w:pPr>
              <w:pStyle w:val="null3"/>
              <w:jc w:val="both"/>
            </w:pPr>
            <w:r>
              <w:rPr>
                <w:rFonts w:ascii="仿宋_GB2312" w:hAnsi="仿宋_GB2312" w:cs="仿宋_GB2312" w:eastAsia="仿宋_GB2312"/>
                <w:color w:val="000000"/>
              </w:rPr>
              <w:t>12.砌体工程现场检测技术标准 GB/T 50315-2011</w:t>
            </w:r>
          </w:p>
          <w:p>
            <w:pPr>
              <w:pStyle w:val="null3"/>
            </w:pPr>
            <w:r>
              <w:rPr>
                <w:rFonts w:ascii="仿宋_GB2312" w:hAnsi="仿宋_GB2312" w:cs="仿宋_GB2312" w:eastAsia="仿宋_GB2312"/>
                <w:color w:val="000000"/>
              </w:rPr>
              <w:t>13.混凝土结构工程施工质量验收规范 GB 50204-2015</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标的名称：建筑施工质量检测抽测服务B包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color w:val="000000"/>
                <w:shd w:fill="FFFFFF" w:val="clear"/>
              </w:rPr>
              <w:t>项目概况：</w:t>
            </w:r>
          </w:p>
          <w:p>
            <w:pPr>
              <w:pStyle w:val="null3"/>
            </w:pPr>
            <w:r>
              <w:rPr>
                <w:rFonts w:ascii="仿宋_GB2312" w:hAnsi="仿宋_GB2312" w:cs="仿宋_GB2312" w:eastAsia="仿宋_GB2312"/>
                <w:color w:val="000000"/>
                <w:shd w:fill="FFFFFF" w:val="clear"/>
              </w:rPr>
              <w:t>建筑施工质量检测抽测服务，主要内容为：涵盖三大类抽测服务，包括建筑材料及构配件抽测、工程实体质量抽测、专项设施抽测；通过合规抽测验证工程材料质量、实体施工质量是否符合设计及规范要求，为工程质量监督与验收提供客观技术依据，防范结构安全与使用功能风险；确保项目建设过程中工程质量符合相关标准与要求，保障项目稳步有序建设。</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color w:val="000000"/>
                <w:shd w:fill="FFFFFF" w:val="clear"/>
              </w:rPr>
              <w:t>一、</w:t>
            </w:r>
            <w:r>
              <w:rPr>
                <w:rFonts w:ascii="仿宋_GB2312" w:hAnsi="仿宋_GB2312" w:cs="仿宋_GB2312" w:eastAsia="仿宋_GB2312"/>
              </w:rPr>
              <w:t>检测项目</w:t>
            </w:r>
          </w:p>
          <w:p>
            <w:pPr>
              <w:pStyle w:val="null3"/>
            </w:pPr>
            <w:r>
              <w:rPr>
                <w:rFonts w:ascii="仿宋_GB2312" w:hAnsi="仿宋_GB2312" w:cs="仿宋_GB2312" w:eastAsia="仿宋_GB2312"/>
              </w:rPr>
              <w:t>华君健康城项目、西安延腾置业有限公司自建共有产权住房项目、望雲峯尚项目、土门街心花园东南角棚户区改造项目、陕煤物测小区项目、西安市第五医院住院楼扩建项目、西仪102小区棚户区改造项目、桃园三坊项目、海纳大厦项目、中天启悦项目、西控公司福利区18街坊棚户区改造项目、农行金融中心项目。除列明的具体检测项目外，中标供应商需承接服务期内新增检测项目及已完工项目市民质量投诉引发的专项检测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二、</w:t>
            </w:r>
            <w:r>
              <w:rPr>
                <w:rFonts w:ascii="仿宋_GB2312" w:hAnsi="仿宋_GB2312" w:cs="仿宋_GB2312" w:eastAsia="仿宋_GB2312"/>
              </w:rPr>
              <w:t>检测内容及数量：</w:t>
            </w:r>
          </w:p>
          <w:tbl>
            <w:tblPr>
              <w:tblInd w:type="dxa" w:w="105"/>
              <w:tblBorders>
                <w:top w:val="none" w:color="000000" w:sz="4"/>
                <w:left w:val="none" w:color="000000" w:sz="4"/>
                <w:bottom w:val="none" w:color="000000" w:sz="4"/>
                <w:right w:val="none" w:color="000000" w:sz="4"/>
                <w:insideH w:val="none"/>
                <w:insideV w:val="none"/>
              </w:tblBorders>
            </w:tblPr>
            <w:tblGrid>
              <w:gridCol w:w="247"/>
              <w:gridCol w:w="792"/>
              <w:gridCol w:w="896"/>
              <w:gridCol w:w="297"/>
              <w:gridCol w:w="301"/>
            </w:tblGrid>
            <w:tr>
              <w:tc>
                <w:tcPr>
                  <w:tcW w:type="dxa" w:w="2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序号</w:t>
                  </w:r>
                </w:p>
              </w:tc>
              <w:tc>
                <w:tcPr>
                  <w:tcW w:type="dxa" w:w="7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检测名称</w:t>
                  </w:r>
                </w:p>
              </w:tc>
              <w:tc>
                <w:tcPr>
                  <w:tcW w:type="dxa" w:w="8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检测项目</w:t>
                  </w:r>
                </w:p>
              </w:tc>
              <w:tc>
                <w:tcPr>
                  <w:tcW w:type="dxa" w:w="2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次数</w:t>
                  </w:r>
                </w:p>
              </w:tc>
              <w:tc>
                <w:tcPr>
                  <w:tcW w:type="dxa" w:w="3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单位</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钢筋原材（各种规格）</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屈服强度、抗拉强度、延伸率、冷弯、重量比</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60</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焊（连）接件（各种规格）</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抗拉强度</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45</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3</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防水混凝土</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抗渗等级</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水泥</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安定性、抗折强度、抗压强度</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5</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砂、石</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筛分析、含泥量、泥块含量、云母含量堆积密度</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6</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混凝土试块</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抗压强度</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120</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7</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砂浆试块</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抗压强度</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43</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8</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普通烧结砖</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抗压强度</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15</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9</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空心砖</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抗压强度</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20</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10</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蒸压加气砼砌块</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抗压强度、体积密度、含水率</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11</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电线</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绝缘厚度、线芯直径、导体电阻</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12</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电缆</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绝缘厚度、线芯直径、导体电阻、成品电缆电压试验</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13</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防水卷材</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不透水性、拉力、耐热性、衍射率、低温柔度</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14</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14</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聚氨酯防水涂料</w:t>
                  </w:r>
                </w:p>
              </w:tc>
              <w:tc>
                <w:tcPr>
                  <w:tcW w:type="dxa" w:w="89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拉力、低温柔度、耐热度、伸长率、不透水性</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15</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聚合物防水涂料</w:t>
                  </w:r>
                </w:p>
              </w:tc>
              <w:tc>
                <w:tcPr>
                  <w:tcW w:type="dxa" w:w="896"/>
                  <w:vMerge/>
                  <w:tcBorders>
                    <w:top w:val="none" w:color="000000" w:sz="4"/>
                    <w:left w:val="single" w:color="000000" w:sz="4"/>
                    <w:bottom w:val="single" w:color="000000" w:sz="4"/>
                    <w:right w:val="single" w:color="000000" w:sz="4"/>
                  </w:tcBorders>
                </w:tcP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16</w:t>
                  </w:r>
                </w:p>
              </w:tc>
              <w:tc>
                <w:tcPr>
                  <w:tcW w:type="dxa" w:w="79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EPS（XPS）板</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A1 级燃烧性能（含常规）</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vMerge/>
                  <w:tcBorders>
                    <w:top w:val="none" w:color="000000" w:sz="4"/>
                    <w:left w:val="single" w:color="000000" w:sz="4"/>
                    <w:bottom w:val="single" w:color="000000" w:sz="4"/>
                    <w:right w:val="single" w:color="000000" w:sz="4"/>
                  </w:tcBorders>
                </w:tcPr>
                <w:p/>
              </w:tc>
              <w:tc>
                <w:tcPr>
                  <w:tcW w:type="dxa" w:w="792"/>
                  <w:vMerge/>
                  <w:tcBorders>
                    <w:top w:val="none" w:color="000000" w:sz="4"/>
                    <w:left w:val="single" w:color="000000" w:sz="4"/>
                    <w:bottom w:val="single" w:color="000000" w:sz="4"/>
                    <w:right w:val="single" w:color="000000" w:sz="4"/>
                  </w:tcBorders>
                </w:tcP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A2 级燃烧性能（含常规）</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vMerge/>
                  <w:tcBorders>
                    <w:top w:val="none" w:color="000000" w:sz="4"/>
                    <w:left w:val="single" w:color="000000" w:sz="4"/>
                    <w:bottom w:val="single" w:color="000000" w:sz="4"/>
                    <w:right w:val="single" w:color="000000" w:sz="4"/>
                  </w:tcBorders>
                </w:tcPr>
                <w:p/>
              </w:tc>
              <w:tc>
                <w:tcPr>
                  <w:tcW w:type="dxa" w:w="792"/>
                  <w:vMerge/>
                  <w:tcBorders>
                    <w:top w:val="none" w:color="000000" w:sz="4"/>
                    <w:left w:val="single" w:color="000000" w:sz="4"/>
                    <w:bottom w:val="single" w:color="000000" w:sz="4"/>
                    <w:right w:val="single" w:color="000000" w:sz="4"/>
                  </w:tcBorders>
                </w:tcP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B1 级燃烧性能（含常规）</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vMerge/>
                  <w:tcBorders>
                    <w:top w:val="none" w:color="000000" w:sz="4"/>
                    <w:left w:val="single" w:color="000000" w:sz="4"/>
                    <w:bottom w:val="single" w:color="000000" w:sz="4"/>
                    <w:right w:val="single" w:color="000000" w:sz="4"/>
                  </w:tcBorders>
                </w:tcPr>
                <w:p/>
              </w:tc>
              <w:tc>
                <w:tcPr>
                  <w:tcW w:type="dxa" w:w="792"/>
                  <w:vMerge/>
                  <w:tcBorders>
                    <w:top w:val="none" w:color="000000" w:sz="4"/>
                    <w:left w:val="single" w:color="000000" w:sz="4"/>
                    <w:bottom w:val="single" w:color="000000" w:sz="4"/>
                    <w:right w:val="single" w:color="000000" w:sz="4"/>
                  </w:tcBorders>
                </w:tcP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B2 级燃烧性能（含常规）</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17</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保温浆料</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18</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硬质聚氨酯泡沫塑料</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19</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胶粘剂</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20</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抹面抗裂砂浆</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21</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耐碱玻纤网格布</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22</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镀锌钢丝网</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23</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锚固件</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24</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钢丝网架膨胀聚苯板</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全项（含燃烧性能）</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25</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憎水珍珠岩板</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全项（含燃烧性能）</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26</w:t>
                  </w:r>
                </w:p>
              </w:tc>
              <w:tc>
                <w:tcPr>
                  <w:tcW w:type="dxa" w:w="79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混凝土强度</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回弹检测法</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750</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构件</w:t>
                  </w:r>
                </w:p>
              </w:tc>
            </w:tr>
            <w:tr>
              <w:tc>
                <w:tcPr>
                  <w:tcW w:type="dxa" w:w="247"/>
                  <w:vMerge/>
                  <w:tcBorders>
                    <w:top w:val="none" w:color="000000" w:sz="4"/>
                    <w:left w:val="single" w:color="000000" w:sz="4"/>
                    <w:bottom w:val="single" w:color="000000" w:sz="4"/>
                    <w:right w:val="single" w:color="000000" w:sz="4"/>
                  </w:tcBorders>
                </w:tcPr>
                <w:p/>
              </w:tc>
              <w:tc>
                <w:tcPr>
                  <w:tcW w:type="dxa" w:w="792"/>
                  <w:vMerge/>
                  <w:tcBorders>
                    <w:top w:val="none" w:color="000000" w:sz="4"/>
                    <w:left w:val="single" w:color="000000" w:sz="4"/>
                    <w:bottom w:val="single" w:color="000000" w:sz="4"/>
                    <w:right w:val="single" w:color="000000" w:sz="4"/>
                  </w:tcBorders>
                </w:tcP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钻芯法</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构件</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27</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钢筋保护层厚度</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120</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构件</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28</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砂浆强度检测</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20</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构件</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29</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后置埋件（钢筋、螺栓）</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抗拔承载力</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根</w:t>
                  </w:r>
                </w:p>
              </w:tc>
            </w:tr>
            <w:tr>
              <w:tc>
                <w:tcPr>
                  <w:tcW w:type="dxa" w:w="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30</w:t>
                  </w:r>
                </w:p>
              </w:tc>
              <w:tc>
                <w:tcPr>
                  <w:tcW w:type="dxa" w:w="7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外墙面砖粘结强度</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r>
              <w:tc>
                <w:tcPr>
                  <w:tcW w:type="dxa" w:w="24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31</w:t>
                  </w:r>
                </w:p>
              </w:tc>
              <w:tc>
                <w:tcPr>
                  <w:tcW w:type="dxa" w:w="79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建筑外窗</w:t>
                  </w: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气密性（实验室检测）</w:t>
                  </w:r>
                </w:p>
              </w:tc>
              <w:tc>
                <w:tcPr>
                  <w:tcW w:type="dxa" w:w="297"/>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3樘</w:t>
                  </w:r>
                </w:p>
              </w:tc>
            </w:tr>
            <w:tr>
              <w:tc>
                <w:tcPr>
                  <w:tcW w:type="dxa" w:w="247"/>
                  <w:vMerge/>
                  <w:tcBorders>
                    <w:top w:val="none" w:color="000000" w:sz="4"/>
                    <w:left w:val="single" w:color="000000" w:sz="4"/>
                    <w:bottom w:val="single" w:color="000000" w:sz="4"/>
                    <w:right w:val="single" w:color="000000" w:sz="4"/>
                  </w:tcBorders>
                </w:tcPr>
                <w:p/>
              </w:tc>
              <w:tc>
                <w:tcPr>
                  <w:tcW w:type="dxa" w:w="792"/>
                  <w:vMerge/>
                  <w:tcBorders>
                    <w:top w:val="none" w:color="000000" w:sz="4"/>
                    <w:left w:val="single" w:color="000000" w:sz="4"/>
                    <w:bottom w:val="single" w:color="000000" w:sz="4"/>
                    <w:right w:val="single" w:color="000000" w:sz="4"/>
                  </w:tcBorders>
                </w:tcP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水密性（实验室检测）</w:t>
                  </w:r>
                </w:p>
              </w:tc>
              <w:tc>
                <w:tcPr>
                  <w:tcW w:type="dxa" w:w="297"/>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r>
            <w:tr>
              <w:tc>
                <w:tcPr>
                  <w:tcW w:type="dxa" w:w="247"/>
                  <w:vMerge/>
                  <w:tcBorders>
                    <w:top w:val="none" w:color="000000" w:sz="4"/>
                    <w:left w:val="single" w:color="000000" w:sz="4"/>
                    <w:bottom w:val="single" w:color="000000" w:sz="4"/>
                    <w:right w:val="single" w:color="000000" w:sz="4"/>
                  </w:tcBorders>
                </w:tcPr>
                <w:p/>
              </w:tc>
              <w:tc>
                <w:tcPr>
                  <w:tcW w:type="dxa" w:w="792"/>
                  <w:vMerge/>
                  <w:tcBorders>
                    <w:top w:val="none" w:color="000000" w:sz="4"/>
                    <w:left w:val="single" w:color="000000" w:sz="4"/>
                    <w:bottom w:val="single" w:color="000000" w:sz="4"/>
                    <w:right w:val="single" w:color="000000" w:sz="4"/>
                  </w:tcBorders>
                </w:tcP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抗风压（实验室检测）</w:t>
                  </w:r>
                </w:p>
              </w:tc>
              <w:tc>
                <w:tcPr>
                  <w:tcW w:type="dxa" w:w="297"/>
                  <w:vMerge/>
                  <w:tcBorders>
                    <w:top w:val="none" w:color="000000" w:sz="4"/>
                    <w:left w:val="single" w:color="000000" w:sz="4"/>
                    <w:bottom w:val="single" w:color="000000" w:sz="4"/>
                    <w:right w:val="single" w:color="000000" w:sz="4"/>
                  </w:tcBorders>
                </w:tcPr>
                <w:p/>
              </w:tc>
              <w:tc>
                <w:tcPr>
                  <w:tcW w:type="dxa" w:w="301"/>
                  <w:vMerge/>
                  <w:tcBorders>
                    <w:top w:val="none" w:color="000000" w:sz="4"/>
                    <w:left w:val="single" w:color="000000" w:sz="4"/>
                    <w:bottom w:val="single" w:color="000000" w:sz="4"/>
                    <w:right w:val="single" w:color="000000" w:sz="4"/>
                  </w:tcBorders>
                </w:tcPr>
                <w:p/>
              </w:tc>
            </w:tr>
            <w:tr>
              <w:tc>
                <w:tcPr>
                  <w:tcW w:type="dxa" w:w="247"/>
                  <w:vMerge/>
                  <w:tcBorders>
                    <w:top w:val="none" w:color="000000" w:sz="4"/>
                    <w:left w:val="single" w:color="000000" w:sz="4"/>
                    <w:bottom w:val="single" w:color="000000" w:sz="4"/>
                    <w:right w:val="single" w:color="000000" w:sz="4"/>
                  </w:tcBorders>
                </w:tcPr>
                <w:p/>
              </w:tc>
              <w:tc>
                <w:tcPr>
                  <w:tcW w:type="dxa" w:w="792"/>
                  <w:vMerge/>
                  <w:tcBorders>
                    <w:top w:val="none" w:color="000000" w:sz="4"/>
                    <w:left w:val="single" w:color="000000" w:sz="4"/>
                    <w:bottom w:val="single" w:color="000000" w:sz="4"/>
                    <w:right w:val="single" w:color="000000" w:sz="4"/>
                  </w:tcBorders>
                </w:tcP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气密性现场检测</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樘</w:t>
                  </w:r>
                </w:p>
              </w:tc>
            </w:tr>
            <w:tr>
              <w:tc>
                <w:tcPr>
                  <w:tcW w:type="dxa" w:w="247"/>
                  <w:vMerge/>
                  <w:tcBorders>
                    <w:top w:val="none" w:color="000000" w:sz="4"/>
                    <w:left w:val="single" w:color="000000" w:sz="4"/>
                    <w:bottom w:val="single" w:color="000000" w:sz="4"/>
                    <w:right w:val="single" w:color="000000" w:sz="4"/>
                  </w:tcBorders>
                </w:tcPr>
                <w:p/>
              </w:tc>
              <w:tc>
                <w:tcPr>
                  <w:tcW w:type="dxa" w:w="792"/>
                  <w:vMerge/>
                  <w:tcBorders>
                    <w:top w:val="none" w:color="000000" w:sz="4"/>
                    <w:left w:val="single" w:color="000000" w:sz="4"/>
                    <w:bottom w:val="single" w:color="000000" w:sz="4"/>
                    <w:right w:val="single" w:color="000000" w:sz="4"/>
                  </w:tcBorders>
                </w:tcP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传热系数</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樘</w:t>
                  </w:r>
                </w:p>
              </w:tc>
            </w:tr>
            <w:tr>
              <w:tc>
                <w:tcPr>
                  <w:tcW w:type="dxa" w:w="247"/>
                  <w:vMerge/>
                  <w:tcBorders>
                    <w:top w:val="none" w:color="000000" w:sz="4"/>
                    <w:left w:val="single" w:color="000000" w:sz="4"/>
                    <w:bottom w:val="single" w:color="000000" w:sz="4"/>
                    <w:right w:val="single" w:color="000000" w:sz="4"/>
                  </w:tcBorders>
                </w:tcPr>
                <w:p/>
              </w:tc>
              <w:tc>
                <w:tcPr>
                  <w:tcW w:type="dxa" w:w="792"/>
                  <w:vMerge/>
                  <w:tcBorders>
                    <w:top w:val="none" w:color="000000" w:sz="4"/>
                    <w:left w:val="single" w:color="000000" w:sz="4"/>
                    <w:bottom w:val="single" w:color="000000" w:sz="4"/>
                    <w:right w:val="single" w:color="000000" w:sz="4"/>
                  </w:tcBorders>
                </w:tcPr>
                <w:p/>
              </w:tc>
              <w:tc>
                <w:tcPr>
                  <w:tcW w:type="dxa" w:w="8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中空玻璃露点</w:t>
                  </w:r>
                </w:p>
              </w:tc>
              <w:tc>
                <w:tcPr>
                  <w:tcW w:type="dxa" w:w="2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1</w:t>
                  </w:r>
                </w:p>
              </w:tc>
              <w:tc>
                <w:tcPr>
                  <w:tcW w:type="dxa" w:w="3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rPr>
                    <w:t>组</w:t>
                  </w:r>
                </w:p>
              </w:tc>
            </w:tr>
          </w:tbl>
          <w:p>
            <w:pPr>
              <w:pStyle w:val="null3"/>
            </w:pPr>
            <w:r>
              <w:rPr>
                <w:rFonts w:ascii="仿宋_GB2312" w:hAnsi="仿宋_GB2312" w:cs="仿宋_GB2312" w:eastAsia="仿宋_GB2312"/>
                <w:b/>
              </w:rPr>
              <w:t>注：本项目最终合同价=本表所列的检测项目单价×实际发生的抽测项目次数。</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b/>
                <w:color w:val="000000"/>
              </w:rPr>
              <w:t>三、服务要求</w:t>
            </w:r>
          </w:p>
          <w:p>
            <w:pPr>
              <w:pStyle w:val="null3"/>
              <w:jc w:val="both"/>
            </w:pPr>
            <w:r>
              <w:rPr>
                <w:rFonts w:ascii="仿宋_GB2312" w:hAnsi="仿宋_GB2312" w:cs="仿宋_GB2312" w:eastAsia="仿宋_GB2312"/>
                <w:color w:val="000000"/>
              </w:rPr>
              <w:t>1.检测方按照委托方抽取的试件及时完成试验。</w:t>
            </w:r>
          </w:p>
          <w:p>
            <w:pPr>
              <w:pStyle w:val="null3"/>
              <w:jc w:val="both"/>
            </w:pPr>
            <w:r>
              <w:rPr>
                <w:rFonts w:ascii="仿宋_GB2312" w:hAnsi="仿宋_GB2312" w:cs="仿宋_GB2312" w:eastAsia="仿宋_GB2312"/>
                <w:color w:val="000000"/>
              </w:rPr>
              <w:t>2.检测方检测时严格执行国家有关标准，确保检测结果科学、公正，并提供技术咨询服务。</w:t>
            </w:r>
          </w:p>
          <w:p>
            <w:pPr>
              <w:pStyle w:val="null3"/>
            </w:pPr>
            <w:r>
              <w:rPr>
                <w:rFonts w:ascii="仿宋_GB2312" w:hAnsi="仿宋_GB2312" w:cs="仿宋_GB2312" w:eastAsia="仿宋_GB2312"/>
                <w:color w:val="000000"/>
              </w:rPr>
              <w:t>3.检测完成后应及时出具检测报告，报告提交时间一般不超过 3 个工作日，检测不合格的应优先告知委托方。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b/>
                <w:color w:val="000000"/>
              </w:rPr>
              <w:t>四、其他</w:t>
            </w:r>
          </w:p>
          <w:p>
            <w:pPr>
              <w:pStyle w:val="null3"/>
              <w:jc w:val="both"/>
            </w:pPr>
            <w:r>
              <w:rPr>
                <w:rFonts w:ascii="仿宋_GB2312" w:hAnsi="仿宋_GB2312" w:cs="仿宋_GB2312" w:eastAsia="仿宋_GB2312"/>
                <w:color w:val="000000"/>
              </w:rPr>
              <w:t>（一）进度要求：自合同签订之日起一年内完成所有成果交付，具体进度按甲方要求执行。</w:t>
            </w:r>
          </w:p>
          <w:p>
            <w:pPr>
              <w:pStyle w:val="null3"/>
              <w:jc w:val="both"/>
            </w:pPr>
            <w:r>
              <w:rPr>
                <w:rFonts w:ascii="仿宋_GB2312" w:hAnsi="仿宋_GB2312" w:cs="仿宋_GB2312" w:eastAsia="仿宋_GB2312"/>
                <w:color w:val="000000"/>
              </w:rPr>
              <w:t>（二）成果交付要求：检测方需要提供检测委托单、检测报告、委托方出具的工程质量监督抽测审批单及汇总表。</w:t>
            </w:r>
          </w:p>
          <w:p>
            <w:pPr>
              <w:pStyle w:val="null3"/>
              <w:jc w:val="both"/>
            </w:pPr>
            <w:r>
              <w:rPr>
                <w:rFonts w:ascii="仿宋_GB2312" w:hAnsi="仿宋_GB2312" w:cs="仿宋_GB2312" w:eastAsia="仿宋_GB2312"/>
                <w:color w:val="000000"/>
              </w:rPr>
              <w:t>（三）质量验收标准或规范：</w:t>
            </w:r>
          </w:p>
          <w:p>
            <w:pPr>
              <w:pStyle w:val="null3"/>
              <w:jc w:val="both"/>
            </w:pPr>
            <w:r>
              <w:rPr>
                <w:rFonts w:ascii="仿宋_GB2312" w:hAnsi="仿宋_GB2312" w:cs="仿宋_GB2312" w:eastAsia="仿宋_GB2312"/>
                <w:color w:val="000000"/>
              </w:rPr>
              <w:t>1.建筑工程施工质量验收统一标准 GB 50300-2013</w:t>
            </w:r>
          </w:p>
          <w:p>
            <w:pPr>
              <w:pStyle w:val="null3"/>
              <w:jc w:val="both"/>
            </w:pPr>
            <w:r>
              <w:rPr>
                <w:rFonts w:ascii="仿宋_GB2312" w:hAnsi="仿宋_GB2312" w:cs="仿宋_GB2312" w:eastAsia="仿宋_GB2312"/>
                <w:color w:val="000000"/>
              </w:rPr>
              <w:t>2.回弹法检测高强混凝土抗压强度技术规程 DBJ 24-24-03</w:t>
            </w:r>
          </w:p>
          <w:p>
            <w:pPr>
              <w:pStyle w:val="null3"/>
              <w:jc w:val="both"/>
            </w:pPr>
            <w:r>
              <w:rPr>
                <w:rFonts w:ascii="仿宋_GB2312" w:hAnsi="仿宋_GB2312" w:cs="仿宋_GB2312" w:eastAsia="仿宋_GB2312"/>
                <w:color w:val="000000"/>
              </w:rPr>
              <w:t>3.回弹法检测泵送混凝土抗压强度技术规程 DBJ /T61-46-2007 J11052-2007</w:t>
            </w:r>
          </w:p>
          <w:p>
            <w:pPr>
              <w:pStyle w:val="null3"/>
              <w:jc w:val="both"/>
            </w:pPr>
            <w:r>
              <w:rPr>
                <w:rFonts w:ascii="仿宋_GB2312" w:hAnsi="仿宋_GB2312" w:cs="仿宋_GB2312" w:eastAsia="仿宋_GB2312"/>
                <w:color w:val="000000"/>
              </w:rPr>
              <w:t>4.超声回弹综合法检测混凝土技术规程 CECS 02：2020</w:t>
            </w:r>
          </w:p>
          <w:p>
            <w:pPr>
              <w:pStyle w:val="null3"/>
              <w:jc w:val="both"/>
            </w:pPr>
            <w:r>
              <w:rPr>
                <w:rFonts w:ascii="仿宋_GB2312" w:hAnsi="仿宋_GB2312" w:cs="仿宋_GB2312" w:eastAsia="仿宋_GB2312"/>
                <w:color w:val="000000"/>
              </w:rPr>
              <w:t>5.钻芯法检测混凝土强度技术规程 CECS 03:2007</w:t>
            </w:r>
          </w:p>
          <w:p>
            <w:pPr>
              <w:pStyle w:val="null3"/>
              <w:jc w:val="both"/>
            </w:pPr>
            <w:r>
              <w:rPr>
                <w:rFonts w:ascii="仿宋_GB2312" w:hAnsi="仿宋_GB2312" w:cs="仿宋_GB2312" w:eastAsia="仿宋_GB2312"/>
                <w:color w:val="000000"/>
              </w:rPr>
              <w:t>6.混凝土中钢筋检测技术规程 JGJ/T152-2019</w:t>
            </w:r>
          </w:p>
          <w:p>
            <w:pPr>
              <w:pStyle w:val="null3"/>
              <w:jc w:val="both"/>
            </w:pPr>
            <w:r>
              <w:rPr>
                <w:rFonts w:ascii="仿宋_GB2312" w:hAnsi="仿宋_GB2312" w:cs="仿宋_GB2312" w:eastAsia="仿宋_GB2312"/>
                <w:color w:val="000000"/>
              </w:rPr>
              <w:t>7.碳纤维片材加固混凝土结构技术规程 CECS 146：2003</w:t>
            </w:r>
          </w:p>
          <w:p>
            <w:pPr>
              <w:pStyle w:val="null3"/>
              <w:jc w:val="both"/>
            </w:pPr>
            <w:r>
              <w:rPr>
                <w:rFonts w:ascii="仿宋_GB2312" w:hAnsi="仿宋_GB2312" w:cs="仿宋_GB2312" w:eastAsia="仿宋_GB2312"/>
                <w:color w:val="000000"/>
              </w:rPr>
              <w:t>8.混凝土强度检验评定标准 GB/T50107-2010</w:t>
            </w:r>
          </w:p>
          <w:p>
            <w:pPr>
              <w:pStyle w:val="null3"/>
              <w:jc w:val="both"/>
            </w:pPr>
            <w:r>
              <w:rPr>
                <w:rFonts w:ascii="仿宋_GB2312" w:hAnsi="仿宋_GB2312" w:cs="仿宋_GB2312" w:eastAsia="仿宋_GB2312"/>
                <w:color w:val="000000"/>
              </w:rPr>
              <w:t>9.混凝土结构设计规范 GB50010-2010</w:t>
            </w:r>
          </w:p>
          <w:p>
            <w:pPr>
              <w:pStyle w:val="null3"/>
              <w:jc w:val="both"/>
            </w:pPr>
            <w:r>
              <w:rPr>
                <w:rFonts w:ascii="仿宋_GB2312" w:hAnsi="仿宋_GB2312" w:cs="仿宋_GB2312" w:eastAsia="仿宋_GB2312"/>
                <w:color w:val="000000"/>
              </w:rPr>
              <w:t>10.回弹法检测混凝土抗压强度技术规程 JGJ/T 23-2011</w:t>
            </w:r>
          </w:p>
          <w:p>
            <w:pPr>
              <w:pStyle w:val="null3"/>
              <w:jc w:val="both"/>
            </w:pPr>
            <w:r>
              <w:rPr>
                <w:rFonts w:ascii="仿宋_GB2312" w:hAnsi="仿宋_GB2312" w:cs="仿宋_GB2312" w:eastAsia="仿宋_GB2312"/>
                <w:color w:val="000000"/>
              </w:rPr>
              <w:t>11.砌体结构工程施工质量验收规范 GB 50203-2011</w:t>
            </w:r>
          </w:p>
          <w:p>
            <w:pPr>
              <w:pStyle w:val="null3"/>
              <w:jc w:val="both"/>
            </w:pPr>
            <w:r>
              <w:rPr>
                <w:rFonts w:ascii="仿宋_GB2312" w:hAnsi="仿宋_GB2312" w:cs="仿宋_GB2312" w:eastAsia="仿宋_GB2312"/>
                <w:color w:val="000000"/>
              </w:rPr>
              <w:t>12.砌体工程现场检测技术标准 GB/T 50315-2011</w:t>
            </w:r>
          </w:p>
          <w:p>
            <w:pPr>
              <w:pStyle w:val="null3"/>
            </w:pPr>
            <w:r>
              <w:rPr>
                <w:rFonts w:ascii="仿宋_GB2312" w:hAnsi="仿宋_GB2312" w:cs="仿宋_GB2312" w:eastAsia="仿宋_GB2312"/>
                <w:color w:val="000000"/>
              </w:rPr>
              <w:t>13.混凝土结构工程施工质量验收规范 GB 50204-2015</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自合同签订生效之日起2年（合同一年一签）。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自合同签订生效之日起2年（合同一年一签）。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具体检查项目由甲方后期指定。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具体检查项目由甲方后期指定。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 2、验收依据： （1）合同； （2）国家有关的验收标准及规范； （3）竞争性磋商文件、竞争性磋商响应文件。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1、成交供应商对最终的服务质量负完全责任。 2、验收依据： （1）合同； （2）国家有关的验收标准及规范； （3）竞争性磋商文件、竞争性磋商响应文件。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根据供应商中标单价乘以实际发生工程量据实结算。付款依据：结算时检测方需要提供检测委托单、检测报告、委托方出具的工程质量监督抽测审批单及汇总表、符合税务规定的合法有效发票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根据供应商中标单价乘以实际发生工程量据实结算，结算时检测方需要提供检测委托单、检测报告、委托方出具的工程质量监督抽测审批单及汇总表、符合税务规定的合法有效发票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2、乙方应按合同约定时间完成各阶段合同义务，若发生延迟，乙方应向甲方支付合同总价款10%的违约金，且甲方有权单方解除本合同。但甲方书面同意延迟或因甲方原因导致延迟的，乙方不承担违约责任。 3、如甲方未能在本合同约定时间内支付款项，每延迟一天，甲方须向乙方承担迟延支付费用的0.5‰作为违约金，并将服务周期予以相应顺延。 4、本次活动因乙方原因导致侵害甲方或第三方合法权益的，应由乙方承担相应赔偿责任，并向甲方支付合同总价款10%的违约金。 5、若乙方未经甲方同意泄露本合同约定的任何秘密信息的，乙方应按照合同总价款的10%向甲方支付违约金，并赔偿因此给甲方造成的损失。 6、乙方保证向甲方开具发票的真实性、合法性，若乙方向甲方开具的发票存在真实性、合法性问题，给甲方造成损失的，乙方应按合同总价款的10%向甲方支付违约金， 违约金不足以弥补损失的，乙方还应承担相应赔偿责任。 7、本合同在履行过程中发生的争议,由甲､乙双方当事人协商解决,协商不成的按下列第二种方式解决: （一）提交???西安仲裁委员会仲裁; （二）依法向甲方所在地人民法院起诉｡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1、违约责任按《中华人民共和国民法典》处理中的相关条款执行。 2、乙方应按合同约定时间完成各阶段合同义务，若发生延迟，乙方应向甲方支付合同总价款10%的违约金，且甲方有权单方解除本合同。但甲方书面同意延迟或因甲方原因导致延迟的，乙方不承担违约责任。 3、如甲方未能在本合同约定时间内支付款项，每延迟一天，甲方须向乙方承担迟延支付费用的0.5‰作为违约金，并将服务周期予以相应顺延。 4、本次活动因乙方原因导致侵害甲方或第三方合法权益的，应由乙方承担相应赔偿责任，并向甲方支付合同总价款10%的违约金。 5、若乙方未经甲方同意泄露本合同约定的任何秘密信息的，乙方应按照合同总价款的10%向甲方支付违约金，并赔偿因此给甲方造成的损失。 6、乙方保证向甲方开具发票的真实性、合法性，若乙方向甲方开具的发票存在真实性、合法性问题，给甲方造成损失的，乙方应按合同总价款的10%向甲方支付违约金， 违约金不足以弥补损失的，乙方还应承担相应赔偿责任。 7、本合同在履行过程中发生的争议,由甲､乙双方当事人协商解决,协商不成的按下列第二种方式解决: （一）提交???西安仲裁委员会仲裁;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1.中标方按照采购人委托文件进行项目次检测 2.质量要求、验收标准：服务质量必须符合国家有关规范和相关政策，符合行业标准及相关规定。 3.若检测机构遇到本公司服务的建设单位，应当按规定回避或由另一包检测单位进行抽测。 4.本次投标的最小单元为“包”，为保证服务质量，同一供应商可参与多个包的投标，但同一个供应商最多中标一个包。同一供应商同时在多个包排名第一时，按包号顺序确定其为第一中标候选人，其余各包由排序第二名递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法人参与的提供合法有效的营业执照；其他组织参与的提供合法证明文件；自然人参与的提供其身份证明；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提供2025年9月至响应文件提交截止时间已缴纳的至少一个月的纳税证明或完税证明,依法免税的单位应提供相关证明材料;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提供2025年9月至响应文件提交截止时间已缴存的至少一个月的社会保障资金缴存单据或社保机构开具的社会保险参保缴费情况证明,依法不需要缴纳社会保障资金的单位应提供相关证明材料；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2025年12月至响应文件提交截止时间已缴存的至少一个月的社会保障资金凭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供应商须提供建设工程质量检测机构资质证书（检测范围须包括主体结构工程检测、钢结构工程检测、房屋建筑土建工程建筑材料、构配件进场见证取样检测）及有效的相关部门颁发的计量认证证书（CMA）；</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磋商截止日前未被列入失信被执行人､重大税收违法失信主体､政府采购严重违法失信行为记录名单(处罚期限届满的除外)(以“信用中国”网站(www.creditchina.gov.cn)或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本采购包不接受联合体磋商。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法人参与的提供合法有效的营业执照；其他组织参与的提供合法证明文件；自然人参与的提供其身份证明；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提供2025年9月至响应文件提交截止时间已缴纳的至少一个月的纳税证明或完税证明,依法免税的单位应提供相关证明材料;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提供2025年9月至响应文件提交截止时间已缴存的至少一个月的社会保障资金缴存单据或社保机构开具的社会保险参保缴费情况证明,依法不需要缴纳社会保障资金的单位应提供相关证明材料；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2025年12月至响应文件提交截止时间已缴存的至少一个月的社会保障资金凭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供应商须提供建设工程质量检测机构资质证书（检测范围须包括主体结构工程检测、钢结构工程检测、房屋建筑土建工程建筑材料、构配件进场见证取样检测）及有效的相关部门颁发的计量认证证书（CMA）；</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磋商截止日前未被列入失信被执行人､重大税收违法失信主体､政府采购严重违法失信行为记录名单(处罚期限届满的除外)(以“信用中国”网站(www.creditchina.gov.cn)或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本采购包不接受联合体磋商。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1.在磋商过程中,磋商小组认为供应商报价明显低于其他有效供应商的报价,有可能影响服务质量或者不能诚信履约的,磋商小组应当要求 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 系统进行提交,否则提交的相关证明材料无效 ｡供应商不能证明其报价合理性的,磋商小组应当将其响应文件作为无效处理｡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开标一览表.docx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法定代表人或被授权人的签字或盖章齐全并加盖公章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1.在磋商过程中,磋商小组认为供应商报价明显低于其他有效供应商的报价,有可能影响服务质量或者不能诚信履约的,磋商小组应当要求 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 系统进行提交,否则提交的相关证明材料无效 ｡供应商不能证明其报价合理性的,磋商小组应当将其响应文件作为无效处理｡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开标一览表.docx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开标一览表.docx 中小企业声明函 报价表 磋商方案说明书.docx 资格证明文件.docx 供应商承诺书.docx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法定代表人或被授权人的签字或盖章齐全并加盖公章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开标一览表.docx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中小企业声明函 报价表 磋商方案说明书.docx 资格证明文件.docx 供应商承诺书.docx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开标一览表.docx 中小企业声明函 报价表 磋商方案说明书.docx 资格证明文件.docx 供应商承诺书.docx 响应文件封面 残疾人福利性单位声明函 标的清单 其他资料.docx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1、对项目内容、采购需求、目标要求认识全面、理解深刻到位，完全符合项目需求，得4分； 2、对项目内容、采购需求、目标要求有一定认识和理解，基本符合项目需求，得3分； 3、对项目内容、采购需求有一定认识和理解，针对性不强，得2分； 4、对本项目相关要求的认识、理解不深入，有偏差，得1分； 5、其他或未提供不得分。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供应商根据采购人的需求和项目具体内容并结合自身情况制定详尽、完善的检测实施方案，应包括：①工作方案：②服务流程；③服务质量保证；④服务目标；⑤服务依据。本项满分15分。 每满足一项要求得3分，每有一项缺项扣3分,每一项有缺陷扣0.5-2.5分｡缺陷指项目需求不匹配或不能满足项目实施要求及其他不利于项目实施的，未提供不得分。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质量抽测措施</w:t>
            </w:r>
          </w:p>
        </w:tc>
        <w:tc>
          <w:tcPr>
            <w:tcW w:type="dxa" w:w="2492"/>
          </w:tcPr>
          <w:p>
            <w:pPr>
              <w:pStyle w:val="null3"/>
            </w:pPr>
            <w:r>
              <w:rPr>
                <w:rFonts w:ascii="仿宋_GB2312" w:hAnsi="仿宋_GB2312" w:cs="仿宋_GB2312" w:eastAsia="仿宋_GB2312"/>
              </w:rPr>
              <w:t>确保本项目服务质量的技术组织措施，包含但不限于质量控制措施、检测报告的准确性、符合国家相关标准规范的相关要求，包括：①质量抽测内容；②质量抽测制度；③抽测的基本原则与保障措施。本项满分9分。 每满足一项要求得3分，每有一项缺项扣3分,每一项有缺陷扣0.5-2.5分｡缺陷指项目需求不匹配或不能满足项目实施要求及其他不利于项目实施的，未提供不得分。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确保检测服务进度保障措施</w:t>
            </w:r>
          </w:p>
        </w:tc>
        <w:tc>
          <w:tcPr>
            <w:tcW w:type="dxa" w:w="2492"/>
          </w:tcPr>
          <w:p>
            <w:pPr>
              <w:pStyle w:val="null3"/>
            </w:pPr>
            <w:r>
              <w:rPr>
                <w:rFonts w:ascii="仿宋_GB2312" w:hAnsi="仿宋_GB2312" w:cs="仿宋_GB2312" w:eastAsia="仿宋_GB2312"/>
              </w:rPr>
              <w:t>确保检测服务进度保障措施： （1）措施描述完整、可操作性强、细节描述详细的得5分； （2）有相对的操作性，措施较详细的得3分； （3）内容简单笼统的得1分。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抽测数据保证措施</w:t>
            </w:r>
          </w:p>
        </w:tc>
        <w:tc>
          <w:tcPr>
            <w:tcW w:type="dxa" w:w="2492"/>
          </w:tcPr>
          <w:p>
            <w:pPr>
              <w:pStyle w:val="null3"/>
            </w:pPr>
            <w:r>
              <w:rPr>
                <w:rFonts w:ascii="仿宋_GB2312" w:hAnsi="仿宋_GB2312" w:cs="仿宋_GB2312" w:eastAsia="仿宋_GB2312"/>
              </w:rPr>
              <w:t>针对项目要求，编制抽测数据保证措施，应包括：①质量抽测数据真实性；②质量抽测数据成果合格性。本项满分6分。 每提供一项满足要求得3分，每一项有缺陷扣0.5-2.5分｡缺陷指项目需求不匹配或不能满足项目实施要求及其他不利于项目实施的，未提供不得分。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检验档案管理措施</w:t>
            </w:r>
          </w:p>
        </w:tc>
        <w:tc>
          <w:tcPr>
            <w:tcW w:type="dxa" w:w="2492"/>
          </w:tcPr>
          <w:p>
            <w:pPr>
              <w:pStyle w:val="null3"/>
            </w:pPr>
            <w:r>
              <w:rPr>
                <w:rFonts w:ascii="仿宋_GB2312" w:hAnsi="仿宋_GB2312" w:cs="仿宋_GB2312" w:eastAsia="仿宋_GB2312"/>
              </w:rPr>
              <w:t>包括①检验档案制度、②检验档案管理保存措施、③责任追究等管理制度。本项满分9分。 每提供一项满足要求得3分，每一项有缺陷扣0.5-2.5分｡缺陷指项目需求不匹配或不能满足项目实施要求及其他不利于项目实施的，未提供不得分。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提供项目负责人具备高级及以上技术职称的得3分，中级职称的得1分，其他不得分。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服务团队人员配备</w:t>
            </w:r>
          </w:p>
        </w:tc>
        <w:tc>
          <w:tcPr>
            <w:tcW w:type="dxa" w:w="2492"/>
          </w:tcPr>
          <w:p>
            <w:pPr>
              <w:pStyle w:val="null3"/>
            </w:pPr>
            <w:r>
              <w:rPr>
                <w:rFonts w:ascii="仿宋_GB2312" w:hAnsi="仿宋_GB2312" w:cs="仿宋_GB2312" w:eastAsia="仿宋_GB2312"/>
              </w:rPr>
              <w:t>提供投入本项目的专业服务团队配备人员数量、专业人员配置，人员分工等，满足本项目要求。 根据①配备人员数量②专业人员配置齐全、安排分工明确；每提供一项得2分，每一项有缺陷扣0.5-1.5分｡缺陷指项目需求不匹配或不能满足项目实施要求及其他不利于项目实施的，未提供不得分。最高得4分。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检测仪器设备</w:t>
            </w:r>
          </w:p>
        </w:tc>
        <w:tc>
          <w:tcPr>
            <w:tcW w:type="dxa" w:w="2492"/>
          </w:tcPr>
          <w:p>
            <w:pPr>
              <w:pStyle w:val="null3"/>
            </w:pPr>
            <w:r>
              <w:rPr>
                <w:rFonts w:ascii="仿宋_GB2312" w:hAnsi="仿宋_GB2312" w:cs="仿宋_GB2312" w:eastAsia="仿宋_GB2312"/>
              </w:rPr>
              <w:t>根据供应商拟投入的检测仪器设备情况进行赋分，本项满分 4分。 （1）设备配备合理，先进性、安全性及稳定性强得 4分； （2）配备较合理，先进性、安全性及稳定性较强得3分； （3）配备较合理，先进性、安全性及稳定性一般得2分； （4）配备一般，先进性、安全性及稳定性一般得1分。 （5）未提供不得分。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应急预案、应急处理措施</w:t>
            </w:r>
          </w:p>
        </w:tc>
        <w:tc>
          <w:tcPr>
            <w:tcW w:type="dxa" w:w="2492"/>
          </w:tcPr>
          <w:p>
            <w:pPr>
              <w:pStyle w:val="null3"/>
            </w:pPr>
            <w:r>
              <w:rPr>
                <w:rFonts w:ascii="仿宋_GB2312" w:hAnsi="仿宋_GB2312" w:cs="仿宋_GB2312" w:eastAsia="仿宋_GB2312"/>
              </w:rPr>
              <w:t>根据本项目特点制定有效的应急预案、应急处理措施，每提供一项得3分，每一项有缺陷扣0.5-2.5分｡缺陷指项目需求不匹配或不能满足项目实施要求及其他不利于项目实施的，未提供不得分。最高得6分。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投标人针对本项目有完善的管理体系、质量管理、项目保证措施等。要求针对本项目的质量保证体系健全、控制程序规范、保证措施得当，能确保项目顺利实施。 ①供应商应提供各项保障措施，阐述内容详尽具体，实施细节及措施合理、完善，针对性强，可实施性强，与本项目结合紧密，完全满足采购需求，得6分； ②虽进行了阐述，但阐述内容不够详尽具体，或实施细节及措施较为合理、完善但稍有瑕疵，或针对性不够强，或可实施性不够强，总体上满足采购需求，细节待完善，得4分； ③虽进行了阐述，但阐述内容较为简略，或实施细节及措施基本合理完善但有所欠缺，或针对性不强，或可实施性不强，基本满足采购需求，待改进加强，得2分； ④虽进行了阐述，但阐述内容缺失严重，或未结合项目情况进行论述，偏差明显的得1分； ⑤未提供得0分。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针对本项目提出适用于本项目的保密措施：对监督检查的数据、结果、成果文件的保密措施； ①保密措施详细合理，可性强得4分。 ②保密措施基本完整，可行性较强得3分; ③保密措施简单，可行性一般得2分; ④保密措施较混乱，可行性较差得1分; ⑤未提供得0分。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针对本项目特点，提供本项目服务承诺，应包含①服务效果②服务过程中的人员到岗情况③隐患处理及解决办法，每提供一项得1分，最高得3分，未提供承诺得0分。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①针对本项目的合理化建议详细、具体、可行得3分； ②针对本项目的合理化建议较具体、基本可行得2分; ③针对本项目的合理化建议较差、可行性低得1分; ④未提供得0分。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供应商提供自2022年11月01日至今类似业绩的证明材料（合同复印件加盖公章，以合同签订时间为准）每提供一项得2分，最高得4分，未提供不得分。注:须提供项目完整合同扫描件,加盖公章｡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1、对项目内容、采购需求、目标要求认识全面、理解深刻到位，完全符合项目需求，得4分； 2、对项目内容、采购需求、目标要求有一定认识和理解，基本符合项目需求，得3分； 3、对项目内容、采购需求有一定认识和理解，针对性不强，得2分； 4、对本项目相关要求的认识、理解不深入，有偏差，得1分； 5、其他或未提供不得分。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供应商根据采购人的需求和项目具体内容并结合自身情况制定详尽、完善的检测实施方案，应包括：①工作方案：②服务流程；③服务质量保证；④服务目标；⑤服务依据。本项满分15分。 每满足一项要求得3分，每有一项缺项扣3分,每一项有缺陷扣0.5-2.5分｡缺陷指项目需求不匹配或不能满足项目实施要求及其他不利于项目实施的，未提供不得分。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质量抽测措施</w:t>
            </w:r>
          </w:p>
        </w:tc>
        <w:tc>
          <w:tcPr>
            <w:tcW w:type="dxa" w:w="2492"/>
          </w:tcPr>
          <w:p>
            <w:pPr>
              <w:pStyle w:val="null3"/>
            </w:pPr>
            <w:r>
              <w:rPr>
                <w:rFonts w:ascii="仿宋_GB2312" w:hAnsi="仿宋_GB2312" w:cs="仿宋_GB2312" w:eastAsia="仿宋_GB2312"/>
              </w:rPr>
              <w:t>确保本项目服务质量的技术组织措施，包含但不限于质量控制措施、检测报告的准确性、符合国家相关标准规范的相关要求，包括：①质量抽测内容；②质量抽测制度；③抽测的基本原则与保障措施。本项满分9分。 每满足一项要求得3分，每有一项缺项扣3分,每一项有缺陷扣0.5-2.5分｡缺陷指项目需求不匹配或不能满足项目实施要求及其他不利于项目实施的，未提供不得分。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确保检测服务进度保障措施</w:t>
            </w:r>
          </w:p>
        </w:tc>
        <w:tc>
          <w:tcPr>
            <w:tcW w:type="dxa" w:w="2492"/>
          </w:tcPr>
          <w:p>
            <w:pPr>
              <w:pStyle w:val="null3"/>
            </w:pPr>
            <w:r>
              <w:rPr>
                <w:rFonts w:ascii="仿宋_GB2312" w:hAnsi="仿宋_GB2312" w:cs="仿宋_GB2312" w:eastAsia="仿宋_GB2312"/>
              </w:rPr>
              <w:t>确保检测服务进度保障措施： （1）措施描述完整、可操作性强、细节描述详细的得5分； （2）有相对的操作性，措施较详细的得3分； （3）内容简单笼统的得1分。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抽测数据保证措施</w:t>
            </w:r>
          </w:p>
        </w:tc>
        <w:tc>
          <w:tcPr>
            <w:tcW w:type="dxa" w:w="2492"/>
          </w:tcPr>
          <w:p>
            <w:pPr>
              <w:pStyle w:val="null3"/>
            </w:pPr>
            <w:r>
              <w:rPr>
                <w:rFonts w:ascii="仿宋_GB2312" w:hAnsi="仿宋_GB2312" w:cs="仿宋_GB2312" w:eastAsia="仿宋_GB2312"/>
              </w:rPr>
              <w:t>针对项目要求，编制抽测数据保证措施，应包括：①质量抽测数据真实性；②质量抽测数据成果合格性。本项满分6分。 每提供一项满足要求得3分，每一项有缺陷扣0.5-2.5分｡缺陷指项目需求不匹配或不能满足项目实施要求及其他不利于项目实施的，未提供不得分。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检验档案管理措施</w:t>
            </w:r>
          </w:p>
        </w:tc>
        <w:tc>
          <w:tcPr>
            <w:tcW w:type="dxa" w:w="2492"/>
          </w:tcPr>
          <w:p>
            <w:pPr>
              <w:pStyle w:val="null3"/>
            </w:pPr>
            <w:r>
              <w:rPr>
                <w:rFonts w:ascii="仿宋_GB2312" w:hAnsi="仿宋_GB2312" w:cs="仿宋_GB2312" w:eastAsia="仿宋_GB2312"/>
              </w:rPr>
              <w:t>包括①检验档案制度、②检验档案管理保存措施、③责任追究等管理制度。本项满分9分。 每提供一项满足要求得3分，每一项有缺陷扣0.5-2.5分｡缺陷指项目需求不匹配或不能满足项目实施要求及其他不利于项目实施的，未提供不得分。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提供项目负责人具备高级及以上技术职称的得3分，中级职称的得1分，其他不得分。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服务团队人员配备</w:t>
            </w:r>
          </w:p>
        </w:tc>
        <w:tc>
          <w:tcPr>
            <w:tcW w:type="dxa" w:w="2492"/>
          </w:tcPr>
          <w:p>
            <w:pPr>
              <w:pStyle w:val="null3"/>
            </w:pPr>
            <w:r>
              <w:rPr>
                <w:rFonts w:ascii="仿宋_GB2312" w:hAnsi="仿宋_GB2312" w:cs="仿宋_GB2312" w:eastAsia="仿宋_GB2312"/>
              </w:rPr>
              <w:t>提供投入本项目的专业服务团队配备人员数量、专业人员配置，人员分工等，满足本项目要求。 根据①配备人员数量②专业人员配置齐全、安排分工明确；每提供一项得2分，每一项有缺陷扣0.5-1.5分｡缺陷指项目需求不匹配或不能满足项目实施要求及其他不利于项目实施的，未提供不得分。最高得4分。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检测仪器设备</w:t>
            </w:r>
          </w:p>
        </w:tc>
        <w:tc>
          <w:tcPr>
            <w:tcW w:type="dxa" w:w="2492"/>
          </w:tcPr>
          <w:p>
            <w:pPr>
              <w:pStyle w:val="null3"/>
            </w:pPr>
            <w:r>
              <w:rPr>
                <w:rFonts w:ascii="仿宋_GB2312" w:hAnsi="仿宋_GB2312" w:cs="仿宋_GB2312" w:eastAsia="仿宋_GB2312"/>
              </w:rPr>
              <w:t>根据供应商拟投入的检测仪器设备情况进行赋分，本项满分 4分。 （1）设备配备合理，先进性、安全性及稳定性强得 4分； （2）配备较合理，先进性、安全性及稳定性较强得3分； （3）配备较合理，先进性、安全性及稳定性一般得2分； （4）配备一般，先进性、安全性及稳定性一般得1分。 （5）未提供不得分。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应急预案、应急处理措施</w:t>
            </w:r>
          </w:p>
        </w:tc>
        <w:tc>
          <w:tcPr>
            <w:tcW w:type="dxa" w:w="2492"/>
          </w:tcPr>
          <w:p>
            <w:pPr>
              <w:pStyle w:val="null3"/>
            </w:pPr>
            <w:r>
              <w:rPr>
                <w:rFonts w:ascii="仿宋_GB2312" w:hAnsi="仿宋_GB2312" w:cs="仿宋_GB2312" w:eastAsia="仿宋_GB2312"/>
              </w:rPr>
              <w:t>根据本项目特点制定有效的应急预案、应急处理措施，每提供一项得3分，每一项有缺陷扣0.5-2.5分｡缺陷指项目需求不匹配或不能满足项目实施要求及其他不利于项目实施的，未提供不得分。最高得6分。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投标人针对本项目有完善的管理体系、质量管理、项目保证措施等。要求针对本项目的质量保证体系健全、控制程序规范、保证措施得当，能确保项目顺利实施。 ①供应商应提供各项保障措施，阐述内容详尽具体，实施细节及措施合理、完善，针对性强，可实施性强，与本项目结合紧密，完全满足采购需求，得6分； ②虽进行了阐述，但阐述内容不够详尽具体，或实施细节及措施较为合理、完善但稍有瑕疵，或针对性不够强，或可实施性不够强，总体上满足采购需求，细节待完善，得4分； ③虽进行了阐述，但阐述内容较为简略，或实施细节及措施基本合理完善但有所欠缺，或针对性不强，或可实施性不强，基本满足采购需求，待改进加强，得2分； ④虽进行了阐述，但阐述内容缺失严重，或未结合项目情况进行论述，偏差明显的得1分； ⑤未提供得0分。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针对本项目提出适用于本项目的保密措施：对监督检查的数据、结果、成果文件的保密措施； ①保密措施详细合理，可性强得4分。 ②保密措施基本完整，可行性较强得3分; ③保密措施简单，可行性一般得2分; ④保密措施较混乱，可行性较差得1分; ⑤未提供得0分。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针对本项目特点，提供本项目服务承诺，应包含①服务效果②服务过程中的人员到岗情况③隐患处理及解决办法，每提供一项得1分，最高得3分，未提供承诺得0分。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①针对本项目的合理化建议详细、具体、可行得3分； ②针对本项目的合理化建议较具体、基本可行得2分; ③针对本项目的合理化建议较差、可行性低得1分; ④未提供得0分。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供应商提供自2022年11月01日至今类似业绩的证明材料（合同复印件加盖公章，以合同签订时间为准）每提供一项得2分，最高得4分，未提供不得分。注:须提供项目完整合同扫描件,加盖公章｡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