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4C75E">
      <w:pPr>
        <w:shd w:val="clear"/>
        <w:jc w:val="right"/>
        <w:rPr>
          <w:rFonts w:hint="eastAsia" w:ascii="仿宋" w:hAnsi="仿宋" w:eastAsia="仿宋" w:cs="仿宋"/>
          <w:b/>
          <w:color w:val="000000" w:themeColor="text1"/>
          <w:spacing w:val="-20"/>
          <w:sz w:val="32"/>
          <w:szCs w:val="32"/>
          <w:highlight w:val="none"/>
          <w:u w:val="none"/>
          <w14:textFill>
            <w14:solidFill>
              <w14:schemeClr w14:val="tx1"/>
            </w14:solidFill>
          </w14:textFill>
        </w:rPr>
      </w:pPr>
      <w:bookmarkStart w:id="0" w:name="_Toc1085"/>
      <w:r>
        <w:rPr>
          <w:rFonts w:hint="eastAsia" w:ascii="仿宋" w:hAnsi="仿宋" w:eastAsia="仿宋" w:cs="仿宋"/>
          <w:b/>
          <w:color w:val="000000" w:themeColor="text1"/>
          <w:spacing w:val="-20"/>
          <w:sz w:val="32"/>
          <w:szCs w:val="32"/>
          <w:highlight w:val="none"/>
          <w:u w:val="none"/>
          <w14:textFill>
            <w14:solidFill>
              <w14:schemeClr w14:val="tx1"/>
            </w14:solidFill>
          </w14:textFill>
        </w:rPr>
        <w:t xml:space="preserve">  </w:t>
      </w:r>
      <w:r>
        <w:rPr>
          <w:rFonts w:hint="eastAsia" w:ascii="仿宋" w:hAnsi="仿宋" w:eastAsia="仿宋" w:cs="仿宋"/>
          <w:b/>
          <w:bCs w:val="0"/>
          <w:color w:val="000000" w:themeColor="text1"/>
          <w:spacing w:val="-20"/>
          <w:sz w:val="32"/>
          <w:szCs w:val="32"/>
          <w:highlight w:val="none"/>
          <w:u w:val="none"/>
          <w14:textFill>
            <w14:solidFill>
              <w14:schemeClr w14:val="tx1"/>
            </w14:solidFill>
          </w14:textFill>
        </w:rPr>
        <w:t xml:space="preserve"> </w:t>
      </w:r>
      <w:bookmarkStart w:id="1" w:name="OLE_LINK76"/>
      <w:r>
        <w:rPr>
          <w:rFonts w:hint="eastAsia" w:ascii="仿宋" w:hAnsi="仿宋" w:eastAsia="仿宋" w:cs="仿宋"/>
          <w:b/>
          <w:bCs w:val="0"/>
          <w:color w:val="000000" w:themeColor="text1"/>
          <w:spacing w:val="-20"/>
          <w:sz w:val="32"/>
          <w:szCs w:val="32"/>
          <w:highlight w:val="none"/>
          <w:u w:val="none"/>
          <w:lang w:val="en-US" w:eastAsia="zh-CN"/>
          <w14:textFill>
            <w14:solidFill>
              <w14:schemeClr w14:val="tx1"/>
            </w14:solidFill>
          </w14:textFill>
        </w:rPr>
        <w:t>合同编号:</w:t>
      </w:r>
      <w:r>
        <w:rPr>
          <w:rFonts w:hint="eastAsia" w:ascii="仿宋" w:hAnsi="仿宋" w:eastAsia="仿宋" w:cs="仿宋"/>
          <w:b/>
          <w:bCs w:val="0"/>
          <w:color w:val="000000" w:themeColor="text1"/>
          <w:sz w:val="32"/>
          <w:szCs w:val="32"/>
          <w:highlight w:val="none"/>
          <w:u w:val="none"/>
          <w14:textFill>
            <w14:solidFill>
              <w14:schemeClr w14:val="tx1"/>
            </w14:solidFill>
          </w14:textFill>
        </w:rPr>
        <w:t>招采</w:t>
      </w:r>
      <w:r>
        <w:rPr>
          <w:rFonts w:hint="eastAsia" w:ascii="仿宋" w:hAnsi="仿宋" w:eastAsia="仿宋" w:cs="仿宋"/>
          <w:b/>
          <w:bCs w:val="0"/>
          <w:color w:val="000000" w:themeColor="text1"/>
          <w:sz w:val="32"/>
          <w:szCs w:val="32"/>
          <w:highlight w:val="none"/>
          <w:u w:val="none"/>
          <w:lang w:val="en-US" w:eastAsia="zh-CN"/>
          <w14:textFill>
            <w14:solidFill>
              <w14:schemeClr w14:val="tx1"/>
            </w14:solidFill>
          </w14:textFill>
        </w:rPr>
        <w:t>服务</w:t>
      </w:r>
      <w:r>
        <w:rPr>
          <w:rFonts w:hint="eastAsia" w:ascii="仿宋" w:hAnsi="仿宋" w:eastAsia="仿宋" w:cs="仿宋"/>
          <w:b/>
          <w:bCs w:val="0"/>
          <w:color w:val="000000" w:themeColor="text1"/>
          <w:sz w:val="32"/>
          <w:szCs w:val="32"/>
          <w:highlight w:val="none"/>
          <w:u w:val="none"/>
          <w14:textFill>
            <w14:solidFill>
              <w14:schemeClr w14:val="tx1"/>
            </w14:solidFill>
          </w14:textFill>
        </w:rPr>
        <w:t>202</w:t>
      </w:r>
      <w:r>
        <w:rPr>
          <w:rFonts w:hint="eastAsia" w:ascii="仿宋" w:hAnsi="仿宋" w:eastAsia="仿宋" w:cs="仿宋"/>
          <w:b/>
          <w:bCs w:val="0"/>
          <w:color w:val="000000" w:themeColor="text1"/>
          <w:sz w:val="32"/>
          <w:szCs w:val="32"/>
          <w:highlight w:val="none"/>
          <w:u w:val="none"/>
          <w:lang w:val="en-US" w:eastAsia="zh-CN"/>
          <w14:textFill>
            <w14:solidFill>
              <w14:schemeClr w14:val="tx1"/>
            </w14:solidFill>
          </w14:textFill>
        </w:rPr>
        <w:t>5</w:t>
      </w:r>
      <w:r>
        <w:rPr>
          <w:rFonts w:hint="eastAsia" w:ascii="仿宋" w:hAnsi="仿宋" w:eastAsia="仿宋" w:cs="仿宋"/>
          <w:b/>
          <w:bCs w:val="0"/>
          <w:color w:val="000000" w:themeColor="text1"/>
          <w:sz w:val="32"/>
          <w:szCs w:val="32"/>
          <w:highlight w:val="none"/>
          <w:u w:val="none"/>
          <w14:textFill>
            <w14:solidFill>
              <w14:schemeClr w14:val="tx1"/>
            </w14:solidFill>
          </w14:textFill>
        </w:rPr>
        <w:t>(</w:t>
      </w:r>
      <w:r>
        <w:rPr>
          <w:rFonts w:hint="eastAsia" w:ascii="仿宋" w:hAnsi="仿宋" w:eastAsia="仿宋" w:cs="仿宋"/>
          <w:b/>
          <w:bCs w:val="0"/>
          <w:color w:val="000000" w:themeColor="text1"/>
          <w:sz w:val="32"/>
          <w:szCs w:val="32"/>
          <w:highlight w:val="none"/>
          <w:u w:val="none"/>
          <w:lang w:val="en-US" w:eastAsia="zh-CN"/>
          <w14:textFill>
            <w14:solidFill>
              <w14:schemeClr w14:val="tx1"/>
            </w14:solidFill>
          </w14:textFill>
        </w:rPr>
        <w:t xml:space="preserve">    </w:t>
      </w:r>
      <w:r>
        <w:rPr>
          <w:rFonts w:hint="eastAsia" w:ascii="仿宋" w:hAnsi="仿宋" w:eastAsia="仿宋" w:cs="仿宋"/>
          <w:b/>
          <w:bCs w:val="0"/>
          <w:color w:val="000000" w:themeColor="text1"/>
          <w:sz w:val="32"/>
          <w:szCs w:val="32"/>
          <w:highlight w:val="none"/>
          <w:u w:val="none"/>
          <w14:textFill>
            <w14:solidFill>
              <w14:schemeClr w14:val="tx1"/>
            </w14:solidFill>
          </w14:textFill>
        </w:rPr>
        <w:t>)号</w:t>
      </w:r>
    </w:p>
    <w:p w14:paraId="099F8D03">
      <w:pPr>
        <w:shd w:val="clear"/>
        <w:rPr>
          <w:rFonts w:hint="eastAsia" w:ascii="仿宋" w:hAnsi="仿宋" w:eastAsia="仿宋" w:cs="仿宋"/>
          <w:color w:val="000000" w:themeColor="text1"/>
          <w:sz w:val="52"/>
          <w:szCs w:val="52"/>
          <w:highlight w:val="none"/>
          <w:u w:val="none"/>
          <w14:textFill>
            <w14:solidFill>
              <w14:schemeClr w14:val="tx1"/>
            </w14:solidFill>
          </w14:textFill>
        </w:rPr>
      </w:pPr>
    </w:p>
    <w:p w14:paraId="711F03AF">
      <w:pPr>
        <w:shd w:val="clear"/>
        <w:spacing w:line="360" w:lineRule="auto"/>
        <w:jc w:val="center"/>
        <w:rPr>
          <w:rFonts w:hint="eastAsia" w:ascii="仿宋" w:hAnsi="仿宋" w:eastAsia="仿宋" w:cs="仿宋"/>
          <w:b/>
          <w:color w:val="000000" w:themeColor="text1"/>
          <w:sz w:val="48"/>
          <w:szCs w:val="48"/>
          <w:highlight w:val="none"/>
          <w:u w:val="none"/>
          <w14:textFill>
            <w14:solidFill>
              <w14:schemeClr w14:val="tx1"/>
            </w14:solidFill>
          </w14:textFill>
        </w:rPr>
      </w:pPr>
      <w:r>
        <w:rPr>
          <w:rFonts w:hint="eastAsia" w:ascii="仿宋" w:hAnsi="仿宋" w:eastAsia="仿宋" w:cs="仿宋"/>
          <w:b/>
          <w:color w:val="000000" w:themeColor="text1"/>
          <w:sz w:val="48"/>
          <w:szCs w:val="48"/>
          <w:highlight w:val="none"/>
          <w:u w:val="none"/>
          <w:lang w:val="en-US" w:eastAsia="zh-CN"/>
          <w14:textFill>
            <w14:solidFill>
              <w14:schemeClr w14:val="tx1"/>
            </w14:solidFill>
          </w14:textFill>
        </w:rPr>
        <w:t>服 务</w:t>
      </w:r>
      <w:r>
        <w:rPr>
          <w:rFonts w:hint="eastAsia" w:ascii="仿宋" w:hAnsi="仿宋" w:eastAsia="仿宋" w:cs="仿宋"/>
          <w:b/>
          <w:color w:val="000000" w:themeColor="text1"/>
          <w:sz w:val="48"/>
          <w:szCs w:val="48"/>
          <w:highlight w:val="none"/>
          <w:u w:val="none"/>
          <w14:textFill>
            <w14:solidFill>
              <w14:schemeClr w14:val="tx1"/>
            </w14:solidFill>
          </w14:textFill>
        </w:rPr>
        <w:t xml:space="preserve"> 合 同</w:t>
      </w:r>
    </w:p>
    <w:p w14:paraId="119ECCEC">
      <w:pPr>
        <w:shd w:val="clear"/>
        <w:spacing w:line="360" w:lineRule="auto"/>
        <w:jc w:val="center"/>
        <w:rPr>
          <w:rFonts w:hint="eastAsia" w:ascii="仿宋" w:hAnsi="仿宋" w:eastAsia="仿宋" w:cs="仿宋"/>
          <w:color w:val="000000" w:themeColor="text1"/>
          <w:sz w:val="44"/>
          <w:szCs w:val="44"/>
          <w:highlight w:val="none"/>
          <w:u w:val="none"/>
          <w14:textFill>
            <w14:solidFill>
              <w14:schemeClr w14:val="tx1"/>
            </w14:solidFill>
          </w14:textFill>
        </w:rPr>
      </w:pPr>
      <w:r>
        <w:rPr>
          <w:rFonts w:hint="eastAsia" w:ascii="仿宋" w:hAnsi="仿宋" w:eastAsia="仿宋" w:cs="仿宋"/>
          <w:b/>
          <w:bCs/>
          <w:color w:val="000000" w:themeColor="text1"/>
          <w:sz w:val="44"/>
          <w:szCs w:val="44"/>
          <w:highlight w:val="none"/>
          <w:u w:val="none"/>
          <w14:textFill>
            <w14:solidFill>
              <w14:schemeClr w14:val="tx1"/>
            </w14:solidFill>
          </w14:textFill>
        </w:rPr>
        <w:t>(</w:t>
      </w:r>
      <w:r>
        <w:rPr>
          <w:rFonts w:hint="eastAsia" w:ascii="仿宋" w:hAnsi="仿宋" w:eastAsia="仿宋" w:cs="仿宋"/>
          <w:b/>
          <w:bCs/>
          <w:color w:val="000000" w:themeColor="text1"/>
          <w:sz w:val="44"/>
          <w:szCs w:val="44"/>
          <w:highlight w:val="none"/>
          <w:u w:val="none"/>
          <w:lang w:val="en-US" w:eastAsia="zh-CN"/>
          <w14:textFill>
            <w14:solidFill>
              <w14:schemeClr w14:val="tx1"/>
            </w14:solidFill>
          </w14:textFill>
        </w:rPr>
        <w:t>项目</w:t>
      </w:r>
      <w:r>
        <w:rPr>
          <w:rFonts w:hint="eastAsia" w:ascii="仿宋" w:hAnsi="仿宋" w:eastAsia="仿宋" w:cs="仿宋"/>
          <w:b/>
          <w:bCs/>
          <w:color w:val="000000" w:themeColor="text1"/>
          <w:sz w:val="44"/>
          <w:szCs w:val="44"/>
          <w:highlight w:val="none"/>
          <w:u w:val="none"/>
          <w14:textFill>
            <w14:solidFill>
              <w14:schemeClr w14:val="tx1"/>
            </w14:solidFill>
          </w14:textFill>
        </w:rPr>
        <w:t>名称:</w:t>
      </w:r>
      <w:r>
        <w:rPr>
          <w:rFonts w:hint="eastAsia" w:ascii="仿宋" w:hAnsi="仿宋" w:eastAsia="仿宋" w:cs="仿宋"/>
          <w:b/>
          <w:bCs/>
          <w:color w:val="000000" w:themeColor="text1"/>
          <w:sz w:val="44"/>
          <w:szCs w:val="44"/>
          <w:highlight w:val="none"/>
          <w:u w:val="none"/>
          <w:lang w:val="en-US" w:eastAsia="zh-CN"/>
          <w14:textFill>
            <w14:solidFill>
              <w14:schemeClr w14:val="tx1"/>
            </w14:solidFill>
          </w14:textFill>
        </w:rPr>
        <w:t xml:space="preserve">     </w:t>
      </w:r>
      <w:r>
        <w:rPr>
          <w:rFonts w:hint="eastAsia" w:ascii="仿宋" w:hAnsi="仿宋" w:eastAsia="仿宋" w:cs="仿宋"/>
          <w:b/>
          <w:bCs/>
          <w:color w:val="000000" w:themeColor="text1"/>
          <w:sz w:val="44"/>
          <w:szCs w:val="44"/>
          <w:highlight w:val="none"/>
          <w:u w:val="none"/>
          <w14:textFill>
            <w14:solidFill>
              <w14:schemeClr w14:val="tx1"/>
            </w14:solidFill>
          </w14:textFill>
        </w:rPr>
        <w:t>)</w:t>
      </w:r>
    </w:p>
    <w:p w14:paraId="3547D285">
      <w:pPr>
        <w:shd w:val="clear"/>
        <w:spacing w:line="510" w:lineRule="atLeast"/>
        <w:rPr>
          <w:rFonts w:hint="eastAsia" w:ascii="仿宋" w:hAnsi="仿宋" w:eastAsia="仿宋" w:cs="仿宋"/>
          <w:b/>
          <w:color w:val="000000" w:themeColor="text1"/>
          <w:sz w:val="30"/>
          <w:szCs w:val="30"/>
          <w:highlight w:val="none"/>
          <w:u w:val="none"/>
          <w14:textFill>
            <w14:solidFill>
              <w14:schemeClr w14:val="tx1"/>
            </w14:solidFill>
          </w14:textFill>
        </w:rPr>
      </w:pPr>
    </w:p>
    <w:p w14:paraId="3B3EA1C0">
      <w:pPr>
        <w:pStyle w:val="3"/>
        <w:shd w:val="clear"/>
        <w:rPr>
          <w:rFonts w:hint="eastAsia" w:ascii="仿宋" w:hAnsi="仿宋" w:eastAsia="仿宋" w:cs="仿宋"/>
          <w:b/>
          <w:color w:val="000000" w:themeColor="text1"/>
          <w:sz w:val="30"/>
          <w:szCs w:val="30"/>
          <w:highlight w:val="none"/>
          <w:u w:val="none"/>
          <w14:textFill>
            <w14:solidFill>
              <w14:schemeClr w14:val="tx1"/>
            </w14:solidFill>
          </w14:textFill>
        </w:rPr>
      </w:pPr>
    </w:p>
    <w:p w14:paraId="38FED1B6">
      <w:pPr>
        <w:shd w:val="clear"/>
        <w:rPr>
          <w:rFonts w:hint="eastAsia" w:ascii="仿宋" w:hAnsi="仿宋" w:eastAsia="仿宋" w:cs="仿宋"/>
          <w:color w:val="000000" w:themeColor="text1"/>
          <w:highlight w:val="none"/>
          <w:u w:val="none"/>
          <w14:textFill>
            <w14:solidFill>
              <w14:schemeClr w14:val="tx1"/>
            </w14:solidFill>
          </w14:textFill>
        </w:rPr>
      </w:pPr>
    </w:p>
    <w:p w14:paraId="70B481E3">
      <w:pPr>
        <w:pStyle w:val="3"/>
        <w:shd w:val="clear"/>
        <w:rPr>
          <w:rFonts w:hint="eastAsia" w:ascii="仿宋" w:hAnsi="仿宋" w:eastAsia="仿宋" w:cs="仿宋"/>
          <w:color w:val="000000" w:themeColor="text1"/>
          <w:highlight w:val="none"/>
          <w:u w:val="none"/>
          <w14:textFill>
            <w14:solidFill>
              <w14:schemeClr w14:val="tx1"/>
            </w14:solidFill>
          </w14:textFill>
        </w:rPr>
      </w:pPr>
    </w:p>
    <w:p w14:paraId="168DCB4D">
      <w:pPr>
        <w:shd w:val="clear"/>
        <w:spacing w:line="510" w:lineRule="atLeast"/>
        <w:jc w:val="center"/>
        <w:rPr>
          <w:rFonts w:hint="eastAsia" w:ascii="仿宋" w:hAnsi="仿宋" w:eastAsia="仿宋" w:cs="仿宋"/>
          <w:b/>
          <w:color w:val="000000" w:themeColor="text1"/>
          <w:sz w:val="30"/>
          <w:szCs w:val="30"/>
          <w:highlight w:val="none"/>
          <w:u w:val="none"/>
          <w14:textFill>
            <w14:solidFill>
              <w14:schemeClr w14:val="tx1"/>
            </w14:solidFill>
          </w14:textFill>
        </w:rPr>
      </w:pPr>
    </w:p>
    <w:p w14:paraId="362B4AFA">
      <w:pPr>
        <w:pStyle w:val="3"/>
        <w:shd w:val="clear"/>
        <w:rPr>
          <w:rFonts w:hint="eastAsia" w:ascii="仿宋" w:hAnsi="仿宋" w:eastAsia="仿宋" w:cs="仿宋"/>
          <w:b/>
          <w:color w:val="000000" w:themeColor="text1"/>
          <w:sz w:val="30"/>
          <w:szCs w:val="30"/>
          <w:highlight w:val="none"/>
          <w:u w:val="none"/>
          <w14:textFill>
            <w14:solidFill>
              <w14:schemeClr w14:val="tx1"/>
            </w14:solidFill>
          </w14:textFill>
        </w:rPr>
      </w:pPr>
    </w:p>
    <w:p w14:paraId="7695AF2C">
      <w:pPr>
        <w:shd w:val="clear"/>
        <w:spacing w:line="510" w:lineRule="atLeast"/>
        <w:jc w:val="both"/>
        <w:rPr>
          <w:rFonts w:hint="eastAsia" w:ascii="仿宋" w:hAnsi="仿宋" w:eastAsia="仿宋" w:cs="仿宋"/>
          <w:b/>
          <w:color w:val="000000" w:themeColor="text1"/>
          <w:sz w:val="30"/>
          <w:szCs w:val="30"/>
          <w:highlight w:val="none"/>
          <w:u w:val="none"/>
          <w14:textFill>
            <w14:solidFill>
              <w14:schemeClr w14:val="tx1"/>
            </w14:solidFill>
          </w14:textFill>
        </w:rPr>
      </w:pPr>
    </w:p>
    <w:p w14:paraId="5898500A">
      <w:pPr>
        <w:pStyle w:val="3"/>
        <w:shd w:val="clear"/>
        <w:rPr>
          <w:rFonts w:hint="eastAsia" w:ascii="仿宋" w:hAnsi="仿宋" w:eastAsia="仿宋" w:cs="仿宋"/>
          <w:color w:val="000000" w:themeColor="text1"/>
          <w:highlight w:val="none"/>
          <w:u w:val="none"/>
          <w14:textFill>
            <w14:solidFill>
              <w14:schemeClr w14:val="tx1"/>
            </w14:solidFill>
          </w14:textFill>
        </w:rPr>
      </w:pPr>
    </w:p>
    <w:p w14:paraId="7EE01BE8">
      <w:pPr>
        <w:shd w:val="clear"/>
        <w:spacing w:line="510" w:lineRule="atLeast"/>
        <w:rPr>
          <w:rFonts w:hint="eastAsia" w:ascii="仿宋" w:hAnsi="仿宋" w:eastAsia="仿宋" w:cs="仿宋"/>
          <w:b/>
          <w:color w:val="000000" w:themeColor="text1"/>
          <w:sz w:val="30"/>
          <w:szCs w:val="30"/>
          <w:highlight w:val="none"/>
          <w:u w:val="none"/>
          <w14:textFill>
            <w14:solidFill>
              <w14:schemeClr w14:val="tx1"/>
            </w14:solidFill>
          </w14:textFill>
        </w:rPr>
      </w:pPr>
    </w:p>
    <w:p w14:paraId="01B5C57C">
      <w:pPr>
        <w:shd w:val="clear"/>
        <w:snapToGrid w:val="0"/>
        <w:spacing w:line="360" w:lineRule="auto"/>
        <w:ind w:firstLine="1325" w:firstLineChars="300"/>
        <w:rPr>
          <w:rFonts w:hint="eastAsia" w:ascii="仿宋" w:hAnsi="仿宋" w:eastAsia="仿宋" w:cs="仿宋"/>
          <w:b/>
          <w:color w:val="000000" w:themeColor="text1"/>
          <w:sz w:val="44"/>
          <w:szCs w:val="44"/>
          <w:highlight w:val="none"/>
          <w:u w:val="none"/>
          <w:lang w:eastAsia="zh-CN"/>
          <w14:textFill>
            <w14:solidFill>
              <w14:schemeClr w14:val="tx1"/>
            </w14:solidFill>
          </w14:textFill>
        </w:rPr>
      </w:pPr>
      <w:r>
        <w:rPr>
          <w:rFonts w:hint="eastAsia" w:ascii="仿宋" w:hAnsi="仿宋" w:eastAsia="仿宋" w:cs="仿宋"/>
          <w:b/>
          <w:color w:val="000000" w:themeColor="text1"/>
          <w:sz w:val="44"/>
          <w:szCs w:val="44"/>
          <w:highlight w:val="none"/>
          <w:u w:val="none"/>
          <w14:textFill>
            <w14:solidFill>
              <w14:schemeClr w14:val="tx1"/>
            </w14:solidFill>
          </w14:textFill>
        </w:rPr>
        <w:t>甲  方:</w:t>
      </w:r>
      <w:r>
        <w:rPr>
          <w:rFonts w:hint="eastAsia" w:ascii="仿宋" w:hAnsi="仿宋" w:eastAsia="仿宋" w:cs="仿宋"/>
          <w:b/>
          <w:color w:val="000000" w:themeColor="text1"/>
          <w:sz w:val="44"/>
          <w:szCs w:val="44"/>
          <w:highlight w:val="none"/>
          <w:u w:val="single"/>
          <w:lang w:eastAsia="zh-CN"/>
          <w14:textFill>
            <w14:solidFill>
              <w14:schemeClr w14:val="tx1"/>
            </w14:solidFill>
          </w14:textFill>
        </w:rPr>
        <w:t>西安市莲湖区住房和城市建设局</w:t>
      </w:r>
      <w:r>
        <w:rPr>
          <w:rFonts w:hint="eastAsia" w:ascii="仿宋" w:hAnsi="仿宋" w:eastAsia="仿宋" w:cs="仿宋"/>
          <w:b/>
          <w:color w:val="000000" w:themeColor="text1"/>
          <w:sz w:val="44"/>
          <w:szCs w:val="44"/>
          <w:highlight w:val="none"/>
          <w:u w:val="none"/>
          <w:lang w:eastAsia="zh-CN"/>
          <w14:textFill>
            <w14:solidFill>
              <w14:schemeClr w14:val="tx1"/>
            </w14:solidFill>
          </w14:textFill>
        </w:rPr>
        <w:t xml:space="preserve"> </w:t>
      </w:r>
    </w:p>
    <w:p w14:paraId="76F07C3A">
      <w:pPr>
        <w:shd w:val="clear"/>
        <w:tabs>
          <w:tab w:val="left" w:pos="480"/>
        </w:tabs>
        <w:snapToGrid w:val="0"/>
        <w:spacing w:line="360" w:lineRule="auto"/>
        <w:ind w:firstLine="1325" w:firstLineChars="300"/>
        <w:rPr>
          <w:rFonts w:hint="eastAsia" w:ascii="仿宋" w:hAnsi="仿宋" w:eastAsia="仿宋" w:cs="仿宋"/>
          <w:b/>
          <w:color w:val="000000" w:themeColor="text1"/>
          <w:sz w:val="30"/>
          <w:szCs w:val="30"/>
          <w:highlight w:val="none"/>
          <w:u w:val="none"/>
          <w:lang w:val="en-US" w:eastAsia="zh-CN"/>
          <w14:textFill>
            <w14:solidFill>
              <w14:schemeClr w14:val="tx1"/>
            </w14:solidFill>
          </w14:textFill>
        </w:rPr>
      </w:pPr>
      <w:r>
        <w:rPr>
          <w:rFonts w:hint="eastAsia" w:ascii="仿宋" w:hAnsi="仿宋" w:eastAsia="仿宋" w:cs="仿宋"/>
          <w:b/>
          <w:color w:val="000000" w:themeColor="text1"/>
          <w:sz w:val="44"/>
          <w:szCs w:val="44"/>
          <w:highlight w:val="none"/>
          <w:u w:val="none"/>
          <w14:textFill>
            <w14:solidFill>
              <w14:schemeClr w14:val="tx1"/>
            </w14:solidFill>
          </w14:textFill>
        </w:rPr>
        <w:t>乙  方:</w:t>
      </w:r>
      <w:r>
        <w:rPr>
          <w:rFonts w:hint="eastAsia" w:ascii="仿宋" w:hAnsi="仿宋" w:eastAsia="仿宋" w:cs="仿宋"/>
          <w:b/>
          <w:color w:val="000000" w:themeColor="text1"/>
          <w:sz w:val="44"/>
          <w:szCs w:val="44"/>
          <w:highlight w:val="none"/>
          <w:u w:val="single"/>
          <w:lang w:val="en-US" w:eastAsia="zh-CN"/>
          <w14:textFill>
            <w14:solidFill>
              <w14:schemeClr w14:val="tx1"/>
            </w14:solidFill>
          </w14:textFill>
        </w:rPr>
        <w:t xml:space="preserve">                             </w:t>
      </w:r>
    </w:p>
    <w:p w14:paraId="037913B2">
      <w:pPr>
        <w:shd w:val="clear"/>
        <w:snapToGrid w:val="0"/>
        <w:spacing w:line="360" w:lineRule="auto"/>
        <w:ind w:firstLine="3092" w:firstLineChars="700"/>
        <w:jc w:val="both"/>
        <w:rPr>
          <w:rFonts w:hint="eastAsia" w:ascii="仿宋" w:hAnsi="仿宋" w:eastAsia="仿宋" w:cs="仿宋"/>
          <w:b/>
          <w:color w:val="000000" w:themeColor="text1"/>
          <w:sz w:val="44"/>
          <w:szCs w:val="44"/>
          <w:highlight w:val="none"/>
          <w:u w:val="none"/>
          <w14:textFill>
            <w14:solidFill>
              <w14:schemeClr w14:val="tx1"/>
            </w14:solidFill>
          </w14:textFill>
        </w:rPr>
      </w:pPr>
      <w:r>
        <w:rPr>
          <w:rFonts w:hint="eastAsia" w:ascii="仿宋" w:hAnsi="仿宋" w:eastAsia="仿宋" w:cs="仿宋"/>
          <w:b/>
          <w:color w:val="000000" w:themeColor="text1"/>
          <w:sz w:val="44"/>
          <w:szCs w:val="44"/>
          <w:highlight w:val="none"/>
          <w:u w:val="none"/>
          <w:lang w:val="en-US" w:eastAsia="zh-CN"/>
          <w14:textFill>
            <w14:solidFill>
              <w14:schemeClr w14:val="tx1"/>
            </w14:solidFill>
          </w14:textFill>
        </w:rPr>
        <w:t xml:space="preserve"> </w:t>
      </w:r>
      <w:r>
        <w:rPr>
          <w:rFonts w:hint="eastAsia" w:ascii="仿宋" w:hAnsi="仿宋" w:eastAsia="仿宋" w:cs="仿宋"/>
          <w:b/>
          <w:color w:val="000000" w:themeColor="text1"/>
          <w:sz w:val="44"/>
          <w:szCs w:val="44"/>
          <w:highlight w:val="none"/>
          <w:u w:val="none"/>
          <w14:textFill>
            <w14:solidFill>
              <w14:schemeClr w14:val="tx1"/>
            </w14:solidFill>
          </w14:textFill>
        </w:rPr>
        <w:t>年</w:t>
      </w:r>
      <w:r>
        <w:rPr>
          <w:rFonts w:hint="eastAsia" w:ascii="仿宋" w:hAnsi="仿宋" w:eastAsia="仿宋" w:cs="仿宋"/>
          <w:b/>
          <w:color w:val="000000" w:themeColor="text1"/>
          <w:sz w:val="44"/>
          <w:szCs w:val="44"/>
          <w:highlight w:val="none"/>
          <w:u w:val="none"/>
          <w:lang w:val="en-US" w:eastAsia="zh-CN"/>
          <w14:textFill>
            <w14:solidFill>
              <w14:schemeClr w14:val="tx1"/>
            </w14:solidFill>
          </w14:textFill>
        </w:rPr>
        <w:t xml:space="preserve">   </w:t>
      </w:r>
      <w:r>
        <w:rPr>
          <w:rFonts w:hint="eastAsia" w:ascii="仿宋" w:hAnsi="仿宋" w:eastAsia="仿宋" w:cs="仿宋"/>
          <w:b/>
          <w:color w:val="000000" w:themeColor="text1"/>
          <w:sz w:val="44"/>
          <w:szCs w:val="44"/>
          <w:highlight w:val="none"/>
          <w:u w:val="none"/>
          <w14:textFill>
            <w14:solidFill>
              <w14:schemeClr w14:val="tx1"/>
            </w14:solidFill>
          </w14:textFill>
        </w:rPr>
        <w:t>月</w:t>
      </w:r>
    </w:p>
    <w:p w14:paraId="417FB4D5">
      <w:pPr>
        <w:shd w:val="clear"/>
        <w:snapToGrid w:val="0"/>
        <w:spacing w:line="360" w:lineRule="auto"/>
        <w:ind w:firstLine="3092" w:firstLineChars="700"/>
        <w:jc w:val="both"/>
        <w:rPr>
          <w:rFonts w:hint="eastAsia" w:ascii="仿宋" w:hAnsi="仿宋" w:eastAsia="仿宋" w:cs="仿宋"/>
          <w:b/>
          <w:color w:val="000000" w:themeColor="text1"/>
          <w:sz w:val="44"/>
          <w:szCs w:val="44"/>
          <w:highlight w:val="none"/>
          <w:u w:val="none"/>
          <w14:textFill>
            <w14:solidFill>
              <w14:schemeClr w14:val="tx1"/>
            </w14:solidFill>
          </w14:textFill>
        </w:rPr>
      </w:pPr>
      <w:r>
        <w:rPr>
          <w:rFonts w:hint="eastAsia" w:ascii="仿宋" w:hAnsi="仿宋" w:eastAsia="仿宋" w:cs="仿宋"/>
          <w:b/>
          <w:color w:val="000000" w:themeColor="text1"/>
          <w:sz w:val="44"/>
          <w:szCs w:val="44"/>
          <w:highlight w:val="none"/>
          <w:u w:val="none"/>
          <w14:textFill>
            <w14:solidFill>
              <w14:schemeClr w14:val="tx1"/>
            </w14:solidFill>
          </w14:textFill>
        </w:rPr>
        <w:t>中国  西安</w:t>
      </w:r>
    </w:p>
    <w:p w14:paraId="37A690DE">
      <w:pPr>
        <w:rPr>
          <w:rFonts w:hint="eastAsia" w:ascii="仿宋" w:hAnsi="仿宋" w:eastAsia="仿宋" w:cs="仿宋"/>
          <w:b/>
          <w:color w:val="000000" w:themeColor="text1"/>
          <w:sz w:val="44"/>
          <w:szCs w:val="44"/>
          <w:highlight w:val="none"/>
          <w:u w:val="none"/>
          <w14:textFill>
            <w14:solidFill>
              <w14:schemeClr w14:val="tx1"/>
            </w14:solidFill>
          </w14:textFill>
        </w:rPr>
      </w:pPr>
      <w:r>
        <w:rPr>
          <w:rFonts w:hint="eastAsia" w:ascii="仿宋" w:hAnsi="仿宋" w:eastAsia="仿宋" w:cs="仿宋"/>
          <w:b/>
          <w:color w:val="000000" w:themeColor="text1"/>
          <w:sz w:val="44"/>
          <w:szCs w:val="44"/>
          <w:highlight w:val="none"/>
          <w:u w:val="none"/>
          <w14:textFill>
            <w14:solidFill>
              <w14:schemeClr w14:val="tx1"/>
            </w14:solidFill>
          </w14:textFill>
        </w:rPr>
        <w:br w:type="page"/>
      </w:r>
    </w:p>
    <w:p w14:paraId="0EBEBB45">
      <w:pPr>
        <w:keepNext w:val="0"/>
        <w:keepLines w:val="0"/>
        <w:pageBreakBefore w:val="0"/>
        <w:widowControl/>
        <w:kinsoku/>
        <w:wordWrap/>
        <w:overflowPunct/>
        <w:topLinePunct w:val="0"/>
        <w:bidi w:val="0"/>
        <w:adjustRightInd w:val="0"/>
        <w:snapToGrid w:val="0"/>
        <w:spacing w:line="348" w:lineRule="auto"/>
        <w:jc w:val="center"/>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val="0"/>
          <w:color w:val="auto"/>
          <w:sz w:val="32"/>
          <w:szCs w:val="32"/>
          <w:highlight w:val="none"/>
          <w:lang w:val="en-US" w:eastAsia="zh-CN" w:bidi="ar"/>
        </w:rPr>
        <w:t>建筑施工质量检测抽测服务合同</w:t>
      </w:r>
    </w:p>
    <w:p w14:paraId="058B9E11">
      <w:pPr>
        <w:keepNext w:val="0"/>
        <w:keepLines w:val="0"/>
        <w:pageBreakBefore w:val="0"/>
        <w:widowControl/>
        <w:kinsoku/>
        <w:wordWrap/>
        <w:overflowPunct/>
        <w:topLinePunct w:val="0"/>
        <w:bidi w:val="0"/>
        <w:adjustRightInd w:val="0"/>
        <w:snapToGrid w:val="0"/>
        <w:spacing w:line="348" w:lineRule="auto"/>
        <w:jc w:val="left"/>
        <w:rPr>
          <w:rFonts w:hint="eastAsia" w:ascii="仿宋" w:hAnsi="仿宋" w:eastAsia="仿宋" w:cs="仿宋"/>
          <w:bCs/>
          <w:color w:val="auto"/>
          <w:sz w:val="21"/>
          <w:szCs w:val="21"/>
          <w:highlight w:val="none"/>
          <w:lang w:bidi="ar"/>
        </w:rPr>
      </w:pPr>
      <w:r>
        <w:rPr>
          <w:rFonts w:hint="eastAsia" w:ascii="仿宋" w:hAnsi="仿宋" w:eastAsia="仿宋" w:cs="仿宋"/>
          <w:bCs/>
          <w:color w:val="auto"/>
          <w:sz w:val="21"/>
          <w:szCs w:val="21"/>
          <w:highlight w:val="none"/>
          <w:lang w:bidi="ar"/>
        </w:rPr>
        <w:t>甲方(</w:t>
      </w:r>
      <w:r>
        <w:rPr>
          <w:rFonts w:hint="eastAsia" w:ascii="仿宋" w:hAnsi="仿宋" w:eastAsia="仿宋" w:cs="仿宋"/>
          <w:bCs/>
          <w:color w:val="auto"/>
          <w:sz w:val="21"/>
          <w:szCs w:val="21"/>
          <w:highlight w:val="none"/>
          <w:lang w:bidi="ar"/>
        </w:rPr>
        <w:fldChar w:fldCharType="begin"/>
      </w:r>
      <w:r>
        <w:rPr>
          <w:rFonts w:hint="eastAsia" w:ascii="仿宋" w:hAnsi="仿宋" w:eastAsia="仿宋" w:cs="仿宋"/>
          <w:bCs/>
          <w:color w:val="auto"/>
          <w:sz w:val="21"/>
          <w:szCs w:val="21"/>
          <w:highlight w:val="none"/>
          <w:lang w:bidi="ar"/>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Cs/>
          <w:color w:val="auto"/>
          <w:sz w:val="21"/>
          <w:szCs w:val="21"/>
          <w:highlight w:val="none"/>
          <w:lang w:bidi="ar"/>
        </w:rPr>
        <w:fldChar w:fldCharType="separate"/>
      </w:r>
      <w:r>
        <w:rPr>
          <w:rFonts w:hint="eastAsia" w:ascii="仿宋" w:hAnsi="仿宋" w:eastAsia="仿宋" w:cs="仿宋"/>
          <w:bCs/>
          <w:color w:val="auto"/>
          <w:sz w:val="21"/>
          <w:szCs w:val="21"/>
          <w:highlight w:val="none"/>
          <w:lang w:bidi="ar"/>
        </w:rPr>
        <w:t>采购人</w:t>
      </w:r>
      <w:r>
        <w:rPr>
          <w:rFonts w:hint="eastAsia" w:ascii="仿宋" w:hAnsi="仿宋" w:eastAsia="仿宋" w:cs="仿宋"/>
          <w:bCs/>
          <w:color w:val="auto"/>
          <w:sz w:val="21"/>
          <w:szCs w:val="21"/>
          <w:highlight w:val="none"/>
          <w:lang w:bidi="ar"/>
        </w:rPr>
        <w:fldChar w:fldCharType="end"/>
      </w:r>
      <w:r>
        <w:rPr>
          <w:rFonts w:hint="eastAsia" w:ascii="仿宋" w:hAnsi="仿宋" w:eastAsia="仿宋" w:cs="仿宋"/>
          <w:bCs/>
          <w:color w:val="auto"/>
          <w:sz w:val="21"/>
          <w:szCs w:val="21"/>
          <w:highlight w:val="none"/>
          <w:lang w:bidi="ar"/>
        </w:rPr>
        <w:t>)：</w:t>
      </w:r>
      <w:r>
        <w:rPr>
          <w:rFonts w:hint="eastAsia" w:ascii="仿宋" w:hAnsi="仿宋" w:eastAsia="仿宋" w:cs="仿宋"/>
          <w:bCs/>
          <w:color w:val="auto"/>
          <w:sz w:val="21"/>
          <w:szCs w:val="21"/>
          <w:highlight w:val="none"/>
          <w:u w:val="single"/>
          <w:lang w:bidi="ar"/>
        </w:rPr>
        <w:t xml:space="preserve"> </w:t>
      </w:r>
      <w:r>
        <w:rPr>
          <w:rFonts w:hint="eastAsia" w:ascii="仿宋" w:hAnsi="仿宋" w:eastAsia="仿宋" w:cs="仿宋"/>
          <w:bCs/>
          <w:color w:val="auto"/>
          <w:sz w:val="21"/>
          <w:szCs w:val="21"/>
          <w:highlight w:val="none"/>
          <w:u w:val="single"/>
          <w:lang w:eastAsia="zh-CN" w:bidi="ar"/>
        </w:rPr>
        <w:t>西安市莲湖区住房和城市建设局</w:t>
      </w:r>
      <w:r>
        <w:rPr>
          <w:rFonts w:hint="eastAsia" w:ascii="仿宋" w:hAnsi="仿宋" w:eastAsia="仿宋" w:cs="仿宋"/>
          <w:bCs/>
          <w:color w:val="auto"/>
          <w:sz w:val="21"/>
          <w:szCs w:val="21"/>
          <w:highlight w:val="none"/>
          <w:u w:val="single"/>
          <w:lang w:bidi="ar"/>
        </w:rPr>
        <w:t xml:space="preserve"> </w:t>
      </w:r>
    </w:p>
    <w:p w14:paraId="3F7FB4A3">
      <w:pPr>
        <w:keepNext w:val="0"/>
        <w:keepLines w:val="0"/>
        <w:pageBreakBefore w:val="0"/>
        <w:widowControl/>
        <w:kinsoku/>
        <w:wordWrap/>
        <w:overflowPunct/>
        <w:topLinePunct w:val="0"/>
        <w:bidi w:val="0"/>
        <w:adjustRightInd w:val="0"/>
        <w:snapToGrid w:val="0"/>
        <w:spacing w:line="348" w:lineRule="auto"/>
        <w:jc w:val="left"/>
        <w:rPr>
          <w:rFonts w:hint="eastAsia" w:ascii="仿宋" w:hAnsi="仿宋" w:eastAsia="仿宋" w:cs="仿宋"/>
          <w:bCs/>
          <w:color w:val="auto"/>
          <w:sz w:val="21"/>
          <w:szCs w:val="21"/>
          <w:highlight w:val="none"/>
          <w:lang w:val="en-US" w:eastAsia="zh-CN" w:bidi="ar"/>
        </w:rPr>
      </w:pPr>
      <w:r>
        <w:rPr>
          <w:rFonts w:hint="eastAsia" w:ascii="仿宋" w:hAnsi="仿宋" w:eastAsia="仿宋" w:cs="仿宋"/>
          <w:bCs/>
          <w:color w:val="auto"/>
          <w:sz w:val="21"/>
          <w:szCs w:val="21"/>
          <w:highlight w:val="none"/>
          <w:lang w:bidi="ar"/>
        </w:rPr>
        <w:fldChar w:fldCharType="begin"/>
      </w:r>
      <w:r>
        <w:rPr>
          <w:rFonts w:hint="eastAsia" w:ascii="仿宋" w:hAnsi="仿宋" w:eastAsia="仿宋" w:cs="仿宋"/>
          <w:bCs/>
          <w:color w:val="auto"/>
          <w:sz w:val="21"/>
          <w:szCs w:val="21"/>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1"/>
          <w:szCs w:val="21"/>
          <w:highlight w:val="none"/>
          <w:lang w:bidi="ar"/>
        </w:rPr>
        <w:fldChar w:fldCharType="separate"/>
      </w:r>
      <w:r>
        <w:rPr>
          <w:rFonts w:hint="eastAsia" w:ascii="仿宋" w:hAnsi="仿宋" w:eastAsia="仿宋" w:cs="仿宋"/>
          <w:bCs/>
          <w:color w:val="auto"/>
          <w:sz w:val="21"/>
          <w:szCs w:val="21"/>
          <w:highlight w:val="none"/>
          <w:lang w:bidi="ar"/>
        </w:rPr>
        <w:t>乙方</w:t>
      </w:r>
      <w:r>
        <w:rPr>
          <w:rFonts w:hint="eastAsia" w:ascii="仿宋" w:hAnsi="仿宋" w:eastAsia="仿宋" w:cs="仿宋"/>
          <w:bCs/>
          <w:color w:val="auto"/>
          <w:sz w:val="21"/>
          <w:szCs w:val="21"/>
          <w:highlight w:val="none"/>
          <w:lang w:bidi="ar"/>
        </w:rPr>
        <w:fldChar w:fldCharType="end"/>
      </w:r>
      <w:r>
        <w:rPr>
          <w:rFonts w:hint="eastAsia" w:ascii="仿宋" w:hAnsi="仿宋" w:eastAsia="仿宋" w:cs="仿宋"/>
          <w:bCs/>
          <w:color w:val="auto"/>
          <w:sz w:val="21"/>
          <w:szCs w:val="21"/>
          <w:highlight w:val="none"/>
          <w:lang w:bidi="ar"/>
        </w:rPr>
        <w:t>(供应商)：</w:t>
      </w:r>
      <w:r>
        <w:rPr>
          <w:rFonts w:hint="eastAsia" w:ascii="仿宋" w:hAnsi="仿宋" w:eastAsia="仿宋" w:cs="仿宋"/>
          <w:bCs/>
          <w:color w:val="auto"/>
          <w:sz w:val="21"/>
          <w:szCs w:val="21"/>
          <w:highlight w:val="none"/>
          <w:u w:val="single"/>
          <w:lang w:val="en-US" w:eastAsia="zh-CN" w:bidi="ar"/>
        </w:rPr>
        <w:t xml:space="preserve">                              </w:t>
      </w:r>
    </w:p>
    <w:p w14:paraId="54E9B6D5">
      <w:pPr>
        <w:keepNext w:val="0"/>
        <w:keepLines w:val="0"/>
        <w:pageBreakBefore w:val="0"/>
        <w:widowControl/>
        <w:kinsoku/>
        <w:wordWrap/>
        <w:overflowPunct/>
        <w:topLinePunct w:val="0"/>
        <w:bidi w:val="0"/>
        <w:adjustRightInd w:val="0"/>
        <w:snapToGrid w:val="0"/>
        <w:spacing w:line="348" w:lineRule="auto"/>
        <w:ind w:right="-195" w:rightChars="-93"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甲乙双方根据</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日</w:t>
      </w:r>
      <w:r>
        <w:rPr>
          <w:rFonts w:hint="eastAsia" w:ascii="仿宋" w:hAnsi="仿宋" w:eastAsia="仿宋" w:cs="仿宋"/>
          <w:color w:val="auto"/>
          <w:sz w:val="21"/>
          <w:szCs w:val="21"/>
          <w:highlight w:val="none"/>
          <w:u w:val="single"/>
          <w:lang w:val="en-US" w:eastAsia="zh-CN"/>
        </w:rPr>
        <w:t xml:space="preserve">  项目名称：建筑施工质量检测抽测服务、项目编号：HXGJXM2025-ZC-CS1116</w:t>
      </w:r>
      <w:r>
        <w:rPr>
          <w:rFonts w:hint="eastAsia" w:ascii="仿宋" w:hAnsi="仿宋" w:eastAsia="仿宋" w:cs="仿宋"/>
          <w:color w:val="auto"/>
          <w:sz w:val="21"/>
          <w:szCs w:val="21"/>
          <w:highlight w:val="none"/>
        </w:rPr>
        <w:t>采购结果及相关招标</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"http://set2.mail.qq.com/cgi-bin/mail_spam?action=check_link&amp;spam=0&amp;url=http%3A%2F%2Fwww%2Ebaidu%2Ecom%2Fs%3Fwd%3D%25E6%258A%2595%25E6%25A0%2587%25E6%2596%2587%25E4%25BB%25B6%26hl_tag%3Dtextlink%26tn%3DSE_hldp01350_v6v6zkg6"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文件</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及投标文件，本合同经双方友好协商平等、诚信、协作的原则，按照《中华人民共和国政府采购法》和《中华人民共和国民法典》经协商一致，订立本合同，供双方共同遵守：</w:t>
      </w:r>
    </w:p>
    <w:p w14:paraId="3FD51F99">
      <w:pPr>
        <w:pStyle w:val="14"/>
        <w:keepNext w:val="0"/>
        <w:keepLines w:val="0"/>
        <w:pageBreakBefore w:val="0"/>
        <w:widowControl/>
        <w:numPr>
          <w:ilvl w:val="0"/>
          <w:numId w:val="0"/>
        </w:numPr>
        <w:kinsoku/>
        <w:wordWrap/>
        <w:overflowPunct/>
        <w:topLinePunct w:val="0"/>
        <w:bidi w:val="0"/>
        <w:adjustRightInd w:val="0"/>
        <w:snapToGrid w:val="0"/>
        <w:spacing w:line="348" w:lineRule="auto"/>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val="0"/>
          <w:color w:val="auto"/>
          <w:sz w:val="21"/>
          <w:szCs w:val="21"/>
          <w:highlight w:val="none"/>
          <w:lang w:val="en-US" w:eastAsia="zh-CN" w:bidi="ar"/>
        </w:rPr>
        <w:t>第一条  合同约定的内容</w:t>
      </w:r>
    </w:p>
    <w:p w14:paraId="6532B7AC">
      <w:pPr>
        <w:pStyle w:val="3"/>
        <w:keepNext w:val="0"/>
        <w:keepLines w:val="0"/>
        <w:pageBreakBefore w:val="0"/>
        <w:widowControl w:val="0"/>
        <w:numPr>
          <w:ilvl w:val="0"/>
          <w:numId w:val="0"/>
        </w:numPr>
        <w:kinsoku/>
        <w:wordWrap/>
        <w:overflowPunct/>
        <w:topLinePunct w:val="0"/>
        <w:autoSpaceDE/>
        <w:autoSpaceDN/>
        <w:bidi w:val="0"/>
        <w:adjustRightInd w:val="0"/>
        <w:snapToGrid w:val="0"/>
        <w:spacing w:after="0" w:line="348" w:lineRule="auto"/>
        <w:ind w:firstLine="210" w:firstLineChars="100"/>
        <w:textAlignment w:val="auto"/>
        <w:rPr>
          <w:rFonts w:hint="eastAsia" w:ascii="仿宋" w:hAnsi="仿宋" w:eastAsia="仿宋" w:cs="仿宋"/>
          <w:bCs/>
          <w:color w:val="auto"/>
          <w:kern w:val="0"/>
          <w:sz w:val="21"/>
          <w:szCs w:val="21"/>
          <w:highlight w:val="none"/>
          <w:lang w:val="en-US" w:bidi="ar"/>
        </w:rPr>
      </w:pPr>
      <w:r>
        <w:rPr>
          <w:rFonts w:hint="eastAsia" w:ascii="仿宋" w:hAnsi="仿宋" w:eastAsia="仿宋" w:cs="仿宋"/>
          <w:bCs/>
          <w:color w:val="auto"/>
          <w:kern w:val="0"/>
          <w:sz w:val="21"/>
          <w:szCs w:val="21"/>
          <w:highlight w:val="none"/>
          <w:lang w:val="en-US" w:eastAsia="zh-CN" w:bidi="ar"/>
        </w:rPr>
        <w:t>1、</w:t>
      </w:r>
      <w:r>
        <w:rPr>
          <w:rFonts w:hint="eastAsia" w:ascii="仿宋" w:hAnsi="仿宋" w:eastAsia="仿宋" w:cs="仿宋"/>
          <w:bCs/>
          <w:color w:val="auto"/>
          <w:kern w:val="0"/>
          <w:sz w:val="21"/>
          <w:szCs w:val="21"/>
          <w:highlight w:val="none"/>
          <w:lang w:bidi="ar"/>
        </w:rPr>
        <w:t>服务地点：</w:t>
      </w:r>
      <w:r>
        <w:rPr>
          <w:rFonts w:hint="eastAsia" w:ascii="仿宋" w:hAnsi="仿宋" w:eastAsia="仿宋" w:cs="仿宋"/>
          <w:color w:val="auto"/>
          <w:sz w:val="21"/>
          <w:szCs w:val="21"/>
          <w:highlight w:val="none"/>
          <w:u w:val="single"/>
          <w:lang w:val="en-US" w:eastAsia="zh-CN"/>
        </w:rPr>
        <w:t>甲方指定地点</w:t>
      </w:r>
    </w:p>
    <w:p w14:paraId="69AFF2FD">
      <w:pPr>
        <w:pStyle w:val="3"/>
        <w:keepNext w:val="0"/>
        <w:keepLines w:val="0"/>
        <w:pageBreakBefore w:val="0"/>
        <w:widowControl w:val="0"/>
        <w:numPr>
          <w:ilvl w:val="0"/>
          <w:numId w:val="0"/>
        </w:numPr>
        <w:kinsoku/>
        <w:wordWrap/>
        <w:overflowPunct/>
        <w:topLinePunct w:val="0"/>
        <w:autoSpaceDE/>
        <w:autoSpaceDN/>
        <w:bidi w:val="0"/>
        <w:adjustRightInd w:val="0"/>
        <w:snapToGrid w:val="0"/>
        <w:spacing w:after="0" w:line="348" w:lineRule="auto"/>
        <w:ind w:firstLine="210" w:firstLineChars="100"/>
        <w:textAlignment w:val="auto"/>
        <w:rPr>
          <w:rFonts w:hint="eastAsia" w:ascii="仿宋" w:hAnsi="仿宋" w:eastAsia="仿宋" w:cs="仿宋"/>
          <w:bCs/>
          <w:color w:val="auto"/>
          <w:kern w:val="0"/>
          <w:sz w:val="21"/>
          <w:szCs w:val="21"/>
          <w:highlight w:val="none"/>
          <w:lang w:val="en-US" w:eastAsia="zh-CN" w:bidi="ar"/>
        </w:rPr>
      </w:pPr>
      <w:r>
        <w:rPr>
          <w:rFonts w:hint="eastAsia" w:ascii="仿宋" w:hAnsi="仿宋" w:eastAsia="仿宋" w:cs="仿宋"/>
          <w:bCs/>
          <w:color w:val="auto"/>
          <w:kern w:val="0"/>
          <w:sz w:val="21"/>
          <w:szCs w:val="21"/>
          <w:highlight w:val="none"/>
          <w:lang w:val="en-US" w:eastAsia="zh-CN" w:bidi="ar"/>
        </w:rPr>
        <w:t>2、</w:t>
      </w:r>
      <w:r>
        <w:rPr>
          <w:rFonts w:hint="eastAsia" w:ascii="仿宋" w:hAnsi="仿宋" w:eastAsia="仿宋" w:cs="仿宋"/>
          <w:bCs/>
          <w:color w:val="auto"/>
          <w:kern w:val="0"/>
          <w:sz w:val="21"/>
          <w:szCs w:val="21"/>
          <w:highlight w:val="none"/>
          <w:lang w:bidi="ar"/>
        </w:rPr>
        <w:t>项目概况</w:t>
      </w:r>
      <w:r>
        <w:rPr>
          <w:rFonts w:hint="eastAsia" w:ascii="仿宋" w:hAnsi="仿宋" w:eastAsia="仿宋" w:cs="仿宋"/>
          <w:bCs/>
          <w:color w:val="auto"/>
          <w:kern w:val="0"/>
          <w:sz w:val="21"/>
          <w:szCs w:val="21"/>
          <w:highlight w:val="none"/>
          <w:lang w:eastAsia="zh-CN" w:bidi="ar"/>
        </w:rPr>
        <w:t>：</w:t>
      </w:r>
    </w:p>
    <w:p w14:paraId="2A6E5D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b w:val="0"/>
          <w:bCs/>
          <w:color w:val="auto"/>
          <w:kern w:val="0"/>
          <w:sz w:val="21"/>
          <w:szCs w:val="21"/>
          <w:highlight w:val="none"/>
          <w:lang w:val="en-US" w:eastAsia="zh-CN" w:bidi="ar"/>
        </w:rPr>
      </w:pPr>
      <w:r>
        <w:rPr>
          <w:rFonts w:hint="eastAsia" w:ascii="仿宋" w:hAnsi="仿宋" w:eastAsia="仿宋" w:cs="仿宋"/>
          <w:b w:val="0"/>
          <w:bCs/>
          <w:color w:val="auto"/>
          <w:kern w:val="0"/>
          <w:sz w:val="21"/>
          <w:szCs w:val="21"/>
          <w:highlight w:val="none"/>
          <w:lang w:val="en-US" w:eastAsia="zh-CN" w:bidi="ar"/>
        </w:rPr>
        <w:t>建筑施工质量检测抽测服务，主要内容为：对辖区在建房屋建筑工程地基基础质量进行专项检查，为在建项目地基基础质量监督提供第三方咨询服务，并出具具有法律效力的抽测报告。本项目分为2个采购包，采购包1为建筑施工质量检测抽测服务A包，采购包2为建筑施工质量检测抽测服务B包。</w:t>
      </w:r>
    </w:p>
    <w:p w14:paraId="4AC786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仿宋" w:hAnsi="仿宋" w:eastAsia="仿宋" w:cs="仿宋"/>
          <w:b w:val="0"/>
          <w:bCs/>
          <w:color w:val="auto"/>
          <w:kern w:val="0"/>
          <w:sz w:val="21"/>
          <w:szCs w:val="21"/>
          <w:highlight w:val="none"/>
          <w:lang w:val="en-US" w:eastAsia="zh-CN" w:bidi="ar"/>
        </w:rPr>
      </w:pPr>
      <w:r>
        <w:rPr>
          <w:rFonts w:hint="eastAsia" w:ascii="仿宋" w:hAnsi="仿宋" w:eastAsia="仿宋" w:cs="仿宋"/>
          <w:b w:val="0"/>
          <w:bCs/>
          <w:color w:val="auto"/>
          <w:kern w:val="0"/>
          <w:sz w:val="21"/>
          <w:szCs w:val="21"/>
          <w:highlight w:val="none"/>
          <w:lang w:val="en-US" w:eastAsia="zh-CN" w:bidi="ar"/>
        </w:rPr>
        <w:t>采购内容：建筑施工质量检测抽测服务，主要内容为：涵盖三大类抽测服务，包括建筑材料及构配件抽测、工程实体质量抽测、专项设施抽测；通过合规抽测验证工程材料质量、实体施工质量是否符合设计及规范要求，为工程质量监督与验收提供客观技术依据，防范结构安全与使用功能风险；确保项目建设过程中工程质量符合相关标准与要求，保障项目稳步有序建设。</w:t>
      </w:r>
    </w:p>
    <w:p w14:paraId="40B08090">
      <w:pPr>
        <w:pStyle w:val="14"/>
        <w:keepNext w:val="0"/>
        <w:keepLines w:val="0"/>
        <w:pageBreakBefore w:val="0"/>
        <w:widowControl/>
        <w:numPr>
          <w:ilvl w:val="0"/>
          <w:numId w:val="0"/>
        </w:numPr>
        <w:kinsoku/>
        <w:wordWrap/>
        <w:overflowPunct/>
        <w:topLinePunct w:val="0"/>
        <w:bidi w:val="0"/>
        <w:adjustRightInd w:val="0"/>
        <w:snapToGrid w:val="0"/>
        <w:spacing w:line="348" w:lineRule="auto"/>
        <w:rPr>
          <w:rFonts w:hint="eastAsia" w:ascii="仿宋" w:hAnsi="仿宋" w:eastAsia="仿宋" w:cs="仿宋"/>
          <w:b/>
          <w:bCs/>
          <w:color w:val="auto"/>
          <w:sz w:val="21"/>
          <w:szCs w:val="21"/>
          <w:highlight w:val="none"/>
        </w:rPr>
      </w:pPr>
      <w:r>
        <w:rPr>
          <w:rFonts w:hint="eastAsia" w:ascii="仿宋" w:hAnsi="仿宋" w:eastAsia="仿宋" w:cs="仿宋"/>
          <w:b/>
          <w:bCs w:val="0"/>
          <w:color w:val="auto"/>
          <w:sz w:val="21"/>
          <w:szCs w:val="21"/>
          <w:highlight w:val="none"/>
          <w:lang w:val="en-US" w:eastAsia="zh-CN" w:bidi="ar"/>
        </w:rPr>
        <w:t xml:space="preserve">第二条  </w:t>
      </w:r>
      <w:r>
        <w:rPr>
          <w:rFonts w:hint="eastAsia" w:ascii="仿宋" w:hAnsi="仿宋" w:eastAsia="仿宋" w:cs="仿宋"/>
          <w:b/>
          <w:bCs/>
          <w:color w:val="auto"/>
          <w:sz w:val="21"/>
          <w:szCs w:val="21"/>
          <w:highlight w:val="none"/>
        </w:rPr>
        <w:t>合同金额</w:t>
      </w:r>
    </w:p>
    <w:tbl>
      <w:tblPr>
        <w:tblStyle w:val="13"/>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26"/>
        <w:gridCol w:w="1611"/>
        <w:gridCol w:w="1916"/>
        <w:gridCol w:w="1436"/>
        <w:gridCol w:w="1692"/>
        <w:gridCol w:w="1693"/>
      </w:tblGrid>
      <w:tr w14:paraId="5F637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514B5AB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序号</w:t>
            </w:r>
          </w:p>
        </w:tc>
        <w:tc>
          <w:tcPr>
            <w:tcW w:w="887" w:type="pct"/>
            <w:vAlign w:val="center"/>
          </w:tcPr>
          <w:p w14:paraId="7E7C27D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检测名称</w:t>
            </w:r>
          </w:p>
        </w:tc>
        <w:tc>
          <w:tcPr>
            <w:tcW w:w="1055" w:type="pct"/>
            <w:vAlign w:val="center"/>
          </w:tcPr>
          <w:p w14:paraId="380F52A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检测项目</w:t>
            </w:r>
          </w:p>
        </w:tc>
        <w:tc>
          <w:tcPr>
            <w:tcW w:w="791" w:type="pct"/>
            <w:vAlign w:val="center"/>
          </w:tcPr>
          <w:p w14:paraId="0125091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次数</w:t>
            </w:r>
          </w:p>
        </w:tc>
        <w:tc>
          <w:tcPr>
            <w:tcW w:w="932" w:type="pct"/>
            <w:vAlign w:val="center"/>
          </w:tcPr>
          <w:p w14:paraId="3983138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单位</w:t>
            </w:r>
          </w:p>
        </w:tc>
        <w:tc>
          <w:tcPr>
            <w:tcW w:w="932" w:type="pct"/>
            <w:vAlign w:val="center"/>
          </w:tcPr>
          <w:p w14:paraId="782DA8E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单价（元）</w:t>
            </w:r>
          </w:p>
        </w:tc>
      </w:tr>
      <w:tr w14:paraId="3DFDB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32D892B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887" w:type="pct"/>
            <w:vAlign w:val="center"/>
          </w:tcPr>
          <w:p w14:paraId="0E84752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钢筋原材（各种规格）</w:t>
            </w:r>
          </w:p>
        </w:tc>
        <w:tc>
          <w:tcPr>
            <w:tcW w:w="1055" w:type="pct"/>
            <w:vAlign w:val="center"/>
          </w:tcPr>
          <w:p w14:paraId="6360966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屈服强度、抗拉强度、延伸率、冷弯、重量比</w:t>
            </w:r>
          </w:p>
        </w:tc>
        <w:tc>
          <w:tcPr>
            <w:tcW w:w="791" w:type="pct"/>
            <w:vAlign w:val="center"/>
          </w:tcPr>
          <w:p w14:paraId="219EE96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55</w:t>
            </w:r>
          </w:p>
        </w:tc>
        <w:tc>
          <w:tcPr>
            <w:tcW w:w="932" w:type="pct"/>
            <w:vAlign w:val="center"/>
          </w:tcPr>
          <w:p w14:paraId="121B656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78DFE13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3F14F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19FE2DA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w:t>
            </w:r>
          </w:p>
        </w:tc>
        <w:tc>
          <w:tcPr>
            <w:tcW w:w="887" w:type="pct"/>
            <w:vAlign w:val="center"/>
          </w:tcPr>
          <w:p w14:paraId="65D8FF1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焊（连）接件（各种规格）</w:t>
            </w:r>
          </w:p>
        </w:tc>
        <w:tc>
          <w:tcPr>
            <w:tcW w:w="1055" w:type="pct"/>
            <w:vAlign w:val="center"/>
          </w:tcPr>
          <w:p w14:paraId="2D02A7B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抗拉强度</w:t>
            </w:r>
          </w:p>
        </w:tc>
        <w:tc>
          <w:tcPr>
            <w:tcW w:w="791" w:type="pct"/>
            <w:vAlign w:val="center"/>
          </w:tcPr>
          <w:p w14:paraId="24AD598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50</w:t>
            </w:r>
          </w:p>
        </w:tc>
        <w:tc>
          <w:tcPr>
            <w:tcW w:w="932" w:type="pct"/>
            <w:vAlign w:val="center"/>
          </w:tcPr>
          <w:p w14:paraId="2E4093F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78426BE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4932A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5B86AFB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3</w:t>
            </w:r>
          </w:p>
        </w:tc>
        <w:tc>
          <w:tcPr>
            <w:tcW w:w="887" w:type="pct"/>
            <w:vAlign w:val="center"/>
          </w:tcPr>
          <w:p w14:paraId="012686A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防水混凝土</w:t>
            </w:r>
          </w:p>
        </w:tc>
        <w:tc>
          <w:tcPr>
            <w:tcW w:w="1055" w:type="pct"/>
            <w:vAlign w:val="center"/>
          </w:tcPr>
          <w:p w14:paraId="34512E2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抗渗等级</w:t>
            </w:r>
          </w:p>
        </w:tc>
        <w:tc>
          <w:tcPr>
            <w:tcW w:w="791" w:type="pct"/>
            <w:vAlign w:val="center"/>
          </w:tcPr>
          <w:p w14:paraId="4896B77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0BB234F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3CA24AF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0C42E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1172F23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4</w:t>
            </w:r>
          </w:p>
        </w:tc>
        <w:tc>
          <w:tcPr>
            <w:tcW w:w="887" w:type="pct"/>
            <w:vAlign w:val="center"/>
          </w:tcPr>
          <w:p w14:paraId="4F4F93F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水泥</w:t>
            </w:r>
          </w:p>
        </w:tc>
        <w:tc>
          <w:tcPr>
            <w:tcW w:w="1055" w:type="pct"/>
            <w:vAlign w:val="center"/>
          </w:tcPr>
          <w:p w14:paraId="6C2D38B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安定性、抗折强度、抗压强度</w:t>
            </w:r>
          </w:p>
        </w:tc>
        <w:tc>
          <w:tcPr>
            <w:tcW w:w="791" w:type="pct"/>
            <w:vAlign w:val="center"/>
          </w:tcPr>
          <w:p w14:paraId="19202FC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3AAF0EF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0C287F1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94B4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4B6CECC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5</w:t>
            </w:r>
          </w:p>
        </w:tc>
        <w:tc>
          <w:tcPr>
            <w:tcW w:w="887" w:type="pct"/>
            <w:vAlign w:val="center"/>
          </w:tcPr>
          <w:p w14:paraId="3C47C4F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砂、石</w:t>
            </w:r>
          </w:p>
        </w:tc>
        <w:tc>
          <w:tcPr>
            <w:tcW w:w="1055" w:type="pct"/>
            <w:vAlign w:val="center"/>
          </w:tcPr>
          <w:p w14:paraId="6B4C487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筛分析、含泥量、泥块含量、云母含量堆积密度</w:t>
            </w:r>
          </w:p>
        </w:tc>
        <w:tc>
          <w:tcPr>
            <w:tcW w:w="791" w:type="pct"/>
            <w:vAlign w:val="center"/>
          </w:tcPr>
          <w:p w14:paraId="70ADF83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2E71070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5C891AC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95196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3DAF59B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6</w:t>
            </w:r>
          </w:p>
        </w:tc>
        <w:tc>
          <w:tcPr>
            <w:tcW w:w="887" w:type="pct"/>
            <w:vAlign w:val="center"/>
          </w:tcPr>
          <w:p w14:paraId="46812DE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混凝土试块</w:t>
            </w:r>
          </w:p>
        </w:tc>
        <w:tc>
          <w:tcPr>
            <w:tcW w:w="1055" w:type="pct"/>
            <w:vAlign w:val="center"/>
          </w:tcPr>
          <w:p w14:paraId="09E5EAF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抗压强度</w:t>
            </w:r>
          </w:p>
        </w:tc>
        <w:tc>
          <w:tcPr>
            <w:tcW w:w="791" w:type="pct"/>
            <w:vAlign w:val="center"/>
          </w:tcPr>
          <w:p w14:paraId="342B2AD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120</w:t>
            </w:r>
          </w:p>
        </w:tc>
        <w:tc>
          <w:tcPr>
            <w:tcW w:w="932" w:type="pct"/>
            <w:vAlign w:val="center"/>
          </w:tcPr>
          <w:p w14:paraId="7556E60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07A2D90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2D9A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7B2D532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7</w:t>
            </w:r>
          </w:p>
        </w:tc>
        <w:tc>
          <w:tcPr>
            <w:tcW w:w="887" w:type="pct"/>
            <w:vAlign w:val="center"/>
          </w:tcPr>
          <w:p w14:paraId="038E16E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砂浆试块</w:t>
            </w:r>
          </w:p>
        </w:tc>
        <w:tc>
          <w:tcPr>
            <w:tcW w:w="1055" w:type="pct"/>
            <w:vAlign w:val="center"/>
          </w:tcPr>
          <w:p w14:paraId="2A93201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抗压强度</w:t>
            </w:r>
          </w:p>
        </w:tc>
        <w:tc>
          <w:tcPr>
            <w:tcW w:w="791" w:type="pct"/>
            <w:vAlign w:val="center"/>
          </w:tcPr>
          <w:p w14:paraId="740CE81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40</w:t>
            </w:r>
          </w:p>
        </w:tc>
        <w:tc>
          <w:tcPr>
            <w:tcW w:w="932" w:type="pct"/>
            <w:vAlign w:val="center"/>
          </w:tcPr>
          <w:p w14:paraId="6D9F6C2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69AA8B0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0DC01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0CF49BF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8</w:t>
            </w:r>
          </w:p>
        </w:tc>
        <w:tc>
          <w:tcPr>
            <w:tcW w:w="887" w:type="pct"/>
            <w:vAlign w:val="center"/>
          </w:tcPr>
          <w:p w14:paraId="02C6A3B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普通烧结砖</w:t>
            </w:r>
          </w:p>
        </w:tc>
        <w:tc>
          <w:tcPr>
            <w:tcW w:w="1055" w:type="pct"/>
            <w:vAlign w:val="center"/>
          </w:tcPr>
          <w:p w14:paraId="0AECAA2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抗压强度</w:t>
            </w:r>
          </w:p>
        </w:tc>
        <w:tc>
          <w:tcPr>
            <w:tcW w:w="791" w:type="pct"/>
            <w:vAlign w:val="center"/>
          </w:tcPr>
          <w:p w14:paraId="6FCDC07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15</w:t>
            </w:r>
          </w:p>
        </w:tc>
        <w:tc>
          <w:tcPr>
            <w:tcW w:w="932" w:type="pct"/>
            <w:vAlign w:val="center"/>
          </w:tcPr>
          <w:p w14:paraId="38E440E3">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4987E2C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544FC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0C57625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9</w:t>
            </w:r>
          </w:p>
        </w:tc>
        <w:tc>
          <w:tcPr>
            <w:tcW w:w="887" w:type="pct"/>
            <w:vAlign w:val="center"/>
          </w:tcPr>
          <w:p w14:paraId="229B15E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空心砖</w:t>
            </w:r>
          </w:p>
        </w:tc>
        <w:tc>
          <w:tcPr>
            <w:tcW w:w="1055" w:type="pct"/>
            <w:vAlign w:val="center"/>
          </w:tcPr>
          <w:p w14:paraId="7162A51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抗压强度</w:t>
            </w:r>
          </w:p>
        </w:tc>
        <w:tc>
          <w:tcPr>
            <w:tcW w:w="791" w:type="pct"/>
            <w:vAlign w:val="center"/>
          </w:tcPr>
          <w:p w14:paraId="688D837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20</w:t>
            </w:r>
          </w:p>
        </w:tc>
        <w:tc>
          <w:tcPr>
            <w:tcW w:w="932" w:type="pct"/>
            <w:vAlign w:val="center"/>
          </w:tcPr>
          <w:p w14:paraId="63F1903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1176C07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06AD4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166CBDD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10</w:t>
            </w:r>
          </w:p>
        </w:tc>
        <w:tc>
          <w:tcPr>
            <w:tcW w:w="887" w:type="pct"/>
            <w:vAlign w:val="center"/>
          </w:tcPr>
          <w:p w14:paraId="1F71455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蒸压加气砼砌块</w:t>
            </w:r>
          </w:p>
        </w:tc>
        <w:tc>
          <w:tcPr>
            <w:tcW w:w="1055" w:type="pct"/>
            <w:vAlign w:val="center"/>
          </w:tcPr>
          <w:p w14:paraId="6228A03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抗压强度、体积密度、含水率</w:t>
            </w:r>
          </w:p>
        </w:tc>
        <w:tc>
          <w:tcPr>
            <w:tcW w:w="791" w:type="pct"/>
            <w:vAlign w:val="center"/>
          </w:tcPr>
          <w:p w14:paraId="78C4E23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7D431F4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3769135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06242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6CC75C0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11</w:t>
            </w:r>
          </w:p>
        </w:tc>
        <w:tc>
          <w:tcPr>
            <w:tcW w:w="887" w:type="pct"/>
            <w:vAlign w:val="center"/>
          </w:tcPr>
          <w:p w14:paraId="2343698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电线</w:t>
            </w:r>
          </w:p>
        </w:tc>
        <w:tc>
          <w:tcPr>
            <w:tcW w:w="1055" w:type="pct"/>
            <w:vAlign w:val="center"/>
          </w:tcPr>
          <w:p w14:paraId="07D29A33">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绝缘厚度、线芯直径、导体电阻</w:t>
            </w:r>
          </w:p>
        </w:tc>
        <w:tc>
          <w:tcPr>
            <w:tcW w:w="791" w:type="pct"/>
            <w:vAlign w:val="center"/>
          </w:tcPr>
          <w:p w14:paraId="4006798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4BF405B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0CBBFA3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08319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2177DCD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12</w:t>
            </w:r>
          </w:p>
        </w:tc>
        <w:tc>
          <w:tcPr>
            <w:tcW w:w="887" w:type="pct"/>
            <w:vAlign w:val="center"/>
          </w:tcPr>
          <w:p w14:paraId="5EDDE11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电缆</w:t>
            </w:r>
          </w:p>
        </w:tc>
        <w:tc>
          <w:tcPr>
            <w:tcW w:w="1055" w:type="pct"/>
            <w:vAlign w:val="center"/>
          </w:tcPr>
          <w:p w14:paraId="6B2A930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绝缘厚度、线芯直径、导体电阻、成品电缆电压试验</w:t>
            </w:r>
          </w:p>
        </w:tc>
        <w:tc>
          <w:tcPr>
            <w:tcW w:w="791" w:type="pct"/>
            <w:vAlign w:val="center"/>
          </w:tcPr>
          <w:p w14:paraId="210333A3">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539BECA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2108BF3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9711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478B0AA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13</w:t>
            </w:r>
          </w:p>
        </w:tc>
        <w:tc>
          <w:tcPr>
            <w:tcW w:w="887" w:type="pct"/>
            <w:vAlign w:val="center"/>
          </w:tcPr>
          <w:p w14:paraId="791A58F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防水卷材</w:t>
            </w:r>
          </w:p>
        </w:tc>
        <w:tc>
          <w:tcPr>
            <w:tcW w:w="1055" w:type="pct"/>
            <w:vAlign w:val="center"/>
          </w:tcPr>
          <w:p w14:paraId="4B02543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不透水性、拉力、耐热性、衍射率、低温柔度</w:t>
            </w:r>
          </w:p>
        </w:tc>
        <w:tc>
          <w:tcPr>
            <w:tcW w:w="791" w:type="pct"/>
            <w:vAlign w:val="center"/>
          </w:tcPr>
          <w:p w14:paraId="65C1602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14</w:t>
            </w:r>
          </w:p>
        </w:tc>
        <w:tc>
          <w:tcPr>
            <w:tcW w:w="932" w:type="pct"/>
            <w:vAlign w:val="center"/>
          </w:tcPr>
          <w:p w14:paraId="125F802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5B76EC5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278C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2DABAFE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14</w:t>
            </w:r>
          </w:p>
        </w:tc>
        <w:tc>
          <w:tcPr>
            <w:tcW w:w="887" w:type="pct"/>
            <w:vAlign w:val="center"/>
          </w:tcPr>
          <w:p w14:paraId="07560E7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聚氨酯防水涂料</w:t>
            </w:r>
          </w:p>
        </w:tc>
        <w:tc>
          <w:tcPr>
            <w:tcW w:w="1055" w:type="pct"/>
            <w:vMerge w:val="restart"/>
            <w:tcBorders>
              <w:bottom w:val="nil"/>
            </w:tcBorders>
            <w:vAlign w:val="center"/>
          </w:tcPr>
          <w:p w14:paraId="74CF806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拉力、低温柔度、耐热度、伸长率、不透水性</w:t>
            </w:r>
          </w:p>
        </w:tc>
        <w:tc>
          <w:tcPr>
            <w:tcW w:w="791" w:type="pct"/>
            <w:vAlign w:val="center"/>
          </w:tcPr>
          <w:p w14:paraId="703ECE3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3C2891A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70EC68D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5FD6BF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7237BF0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15</w:t>
            </w:r>
          </w:p>
        </w:tc>
        <w:tc>
          <w:tcPr>
            <w:tcW w:w="887" w:type="pct"/>
            <w:vAlign w:val="center"/>
          </w:tcPr>
          <w:p w14:paraId="6589FB4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聚合物防水涂料</w:t>
            </w:r>
          </w:p>
        </w:tc>
        <w:tc>
          <w:tcPr>
            <w:tcW w:w="1055" w:type="pct"/>
            <w:vMerge w:val="continue"/>
            <w:tcBorders>
              <w:top w:val="nil"/>
            </w:tcBorders>
            <w:vAlign w:val="center"/>
          </w:tcPr>
          <w:p w14:paraId="7ED7C4D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791" w:type="pct"/>
            <w:vAlign w:val="center"/>
          </w:tcPr>
          <w:p w14:paraId="1306CD8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6940027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4D4770E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4859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restart"/>
            <w:tcBorders>
              <w:bottom w:val="nil"/>
            </w:tcBorders>
            <w:vAlign w:val="center"/>
          </w:tcPr>
          <w:p w14:paraId="5AB04A2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16</w:t>
            </w:r>
          </w:p>
        </w:tc>
        <w:tc>
          <w:tcPr>
            <w:tcW w:w="887" w:type="pct"/>
            <w:vMerge w:val="restart"/>
            <w:tcBorders>
              <w:bottom w:val="nil"/>
            </w:tcBorders>
            <w:vAlign w:val="center"/>
          </w:tcPr>
          <w:p w14:paraId="5F87141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EPS（XPS）板</w:t>
            </w:r>
          </w:p>
        </w:tc>
        <w:tc>
          <w:tcPr>
            <w:tcW w:w="1055" w:type="pct"/>
            <w:vAlign w:val="center"/>
          </w:tcPr>
          <w:p w14:paraId="551B799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A1 级燃烧性能（含常规）</w:t>
            </w:r>
          </w:p>
        </w:tc>
        <w:tc>
          <w:tcPr>
            <w:tcW w:w="791" w:type="pct"/>
            <w:vAlign w:val="center"/>
          </w:tcPr>
          <w:p w14:paraId="79E1797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70C1708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3FF8B25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2FA60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nil"/>
              <w:bottom w:val="nil"/>
            </w:tcBorders>
            <w:vAlign w:val="center"/>
          </w:tcPr>
          <w:p w14:paraId="3BF22B7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nil"/>
              <w:bottom w:val="nil"/>
            </w:tcBorders>
            <w:vAlign w:val="center"/>
          </w:tcPr>
          <w:p w14:paraId="0B2EF14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vAlign w:val="center"/>
          </w:tcPr>
          <w:p w14:paraId="5E1457D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A2 级燃烧性能（含常规）</w:t>
            </w:r>
          </w:p>
        </w:tc>
        <w:tc>
          <w:tcPr>
            <w:tcW w:w="791" w:type="pct"/>
            <w:vAlign w:val="center"/>
          </w:tcPr>
          <w:p w14:paraId="4F054D5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74B68EF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54C3E7D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4C3BE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nil"/>
              <w:bottom w:val="nil"/>
            </w:tcBorders>
            <w:vAlign w:val="center"/>
          </w:tcPr>
          <w:p w14:paraId="27915A5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nil"/>
              <w:bottom w:val="nil"/>
            </w:tcBorders>
            <w:vAlign w:val="center"/>
          </w:tcPr>
          <w:p w14:paraId="2C4FD74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vAlign w:val="center"/>
          </w:tcPr>
          <w:p w14:paraId="101C3C3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B1 级燃烧性能（含常规）</w:t>
            </w:r>
          </w:p>
        </w:tc>
        <w:tc>
          <w:tcPr>
            <w:tcW w:w="791" w:type="pct"/>
            <w:vAlign w:val="center"/>
          </w:tcPr>
          <w:p w14:paraId="39108AC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45D92CD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72C0C13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086A6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nil"/>
            </w:tcBorders>
            <w:vAlign w:val="center"/>
          </w:tcPr>
          <w:p w14:paraId="499AB02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nil"/>
            </w:tcBorders>
            <w:vAlign w:val="center"/>
          </w:tcPr>
          <w:p w14:paraId="5A508D8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vAlign w:val="center"/>
          </w:tcPr>
          <w:p w14:paraId="6F664EB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B2 级燃烧性能（含常规）</w:t>
            </w:r>
          </w:p>
        </w:tc>
        <w:tc>
          <w:tcPr>
            <w:tcW w:w="791" w:type="pct"/>
            <w:vAlign w:val="center"/>
          </w:tcPr>
          <w:p w14:paraId="4DA91A5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004315C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0D20C5D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3771A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37D6B5A3">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17</w:t>
            </w:r>
          </w:p>
        </w:tc>
        <w:tc>
          <w:tcPr>
            <w:tcW w:w="887" w:type="pct"/>
            <w:vAlign w:val="center"/>
          </w:tcPr>
          <w:p w14:paraId="5BCF868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保温浆料</w:t>
            </w:r>
          </w:p>
        </w:tc>
        <w:tc>
          <w:tcPr>
            <w:tcW w:w="1055" w:type="pct"/>
            <w:vAlign w:val="center"/>
          </w:tcPr>
          <w:p w14:paraId="4D6401B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w:t>
            </w:r>
          </w:p>
        </w:tc>
        <w:tc>
          <w:tcPr>
            <w:tcW w:w="791" w:type="pct"/>
            <w:vAlign w:val="center"/>
          </w:tcPr>
          <w:p w14:paraId="085B38C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4D637C3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6A3357C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3BF5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19B870B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18</w:t>
            </w:r>
          </w:p>
        </w:tc>
        <w:tc>
          <w:tcPr>
            <w:tcW w:w="887" w:type="pct"/>
            <w:vAlign w:val="center"/>
          </w:tcPr>
          <w:p w14:paraId="40D3604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硬质聚氨酯泡沫塑料</w:t>
            </w:r>
          </w:p>
        </w:tc>
        <w:tc>
          <w:tcPr>
            <w:tcW w:w="1055" w:type="pct"/>
            <w:vAlign w:val="center"/>
          </w:tcPr>
          <w:p w14:paraId="23C546F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w:t>
            </w:r>
          </w:p>
        </w:tc>
        <w:tc>
          <w:tcPr>
            <w:tcW w:w="791" w:type="pct"/>
            <w:vAlign w:val="center"/>
          </w:tcPr>
          <w:p w14:paraId="47BBD81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72C1E9B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0FE9696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20CE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746E1DB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19</w:t>
            </w:r>
          </w:p>
        </w:tc>
        <w:tc>
          <w:tcPr>
            <w:tcW w:w="887" w:type="pct"/>
            <w:vAlign w:val="center"/>
          </w:tcPr>
          <w:p w14:paraId="6864218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胶粘剂</w:t>
            </w:r>
          </w:p>
        </w:tc>
        <w:tc>
          <w:tcPr>
            <w:tcW w:w="1055" w:type="pct"/>
            <w:vAlign w:val="center"/>
          </w:tcPr>
          <w:p w14:paraId="1759885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w:t>
            </w:r>
          </w:p>
        </w:tc>
        <w:tc>
          <w:tcPr>
            <w:tcW w:w="791" w:type="pct"/>
            <w:vAlign w:val="center"/>
          </w:tcPr>
          <w:p w14:paraId="4307F15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58042CD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731ECF5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391A2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34C5717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20</w:t>
            </w:r>
          </w:p>
        </w:tc>
        <w:tc>
          <w:tcPr>
            <w:tcW w:w="887" w:type="pct"/>
            <w:vAlign w:val="center"/>
          </w:tcPr>
          <w:p w14:paraId="2086937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抹面抗裂砂浆</w:t>
            </w:r>
          </w:p>
        </w:tc>
        <w:tc>
          <w:tcPr>
            <w:tcW w:w="1055" w:type="pct"/>
            <w:vAlign w:val="center"/>
          </w:tcPr>
          <w:p w14:paraId="0D6DDE7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w:t>
            </w:r>
          </w:p>
        </w:tc>
        <w:tc>
          <w:tcPr>
            <w:tcW w:w="791" w:type="pct"/>
            <w:vAlign w:val="center"/>
          </w:tcPr>
          <w:p w14:paraId="2092035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56735CE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11F86EC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6848B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07F05DF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21</w:t>
            </w:r>
          </w:p>
        </w:tc>
        <w:tc>
          <w:tcPr>
            <w:tcW w:w="887" w:type="pct"/>
            <w:vAlign w:val="center"/>
          </w:tcPr>
          <w:p w14:paraId="36D9FD4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耐碱玻纤网格布</w:t>
            </w:r>
          </w:p>
        </w:tc>
        <w:tc>
          <w:tcPr>
            <w:tcW w:w="1055" w:type="pct"/>
            <w:vAlign w:val="center"/>
          </w:tcPr>
          <w:p w14:paraId="6CB9A60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w:t>
            </w:r>
          </w:p>
        </w:tc>
        <w:tc>
          <w:tcPr>
            <w:tcW w:w="791" w:type="pct"/>
            <w:vAlign w:val="center"/>
          </w:tcPr>
          <w:p w14:paraId="6C46384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58D008E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79D18BB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4612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23A477B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22</w:t>
            </w:r>
          </w:p>
        </w:tc>
        <w:tc>
          <w:tcPr>
            <w:tcW w:w="887" w:type="pct"/>
            <w:vAlign w:val="center"/>
          </w:tcPr>
          <w:p w14:paraId="15261A3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镀锌钢丝网</w:t>
            </w:r>
          </w:p>
        </w:tc>
        <w:tc>
          <w:tcPr>
            <w:tcW w:w="1055" w:type="pct"/>
            <w:vAlign w:val="center"/>
          </w:tcPr>
          <w:p w14:paraId="3AA17D1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w:t>
            </w:r>
          </w:p>
        </w:tc>
        <w:tc>
          <w:tcPr>
            <w:tcW w:w="791" w:type="pct"/>
            <w:vAlign w:val="center"/>
          </w:tcPr>
          <w:p w14:paraId="783CC50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65BC50E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5DC7594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6594A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7798B50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23</w:t>
            </w:r>
          </w:p>
        </w:tc>
        <w:tc>
          <w:tcPr>
            <w:tcW w:w="887" w:type="pct"/>
            <w:vAlign w:val="center"/>
          </w:tcPr>
          <w:p w14:paraId="2B7EA37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锚固件</w:t>
            </w:r>
          </w:p>
        </w:tc>
        <w:tc>
          <w:tcPr>
            <w:tcW w:w="1055" w:type="pct"/>
            <w:vAlign w:val="center"/>
          </w:tcPr>
          <w:p w14:paraId="1BC478C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w:t>
            </w:r>
          </w:p>
        </w:tc>
        <w:tc>
          <w:tcPr>
            <w:tcW w:w="791" w:type="pct"/>
            <w:vAlign w:val="center"/>
          </w:tcPr>
          <w:p w14:paraId="0BB6F63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43D9790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179F81F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98BA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0FC9BF6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24</w:t>
            </w:r>
          </w:p>
        </w:tc>
        <w:tc>
          <w:tcPr>
            <w:tcW w:w="887" w:type="pct"/>
            <w:vAlign w:val="center"/>
          </w:tcPr>
          <w:p w14:paraId="6A605DD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钢丝网架膨胀聚苯板</w:t>
            </w:r>
          </w:p>
        </w:tc>
        <w:tc>
          <w:tcPr>
            <w:tcW w:w="1055" w:type="pct"/>
            <w:vAlign w:val="center"/>
          </w:tcPr>
          <w:p w14:paraId="2B6A8F8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全项（含燃烧性能）</w:t>
            </w:r>
          </w:p>
        </w:tc>
        <w:tc>
          <w:tcPr>
            <w:tcW w:w="791" w:type="pct"/>
            <w:vAlign w:val="center"/>
          </w:tcPr>
          <w:p w14:paraId="4D3F746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7650BC5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28607C6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F6306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54262EA3">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25</w:t>
            </w:r>
          </w:p>
        </w:tc>
        <w:tc>
          <w:tcPr>
            <w:tcW w:w="887" w:type="pct"/>
            <w:vAlign w:val="center"/>
          </w:tcPr>
          <w:p w14:paraId="79575C5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憎水珍珠岩板</w:t>
            </w:r>
          </w:p>
        </w:tc>
        <w:tc>
          <w:tcPr>
            <w:tcW w:w="1055" w:type="pct"/>
            <w:vAlign w:val="center"/>
          </w:tcPr>
          <w:p w14:paraId="5FDFE61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全项（含燃烧性能）</w:t>
            </w:r>
          </w:p>
        </w:tc>
        <w:tc>
          <w:tcPr>
            <w:tcW w:w="791" w:type="pct"/>
            <w:vAlign w:val="center"/>
          </w:tcPr>
          <w:p w14:paraId="14D21EC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74EA1F7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48D86D1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9D58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restart"/>
            <w:tcBorders>
              <w:bottom w:val="nil"/>
            </w:tcBorders>
            <w:vAlign w:val="center"/>
          </w:tcPr>
          <w:p w14:paraId="6C8901B8">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26</w:t>
            </w:r>
          </w:p>
        </w:tc>
        <w:tc>
          <w:tcPr>
            <w:tcW w:w="887" w:type="pct"/>
            <w:vMerge w:val="restart"/>
            <w:tcBorders>
              <w:bottom w:val="nil"/>
            </w:tcBorders>
            <w:vAlign w:val="center"/>
          </w:tcPr>
          <w:p w14:paraId="43B87963">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混凝土强度</w:t>
            </w:r>
          </w:p>
        </w:tc>
        <w:tc>
          <w:tcPr>
            <w:tcW w:w="1055" w:type="pct"/>
            <w:vAlign w:val="center"/>
          </w:tcPr>
          <w:p w14:paraId="4D0E1C4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回弹检测法</w:t>
            </w:r>
          </w:p>
        </w:tc>
        <w:tc>
          <w:tcPr>
            <w:tcW w:w="791" w:type="pct"/>
            <w:vAlign w:val="center"/>
          </w:tcPr>
          <w:p w14:paraId="160CBBD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700</w:t>
            </w:r>
          </w:p>
        </w:tc>
        <w:tc>
          <w:tcPr>
            <w:tcW w:w="932" w:type="pct"/>
            <w:vAlign w:val="center"/>
          </w:tcPr>
          <w:p w14:paraId="6B01C85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构件</w:t>
            </w:r>
          </w:p>
        </w:tc>
        <w:tc>
          <w:tcPr>
            <w:tcW w:w="932" w:type="pct"/>
            <w:vAlign w:val="center"/>
          </w:tcPr>
          <w:p w14:paraId="7CC3F75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8F5B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nil"/>
            </w:tcBorders>
            <w:vAlign w:val="center"/>
          </w:tcPr>
          <w:p w14:paraId="7837006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nil"/>
            </w:tcBorders>
            <w:vAlign w:val="center"/>
          </w:tcPr>
          <w:p w14:paraId="16BA51C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vAlign w:val="center"/>
          </w:tcPr>
          <w:p w14:paraId="38BDB91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钻芯法</w:t>
            </w:r>
          </w:p>
        </w:tc>
        <w:tc>
          <w:tcPr>
            <w:tcW w:w="791" w:type="pct"/>
            <w:vAlign w:val="center"/>
          </w:tcPr>
          <w:p w14:paraId="1B764A1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1C51A63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构件</w:t>
            </w:r>
          </w:p>
        </w:tc>
        <w:tc>
          <w:tcPr>
            <w:tcW w:w="932" w:type="pct"/>
            <w:vAlign w:val="center"/>
          </w:tcPr>
          <w:p w14:paraId="42F644A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800C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22D0912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27</w:t>
            </w:r>
          </w:p>
        </w:tc>
        <w:tc>
          <w:tcPr>
            <w:tcW w:w="887" w:type="pct"/>
            <w:vAlign w:val="center"/>
          </w:tcPr>
          <w:p w14:paraId="15DA7B3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钢筋保护层厚度</w:t>
            </w:r>
          </w:p>
        </w:tc>
        <w:tc>
          <w:tcPr>
            <w:tcW w:w="1055" w:type="pct"/>
            <w:vAlign w:val="center"/>
          </w:tcPr>
          <w:p w14:paraId="1AB90CD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w:t>
            </w:r>
          </w:p>
        </w:tc>
        <w:tc>
          <w:tcPr>
            <w:tcW w:w="791" w:type="pct"/>
            <w:vAlign w:val="center"/>
          </w:tcPr>
          <w:p w14:paraId="6A6BEA3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180</w:t>
            </w:r>
          </w:p>
        </w:tc>
        <w:tc>
          <w:tcPr>
            <w:tcW w:w="932" w:type="pct"/>
            <w:vAlign w:val="center"/>
          </w:tcPr>
          <w:p w14:paraId="2C7559A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构件</w:t>
            </w:r>
          </w:p>
        </w:tc>
        <w:tc>
          <w:tcPr>
            <w:tcW w:w="932" w:type="pct"/>
            <w:vAlign w:val="center"/>
          </w:tcPr>
          <w:p w14:paraId="5FA4CBB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3A0AD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3C03402A">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28</w:t>
            </w:r>
          </w:p>
        </w:tc>
        <w:tc>
          <w:tcPr>
            <w:tcW w:w="887" w:type="pct"/>
            <w:vAlign w:val="center"/>
          </w:tcPr>
          <w:p w14:paraId="157A266C">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砂浆强度检测</w:t>
            </w:r>
          </w:p>
        </w:tc>
        <w:tc>
          <w:tcPr>
            <w:tcW w:w="1055" w:type="pct"/>
            <w:vAlign w:val="center"/>
          </w:tcPr>
          <w:p w14:paraId="7A69DCF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w:t>
            </w:r>
          </w:p>
        </w:tc>
        <w:tc>
          <w:tcPr>
            <w:tcW w:w="791" w:type="pct"/>
            <w:vAlign w:val="center"/>
          </w:tcPr>
          <w:p w14:paraId="2040B28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20</w:t>
            </w:r>
          </w:p>
        </w:tc>
        <w:tc>
          <w:tcPr>
            <w:tcW w:w="932" w:type="pct"/>
            <w:vAlign w:val="center"/>
          </w:tcPr>
          <w:p w14:paraId="4E021BA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构件</w:t>
            </w:r>
          </w:p>
        </w:tc>
        <w:tc>
          <w:tcPr>
            <w:tcW w:w="932" w:type="pct"/>
            <w:vAlign w:val="center"/>
          </w:tcPr>
          <w:p w14:paraId="5260687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7055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2AE4691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29</w:t>
            </w:r>
          </w:p>
        </w:tc>
        <w:tc>
          <w:tcPr>
            <w:tcW w:w="887" w:type="pct"/>
            <w:vAlign w:val="center"/>
          </w:tcPr>
          <w:p w14:paraId="70C2CD1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后置埋件（钢筋、螺栓）</w:t>
            </w:r>
          </w:p>
        </w:tc>
        <w:tc>
          <w:tcPr>
            <w:tcW w:w="1055" w:type="pct"/>
            <w:vAlign w:val="center"/>
          </w:tcPr>
          <w:p w14:paraId="3EA8E3A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抗拔承载力</w:t>
            </w:r>
          </w:p>
        </w:tc>
        <w:tc>
          <w:tcPr>
            <w:tcW w:w="791" w:type="pct"/>
            <w:vAlign w:val="center"/>
          </w:tcPr>
          <w:p w14:paraId="0C754C9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465DE69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根</w:t>
            </w:r>
          </w:p>
        </w:tc>
        <w:tc>
          <w:tcPr>
            <w:tcW w:w="932" w:type="pct"/>
            <w:vAlign w:val="center"/>
          </w:tcPr>
          <w:p w14:paraId="7D9CEBE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52746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Align w:val="center"/>
          </w:tcPr>
          <w:p w14:paraId="56C4AA6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30</w:t>
            </w:r>
          </w:p>
        </w:tc>
        <w:tc>
          <w:tcPr>
            <w:tcW w:w="887" w:type="pct"/>
            <w:vAlign w:val="center"/>
          </w:tcPr>
          <w:p w14:paraId="2359DE9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外墙面砖粘结强度</w:t>
            </w:r>
          </w:p>
        </w:tc>
        <w:tc>
          <w:tcPr>
            <w:tcW w:w="1055" w:type="pct"/>
            <w:vAlign w:val="center"/>
          </w:tcPr>
          <w:p w14:paraId="4C53797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w:t>
            </w:r>
          </w:p>
        </w:tc>
        <w:tc>
          <w:tcPr>
            <w:tcW w:w="791" w:type="pct"/>
            <w:vAlign w:val="center"/>
          </w:tcPr>
          <w:p w14:paraId="0A4F0DF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Align w:val="center"/>
          </w:tcPr>
          <w:p w14:paraId="18EE7A4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vAlign w:val="center"/>
          </w:tcPr>
          <w:p w14:paraId="59B4E08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21F2E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restart"/>
            <w:tcBorders>
              <w:bottom w:val="single" w:color="000000" w:sz="2" w:space="0"/>
            </w:tcBorders>
            <w:vAlign w:val="center"/>
          </w:tcPr>
          <w:p w14:paraId="30F5C03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31</w:t>
            </w:r>
          </w:p>
        </w:tc>
        <w:tc>
          <w:tcPr>
            <w:tcW w:w="887" w:type="pct"/>
            <w:vMerge w:val="restart"/>
            <w:tcBorders>
              <w:bottom w:val="single" w:color="000000" w:sz="2" w:space="0"/>
            </w:tcBorders>
            <w:vAlign w:val="center"/>
          </w:tcPr>
          <w:p w14:paraId="63CE4C3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建筑外窗</w:t>
            </w:r>
          </w:p>
        </w:tc>
        <w:tc>
          <w:tcPr>
            <w:tcW w:w="1055" w:type="pct"/>
            <w:tcBorders>
              <w:bottom w:val="single" w:color="000000" w:sz="2" w:space="0"/>
            </w:tcBorders>
            <w:vAlign w:val="center"/>
          </w:tcPr>
          <w:p w14:paraId="734A6F6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气密性（实验室检测）</w:t>
            </w:r>
          </w:p>
        </w:tc>
        <w:tc>
          <w:tcPr>
            <w:tcW w:w="791" w:type="pct"/>
            <w:vMerge w:val="restart"/>
            <w:tcBorders>
              <w:bottom w:val="single" w:color="000000" w:sz="2" w:space="0"/>
            </w:tcBorders>
            <w:vAlign w:val="center"/>
          </w:tcPr>
          <w:p w14:paraId="787597A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vMerge w:val="restart"/>
            <w:tcBorders>
              <w:bottom w:val="single" w:color="000000" w:sz="2" w:space="0"/>
            </w:tcBorders>
            <w:vAlign w:val="center"/>
          </w:tcPr>
          <w:p w14:paraId="0927948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3樘</w:t>
            </w:r>
          </w:p>
        </w:tc>
        <w:tc>
          <w:tcPr>
            <w:tcW w:w="932" w:type="pct"/>
            <w:tcBorders>
              <w:bottom w:val="single" w:color="000000" w:sz="2" w:space="0"/>
            </w:tcBorders>
            <w:vAlign w:val="center"/>
          </w:tcPr>
          <w:p w14:paraId="40229B6B">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B068F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single" w:color="000000" w:sz="2" w:space="0"/>
              <w:bottom w:val="single" w:color="000000" w:sz="2" w:space="0"/>
            </w:tcBorders>
            <w:vAlign w:val="center"/>
          </w:tcPr>
          <w:p w14:paraId="1E616C5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single" w:color="000000" w:sz="2" w:space="0"/>
              <w:bottom w:val="single" w:color="000000" w:sz="2" w:space="0"/>
            </w:tcBorders>
            <w:vAlign w:val="center"/>
          </w:tcPr>
          <w:p w14:paraId="6107FE5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tcBorders>
              <w:top w:val="single" w:color="000000" w:sz="2" w:space="0"/>
              <w:bottom w:val="single" w:color="000000" w:sz="2" w:space="0"/>
            </w:tcBorders>
            <w:vAlign w:val="center"/>
          </w:tcPr>
          <w:p w14:paraId="2E57A65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水密性（实验室检测）</w:t>
            </w:r>
          </w:p>
        </w:tc>
        <w:tc>
          <w:tcPr>
            <w:tcW w:w="791" w:type="pct"/>
            <w:vMerge w:val="continue"/>
            <w:tcBorders>
              <w:top w:val="single" w:color="000000" w:sz="2" w:space="0"/>
              <w:bottom w:val="single" w:color="000000" w:sz="2" w:space="0"/>
            </w:tcBorders>
            <w:vAlign w:val="center"/>
          </w:tcPr>
          <w:p w14:paraId="52FA55B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932" w:type="pct"/>
            <w:vMerge w:val="continue"/>
            <w:tcBorders>
              <w:top w:val="single" w:color="000000" w:sz="2" w:space="0"/>
              <w:bottom w:val="single" w:color="000000" w:sz="2" w:space="0"/>
            </w:tcBorders>
            <w:vAlign w:val="center"/>
          </w:tcPr>
          <w:p w14:paraId="1A3CFA9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932" w:type="pct"/>
            <w:tcBorders>
              <w:top w:val="single" w:color="000000" w:sz="2" w:space="0"/>
              <w:bottom w:val="single" w:color="000000" w:sz="2" w:space="0"/>
            </w:tcBorders>
            <w:vAlign w:val="center"/>
          </w:tcPr>
          <w:p w14:paraId="339BF86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7B927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single" w:color="000000" w:sz="2" w:space="0"/>
              <w:bottom w:val="single" w:color="000000" w:sz="2" w:space="0"/>
            </w:tcBorders>
            <w:vAlign w:val="center"/>
          </w:tcPr>
          <w:p w14:paraId="6CAA171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single" w:color="000000" w:sz="2" w:space="0"/>
              <w:bottom w:val="single" w:color="000000" w:sz="2" w:space="0"/>
            </w:tcBorders>
            <w:vAlign w:val="center"/>
          </w:tcPr>
          <w:p w14:paraId="4031F40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tcBorders>
              <w:top w:val="single" w:color="000000" w:sz="2" w:space="0"/>
              <w:bottom w:val="single" w:color="000000" w:sz="2" w:space="0"/>
            </w:tcBorders>
            <w:vAlign w:val="center"/>
          </w:tcPr>
          <w:p w14:paraId="0EE1A1C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抗风压（实验室检测）</w:t>
            </w:r>
          </w:p>
        </w:tc>
        <w:tc>
          <w:tcPr>
            <w:tcW w:w="791" w:type="pct"/>
            <w:vMerge w:val="continue"/>
            <w:tcBorders>
              <w:top w:val="single" w:color="000000" w:sz="2" w:space="0"/>
              <w:bottom w:val="single" w:color="000000" w:sz="2" w:space="0"/>
            </w:tcBorders>
            <w:vAlign w:val="center"/>
          </w:tcPr>
          <w:p w14:paraId="537EA44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932" w:type="pct"/>
            <w:vMerge w:val="continue"/>
            <w:tcBorders>
              <w:top w:val="single" w:color="000000" w:sz="2" w:space="0"/>
              <w:bottom w:val="single" w:color="000000" w:sz="2" w:space="0"/>
            </w:tcBorders>
            <w:vAlign w:val="center"/>
          </w:tcPr>
          <w:p w14:paraId="7C24EBE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932" w:type="pct"/>
            <w:tcBorders>
              <w:top w:val="single" w:color="000000" w:sz="2" w:space="0"/>
              <w:bottom w:val="single" w:color="000000" w:sz="2" w:space="0"/>
            </w:tcBorders>
            <w:vAlign w:val="center"/>
          </w:tcPr>
          <w:p w14:paraId="778FDCD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297DC6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single" w:color="000000" w:sz="2" w:space="0"/>
              <w:bottom w:val="single" w:color="000000" w:sz="2" w:space="0"/>
            </w:tcBorders>
            <w:vAlign w:val="center"/>
          </w:tcPr>
          <w:p w14:paraId="14D1D20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single" w:color="000000" w:sz="2" w:space="0"/>
              <w:bottom w:val="single" w:color="000000" w:sz="2" w:space="0"/>
            </w:tcBorders>
            <w:vAlign w:val="center"/>
          </w:tcPr>
          <w:p w14:paraId="3ECFA48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tcBorders>
              <w:top w:val="single" w:color="000000" w:sz="2" w:space="0"/>
              <w:bottom w:val="single" w:color="000000" w:sz="2" w:space="0"/>
            </w:tcBorders>
            <w:vAlign w:val="center"/>
          </w:tcPr>
          <w:p w14:paraId="68D9F60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气密性现场检测</w:t>
            </w:r>
          </w:p>
        </w:tc>
        <w:tc>
          <w:tcPr>
            <w:tcW w:w="791" w:type="pct"/>
            <w:tcBorders>
              <w:top w:val="single" w:color="000000" w:sz="2" w:space="0"/>
              <w:bottom w:val="single" w:color="000000" w:sz="2" w:space="0"/>
            </w:tcBorders>
            <w:vAlign w:val="center"/>
          </w:tcPr>
          <w:p w14:paraId="73B3D860">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tcBorders>
              <w:top w:val="single" w:color="000000" w:sz="2" w:space="0"/>
              <w:bottom w:val="single" w:color="000000" w:sz="2" w:space="0"/>
            </w:tcBorders>
            <w:vAlign w:val="center"/>
          </w:tcPr>
          <w:p w14:paraId="1B543399">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樘</w:t>
            </w:r>
          </w:p>
        </w:tc>
        <w:tc>
          <w:tcPr>
            <w:tcW w:w="932" w:type="pct"/>
            <w:tcBorders>
              <w:top w:val="single" w:color="000000" w:sz="2" w:space="0"/>
              <w:bottom w:val="single" w:color="000000" w:sz="2" w:space="0"/>
            </w:tcBorders>
            <w:vAlign w:val="center"/>
          </w:tcPr>
          <w:p w14:paraId="77CE2D9F">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110CD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single" w:color="000000" w:sz="2" w:space="0"/>
              <w:bottom w:val="single" w:color="000000" w:sz="2" w:space="0"/>
            </w:tcBorders>
            <w:vAlign w:val="center"/>
          </w:tcPr>
          <w:p w14:paraId="392B8DD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single" w:color="000000" w:sz="2" w:space="0"/>
              <w:bottom w:val="single" w:color="000000" w:sz="2" w:space="0"/>
            </w:tcBorders>
            <w:vAlign w:val="center"/>
          </w:tcPr>
          <w:p w14:paraId="194CF15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tcBorders>
              <w:top w:val="single" w:color="000000" w:sz="2" w:space="0"/>
              <w:bottom w:val="single" w:color="000000" w:sz="2" w:space="0"/>
            </w:tcBorders>
            <w:vAlign w:val="center"/>
          </w:tcPr>
          <w:p w14:paraId="32462D73">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传热系数</w:t>
            </w:r>
          </w:p>
        </w:tc>
        <w:tc>
          <w:tcPr>
            <w:tcW w:w="791" w:type="pct"/>
            <w:tcBorders>
              <w:top w:val="single" w:color="000000" w:sz="2" w:space="0"/>
              <w:bottom w:val="single" w:color="000000" w:sz="2" w:space="0"/>
            </w:tcBorders>
            <w:vAlign w:val="center"/>
          </w:tcPr>
          <w:p w14:paraId="3D3BC3F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tcBorders>
              <w:top w:val="single" w:color="000000" w:sz="2" w:space="0"/>
              <w:bottom w:val="single" w:color="000000" w:sz="2" w:space="0"/>
            </w:tcBorders>
            <w:vAlign w:val="center"/>
          </w:tcPr>
          <w:p w14:paraId="3C38CF9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樘</w:t>
            </w:r>
          </w:p>
        </w:tc>
        <w:tc>
          <w:tcPr>
            <w:tcW w:w="932" w:type="pct"/>
            <w:tcBorders>
              <w:top w:val="single" w:color="000000" w:sz="2" w:space="0"/>
              <w:bottom w:val="single" w:color="000000" w:sz="2" w:space="0"/>
            </w:tcBorders>
            <w:vAlign w:val="center"/>
          </w:tcPr>
          <w:p w14:paraId="7F429A2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r w14:paraId="3653B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400" w:type="pct"/>
            <w:vMerge w:val="continue"/>
            <w:tcBorders>
              <w:top w:val="single" w:color="000000" w:sz="2" w:space="0"/>
              <w:bottom w:val="single" w:color="000000" w:sz="2" w:space="0"/>
            </w:tcBorders>
            <w:vAlign w:val="center"/>
          </w:tcPr>
          <w:p w14:paraId="21AC5AE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887" w:type="pct"/>
            <w:vMerge w:val="continue"/>
            <w:tcBorders>
              <w:top w:val="single" w:color="000000" w:sz="2" w:space="0"/>
              <w:bottom w:val="single" w:color="000000" w:sz="2" w:space="0"/>
            </w:tcBorders>
            <w:vAlign w:val="center"/>
          </w:tcPr>
          <w:p w14:paraId="3EFD43C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c>
          <w:tcPr>
            <w:tcW w:w="1055" w:type="pct"/>
            <w:tcBorders>
              <w:top w:val="single" w:color="000000" w:sz="2" w:space="0"/>
              <w:bottom w:val="single" w:color="000000" w:sz="2" w:space="0"/>
            </w:tcBorders>
            <w:vAlign w:val="center"/>
          </w:tcPr>
          <w:p w14:paraId="2BBE12E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中空玻璃露点</w:t>
            </w:r>
          </w:p>
        </w:tc>
        <w:tc>
          <w:tcPr>
            <w:tcW w:w="791" w:type="pct"/>
            <w:tcBorders>
              <w:top w:val="single" w:color="000000" w:sz="2" w:space="0"/>
              <w:bottom w:val="single" w:color="000000" w:sz="2" w:space="0"/>
            </w:tcBorders>
            <w:vAlign w:val="center"/>
          </w:tcPr>
          <w:p w14:paraId="2FCC5EE2">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1</w:t>
            </w:r>
          </w:p>
        </w:tc>
        <w:tc>
          <w:tcPr>
            <w:tcW w:w="932" w:type="pct"/>
            <w:tcBorders>
              <w:top w:val="single" w:color="000000" w:sz="2" w:space="0"/>
              <w:bottom w:val="single" w:color="000000" w:sz="2" w:space="0"/>
            </w:tcBorders>
            <w:vAlign w:val="center"/>
          </w:tcPr>
          <w:p w14:paraId="7714C1D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r>
              <w:rPr>
                <w:rFonts w:hint="eastAsia" w:ascii="仿宋" w:hAnsi="仿宋" w:eastAsia="仿宋" w:cs="仿宋"/>
                <w:spacing w:val="0"/>
                <w:position w:val="0"/>
                <w:sz w:val="21"/>
                <w:szCs w:val="21"/>
              </w:rPr>
              <w:t>组</w:t>
            </w:r>
          </w:p>
        </w:tc>
        <w:tc>
          <w:tcPr>
            <w:tcW w:w="932" w:type="pct"/>
            <w:tcBorders>
              <w:top w:val="single" w:color="000000" w:sz="2" w:space="0"/>
              <w:bottom w:val="single" w:color="000000" w:sz="2" w:space="0"/>
            </w:tcBorders>
            <w:vAlign w:val="center"/>
          </w:tcPr>
          <w:p w14:paraId="10F0C06D">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pacing w:val="0"/>
                <w:position w:val="0"/>
                <w:sz w:val="21"/>
                <w:szCs w:val="21"/>
              </w:rPr>
            </w:pPr>
          </w:p>
        </w:tc>
      </w:tr>
    </w:tbl>
    <w:p w14:paraId="7EB5BFE8">
      <w:pPr>
        <w:pStyle w:val="15"/>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sz w:val="21"/>
          <w:szCs w:val="21"/>
          <w:lang w:eastAsia="zh-CN"/>
        </w:rPr>
        <w:t>注：本项目最终合同价</w:t>
      </w:r>
      <w:r>
        <w:rPr>
          <w:rFonts w:hint="eastAsia" w:ascii="仿宋" w:hAnsi="仿宋" w:eastAsia="仿宋" w:cs="仿宋"/>
          <w:b/>
          <w:bCs/>
          <w:sz w:val="21"/>
          <w:szCs w:val="21"/>
          <w:lang w:val="en-US" w:eastAsia="zh-CN"/>
        </w:rPr>
        <w:t>=本表所列的检测项目单价×实际发生的抽测项目次数。</w:t>
      </w:r>
    </w:p>
    <w:p w14:paraId="78743DEC">
      <w:pPr>
        <w:pStyle w:val="14"/>
        <w:keepNext w:val="0"/>
        <w:keepLines w:val="0"/>
        <w:pageBreakBefore w:val="0"/>
        <w:widowControl/>
        <w:numPr>
          <w:ilvl w:val="0"/>
          <w:numId w:val="0"/>
        </w:numPr>
        <w:kinsoku/>
        <w:wordWrap/>
        <w:overflowPunct/>
        <w:topLinePunct w:val="0"/>
        <w:bidi w:val="0"/>
        <w:adjustRightInd w:val="0"/>
        <w:snapToGrid w:val="0"/>
        <w:spacing w:line="348" w:lineRule="auto"/>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val="0"/>
          <w:color w:val="auto"/>
          <w:sz w:val="21"/>
          <w:szCs w:val="21"/>
          <w:highlight w:val="none"/>
          <w:lang w:val="en-US" w:eastAsia="zh-CN" w:bidi="ar"/>
        </w:rPr>
        <w:t>第三条：工作要求</w:t>
      </w:r>
    </w:p>
    <w:p w14:paraId="5701E2E1">
      <w:pPr>
        <w:keepNext w:val="0"/>
        <w:keepLines w:val="0"/>
        <w:pageBreakBefore w:val="0"/>
        <w:widowControl/>
        <w:kinsoku/>
        <w:wordWrap/>
        <w:overflowPunct/>
        <w:topLinePunct w:val="0"/>
        <w:bidi w:val="0"/>
        <w:adjustRightInd w:val="0"/>
        <w:snapToGrid w:val="0"/>
        <w:spacing w:line="348" w:lineRule="auto"/>
        <w:ind w:right="-197" w:rightChars="-94"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第三方机构是指政府委托的，对辖区在建工程主体结构、钢结构质量、原材料进行抽检。通过抽检，以掌握辖区内建筑工程主体结构、钢结构质量、原材料质量状况，促进企业提高质量管理水平，排除项目存在的重大质量隐患，杜绝和减少质量事故的发生。</w:t>
      </w:r>
    </w:p>
    <w:p w14:paraId="611AB3F4">
      <w:pPr>
        <w:keepNext w:val="0"/>
        <w:keepLines w:val="0"/>
        <w:pageBreakBefore w:val="0"/>
        <w:widowControl/>
        <w:kinsoku/>
        <w:wordWrap/>
        <w:overflowPunct/>
        <w:topLinePunct w:val="0"/>
        <w:bidi w:val="0"/>
        <w:adjustRightInd w:val="0"/>
        <w:snapToGrid w:val="0"/>
        <w:spacing w:line="348" w:lineRule="auto"/>
        <w:ind w:right="-197" w:rightChars="-94"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2、在西安市有固定办公地点，拥有与第三方机构工作相适应的设施、设备等必要的技术支撑条件。</w:t>
      </w:r>
    </w:p>
    <w:p w14:paraId="17584016">
      <w:pPr>
        <w:pStyle w:val="14"/>
        <w:keepNext w:val="0"/>
        <w:keepLines w:val="0"/>
        <w:pageBreakBefore w:val="0"/>
        <w:widowControl/>
        <w:numPr>
          <w:ilvl w:val="0"/>
          <w:numId w:val="0"/>
        </w:numPr>
        <w:kinsoku/>
        <w:wordWrap/>
        <w:overflowPunct/>
        <w:topLinePunct w:val="0"/>
        <w:bidi w:val="0"/>
        <w:adjustRightInd w:val="0"/>
        <w:snapToGrid w:val="0"/>
        <w:spacing w:line="348" w:lineRule="auto"/>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val="0"/>
          <w:color w:val="auto"/>
          <w:sz w:val="21"/>
          <w:szCs w:val="21"/>
          <w:highlight w:val="none"/>
          <w:lang w:val="en-US" w:eastAsia="zh-CN" w:bidi="ar"/>
        </w:rPr>
        <w:t>第四条  服务期及验收标准</w:t>
      </w:r>
    </w:p>
    <w:p w14:paraId="3F32E70D">
      <w:pPr>
        <w:widowControl/>
        <w:spacing w:line="360" w:lineRule="auto"/>
        <w:ind w:right="-197" w:rightChars="-94" w:firstLine="420" w:firstLineChars="200"/>
        <w:jc w:val="left"/>
        <w:rPr>
          <w:rFonts w:hint="eastAsia" w:ascii="仿宋" w:hAnsi="仿宋" w:eastAsia="仿宋" w:cs="仿宋"/>
          <w:b w:val="0"/>
          <w:bCs w:val="0"/>
          <w:color w:val="auto"/>
          <w:sz w:val="21"/>
          <w:szCs w:val="21"/>
          <w:highlight w:val="none"/>
          <w:u w:val="single"/>
          <w:lang w:val="en-US" w:eastAsia="zh-CN"/>
        </w:rPr>
      </w:pPr>
      <w:r>
        <w:rPr>
          <w:rFonts w:hint="eastAsia" w:ascii="仿宋" w:hAnsi="仿宋" w:eastAsia="仿宋" w:cs="仿宋"/>
          <w:b w:val="0"/>
          <w:bCs w:val="0"/>
          <w:color w:val="auto"/>
          <w:sz w:val="21"/>
          <w:szCs w:val="21"/>
          <w:highlight w:val="none"/>
        </w:rPr>
        <w:t>1、服务期：</w:t>
      </w:r>
      <w:r>
        <w:rPr>
          <w:rFonts w:hint="eastAsia" w:ascii="仿宋" w:hAnsi="仿宋" w:eastAsia="仿宋" w:cs="仿宋"/>
          <w:b w:val="0"/>
          <w:bCs w:val="0"/>
          <w:color w:val="auto"/>
          <w:sz w:val="21"/>
          <w:szCs w:val="21"/>
          <w:highlight w:val="none"/>
          <w:u w:val="single"/>
        </w:rPr>
        <w:t>自合同签订生效之日起</w:t>
      </w:r>
      <w:r>
        <w:rPr>
          <w:rFonts w:hint="eastAsia" w:ascii="仿宋" w:hAnsi="仿宋" w:eastAsia="仿宋" w:cs="仿宋"/>
          <w:b w:val="0"/>
          <w:bCs w:val="0"/>
          <w:color w:val="auto"/>
          <w:sz w:val="21"/>
          <w:szCs w:val="21"/>
          <w:highlight w:val="none"/>
          <w:u w:val="single"/>
          <w:lang w:val="en-US" w:eastAsia="zh-CN"/>
        </w:rPr>
        <w:t>2</w:t>
      </w:r>
      <w:r>
        <w:rPr>
          <w:rFonts w:hint="eastAsia" w:ascii="仿宋" w:hAnsi="仿宋" w:eastAsia="仿宋" w:cs="仿宋"/>
          <w:b w:val="0"/>
          <w:bCs w:val="0"/>
          <w:color w:val="auto"/>
          <w:sz w:val="21"/>
          <w:szCs w:val="21"/>
          <w:highlight w:val="none"/>
          <w:u w:val="single"/>
        </w:rPr>
        <w:t>年</w:t>
      </w:r>
      <w:r>
        <w:rPr>
          <w:rFonts w:hint="eastAsia" w:ascii="仿宋" w:hAnsi="仿宋" w:eastAsia="仿宋" w:cs="仿宋"/>
          <w:b w:val="0"/>
          <w:bCs w:val="0"/>
          <w:color w:val="auto"/>
          <w:sz w:val="21"/>
          <w:szCs w:val="21"/>
          <w:highlight w:val="none"/>
          <w:u w:val="single"/>
          <w:lang w:eastAsia="zh-CN"/>
        </w:rPr>
        <w:t>（</w:t>
      </w:r>
      <w:r>
        <w:rPr>
          <w:rFonts w:hint="eastAsia" w:ascii="仿宋" w:hAnsi="仿宋" w:eastAsia="仿宋" w:cs="仿宋"/>
          <w:b w:val="0"/>
          <w:bCs w:val="0"/>
          <w:color w:val="auto"/>
          <w:sz w:val="21"/>
          <w:szCs w:val="21"/>
          <w:highlight w:val="none"/>
          <w:u w:val="single"/>
          <w:lang w:val="en-US" w:eastAsia="zh-CN"/>
        </w:rPr>
        <w:t>合同一年一签</w:t>
      </w:r>
      <w:r>
        <w:rPr>
          <w:rFonts w:hint="eastAsia" w:ascii="仿宋" w:hAnsi="仿宋" w:eastAsia="仿宋" w:cs="仿宋"/>
          <w:b w:val="0"/>
          <w:bCs w:val="0"/>
          <w:color w:val="auto"/>
          <w:sz w:val="21"/>
          <w:szCs w:val="21"/>
          <w:highlight w:val="none"/>
          <w:u w:val="single"/>
          <w:lang w:eastAsia="zh-CN"/>
        </w:rPr>
        <w:t>）。</w:t>
      </w:r>
    </w:p>
    <w:p w14:paraId="338E66A6">
      <w:pPr>
        <w:widowControl/>
        <w:spacing w:line="360" w:lineRule="auto"/>
        <w:ind w:right="-197" w:rightChars="-94"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2、服务地点：</w:t>
      </w:r>
      <w:r>
        <w:rPr>
          <w:rFonts w:hint="eastAsia" w:ascii="仿宋" w:hAnsi="仿宋" w:eastAsia="仿宋" w:cs="仿宋"/>
          <w:color w:val="auto"/>
          <w:sz w:val="21"/>
          <w:szCs w:val="21"/>
          <w:highlight w:val="none"/>
          <w:u w:val="single"/>
          <w:lang w:val="en-US" w:eastAsia="zh-CN"/>
        </w:rPr>
        <w:t>甲方指定地点</w:t>
      </w:r>
    </w:p>
    <w:p w14:paraId="29316AC6">
      <w:pPr>
        <w:widowControl/>
        <w:spacing w:line="360" w:lineRule="auto"/>
        <w:ind w:right="-197" w:rightChars="-94"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3、验收标准：</w:t>
      </w:r>
    </w:p>
    <w:p w14:paraId="7420F896">
      <w:pPr>
        <w:widowControl/>
        <w:spacing w:line="360" w:lineRule="auto"/>
        <w:ind w:right="-197" w:rightChars="-94"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（1）符合国家法律法规规定的标准、</w:t>
      </w:r>
      <w:r>
        <w:rPr>
          <w:rFonts w:hint="eastAsia" w:ascii="仿宋" w:hAnsi="仿宋" w:eastAsia="仿宋" w:cs="仿宋"/>
          <w:color w:val="auto"/>
          <w:sz w:val="21"/>
          <w:szCs w:val="21"/>
          <w:highlight w:val="none"/>
          <w:lang w:val="en-US" w:eastAsia="zh-CN"/>
        </w:rPr>
        <w:t>磋商文件</w:t>
      </w:r>
      <w:r>
        <w:rPr>
          <w:rFonts w:hint="eastAsia" w:ascii="仿宋" w:hAnsi="仿宋" w:eastAsia="仿宋" w:cs="仿宋"/>
          <w:color w:val="auto"/>
          <w:sz w:val="21"/>
          <w:szCs w:val="21"/>
          <w:highlight w:val="none"/>
        </w:rPr>
        <w:t>和</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lang w:val="en-US" w:eastAsia="zh-CN"/>
        </w:rPr>
        <w:t>响应文件</w:t>
      </w:r>
      <w:r>
        <w:rPr>
          <w:rFonts w:hint="eastAsia" w:ascii="仿宋" w:hAnsi="仿宋" w:eastAsia="仿宋" w:cs="仿宋"/>
          <w:color w:val="auto"/>
          <w:sz w:val="21"/>
          <w:szCs w:val="21"/>
          <w:highlight w:val="none"/>
        </w:rPr>
        <w:t>所要求的</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技术标准</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p>
    <w:p w14:paraId="07687A10">
      <w:pPr>
        <w:widowControl/>
        <w:spacing w:line="360" w:lineRule="auto"/>
        <w:ind w:right="-197" w:rightChars="-94" w:firstLine="420" w:firstLineChars="200"/>
        <w:jc w:val="left"/>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eastAsia="zh-CN"/>
        </w:rPr>
        <w:t>检查</w:t>
      </w:r>
      <w:r>
        <w:rPr>
          <w:rFonts w:hint="eastAsia" w:ascii="仿宋" w:hAnsi="仿宋" w:eastAsia="仿宋" w:cs="仿宋"/>
          <w:color w:val="auto"/>
          <w:sz w:val="21"/>
          <w:szCs w:val="21"/>
          <w:highlight w:val="none"/>
        </w:rPr>
        <w:t>报告应通过采购人审核。</w:t>
      </w:r>
    </w:p>
    <w:p w14:paraId="63267E34">
      <w:pPr>
        <w:pStyle w:val="14"/>
        <w:keepNext w:val="0"/>
        <w:keepLines w:val="0"/>
        <w:pageBreakBefore w:val="0"/>
        <w:widowControl/>
        <w:numPr>
          <w:ilvl w:val="0"/>
          <w:numId w:val="0"/>
        </w:numPr>
        <w:kinsoku/>
        <w:wordWrap/>
        <w:overflowPunct/>
        <w:topLinePunct w:val="0"/>
        <w:bidi w:val="0"/>
        <w:adjustRightInd w:val="0"/>
        <w:snapToGrid w:val="0"/>
        <w:spacing w:line="348" w:lineRule="auto"/>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val="0"/>
          <w:color w:val="auto"/>
          <w:sz w:val="21"/>
          <w:szCs w:val="21"/>
          <w:highlight w:val="none"/>
          <w:lang w:val="en-US" w:eastAsia="zh-CN" w:bidi="ar"/>
        </w:rPr>
        <w:t>第五条  付款方式、依据及结算</w:t>
      </w:r>
    </w:p>
    <w:p w14:paraId="10CA995F">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u w:val="none"/>
          <w:lang w:val="en-US" w:eastAsia="zh-CN"/>
        </w:rPr>
        <w:t>1、检测费用依照中标价格进行计费(总价不超过</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元)。</w:t>
      </w:r>
    </w:p>
    <w:p w14:paraId="7F63DC35">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u w:val="none"/>
          <w:lang w:val="en-US" w:eastAsia="zh-CN"/>
        </w:rPr>
        <w:t>2、结算时检测方需要提供检测委托单、检测报告、委托方出具的工程质量监督抽测审</w:t>
      </w:r>
    </w:p>
    <w:p w14:paraId="5A1A7F72">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u w:val="none"/>
          <w:lang w:val="en-US" w:eastAsia="zh-CN"/>
        </w:rPr>
        <w:t>批单及汇总表、符合税务规定的合法有效发票。</w:t>
      </w:r>
    </w:p>
    <w:p w14:paraId="15AE09A7">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u w:val="none"/>
          <w:lang w:val="en-US" w:eastAsia="zh-CN"/>
        </w:rPr>
        <w:t>3、付款条件说明:根据供应商中标单价乘以实际发生工程量据实结算，服务完成后，达到付款条件起30个日历日内，委托方按付款程序据实结算。</w:t>
      </w:r>
    </w:p>
    <w:p w14:paraId="7B79AFE1">
      <w:pPr>
        <w:pStyle w:val="14"/>
        <w:keepNext w:val="0"/>
        <w:keepLines w:val="0"/>
        <w:pageBreakBefore w:val="0"/>
        <w:widowControl/>
        <w:numPr>
          <w:ilvl w:val="0"/>
          <w:numId w:val="0"/>
        </w:numPr>
        <w:kinsoku/>
        <w:wordWrap/>
        <w:overflowPunct/>
        <w:topLinePunct w:val="0"/>
        <w:bidi w:val="0"/>
        <w:adjustRightInd w:val="0"/>
        <w:snapToGrid w:val="0"/>
        <w:spacing w:line="348" w:lineRule="auto"/>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val="0"/>
          <w:color w:val="auto"/>
          <w:sz w:val="21"/>
          <w:szCs w:val="21"/>
          <w:highlight w:val="none"/>
          <w:lang w:val="en-US" w:eastAsia="zh-CN" w:bidi="ar"/>
        </w:rPr>
        <w:t>第六条  甲乙双方的权利、义务</w:t>
      </w:r>
    </w:p>
    <w:p w14:paraId="7E94FC8A">
      <w:pPr>
        <w:pStyle w:val="8"/>
        <w:keepNext w:val="0"/>
        <w:keepLines w:val="0"/>
        <w:pageBreakBefore w:val="0"/>
        <w:kinsoku/>
        <w:wordWrap/>
        <w:overflowPunct/>
        <w:topLinePunct w:val="0"/>
        <w:bidi w:val="0"/>
        <w:adjustRightInd w:val="0"/>
        <w:snapToGrid w:val="0"/>
        <w:spacing w:after="0" w:line="348" w:lineRule="auto"/>
        <w:ind w:firstLine="561" w:firstLineChars="0"/>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甲方：</w:t>
      </w:r>
    </w:p>
    <w:p w14:paraId="066DB84E">
      <w:pPr>
        <w:pStyle w:val="4"/>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1、甲方按本项目具体情况提供乙方所需材料，甲方协助乙方完成资料、文件收集工作，并对其完整性、正确性及时限性负责，甲方不得要求乙方违反国家有关标准。</w:t>
      </w:r>
    </w:p>
    <w:p w14:paraId="743EB243">
      <w:pPr>
        <w:pStyle w:val="4"/>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2、甲方有权按照国家及地方政府的要求对乙方的试验检测行为进行监督、检查和必要的指导。</w:t>
      </w:r>
    </w:p>
    <w:p w14:paraId="2480BA63">
      <w:pPr>
        <w:pStyle w:val="4"/>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3、甲方按照乙方要求，提供一切技术服务所必需的条件，配合检测工作顺利进行。</w:t>
      </w:r>
    </w:p>
    <w:p w14:paraId="28713671">
      <w:pPr>
        <w:pStyle w:val="4"/>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4、甲方应积极协助乙方解决在服务期内出现的相关问题。</w:t>
      </w:r>
    </w:p>
    <w:p w14:paraId="4240C758">
      <w:pPr>
        <w:pStyle w:val="4"/>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5、甲方按照本合同约定向乙方支付检测费用。</w:t>
      </w:r>
    </w:p>
    <w:p w14:paraId="55034F75">
      <w:pPr>
        <w:pStyle w:val="8"/>
        <w:keepNext w:val="0"/>
        <w:keepLines w:val="0"/>
        <w:pageBreakBefore w:val="0"/>
        <w:kinsoku/>
        <w:wordWrap/>
        <w:overflowPunct/>
        <w:topLinePunct w:val="0"/>
        <w:bidi w:val="0"/>
        <w:adjustRightInd w:val="0"/>
        <w:snapToGrid w:val="0"/>
        <w:spacing w:after="0" w:line="348" w:lineRule="auto"/>
        <w:ind w:firstLine="561" w:firstLineChars="0"/>
        <w:rPr>
          <w:rFonts w:hint="eastAsia" w:ascii="仿宋" w:hAnsi="仿宋" w:eastAsia="仿宋" w:cs="仿宋"/>
          <w:b/>
          <w:bCs/>
          <w:color w:val="auto"/>
          <w:sz w:val="21"/>
          <w:szCs w:val="21"/>
          <w:highlight w:val="none"/>
        </w:rPr>
      </w:pPr>
      <w:r>
        <w:rPr>
          <w:rFonts w:hint="eastAsia" w:ascii="仿宋" w:hAnsi="仿宋" w:eastAsia="仿宋" w:cs="仿宋"/>
          <w:b/>
          <w:bCs/>
          <w:color w:val="auto"/>
          <w:kern w:val="0"/>
          <w:sz w:val="21"/>
          <w:szCs w:val="21"/>
          <w:highlight w:val="none"/>
        </w:rPr>
        <w:t>乙方</w:t>
      </w:r>
      <w:r>
        <w:rPr>
          <w:rFonts w:hint="eastAsia" w:ascii="仿宋" w:hAnsi="仿宋" w:eastAsia="仿宋" w:cs="仿宋"/>
          <w:b/>
          <w:bCs/>
          <w:color w:val="auto"/>
          <w:sz w:val="21"/>
          <w:szCs w:val="21"/>
          <w:highlight w:val="none"/>
        </w:rPr>
        <w:t>：</w:t>
      </w:r>
    </w:p>
    <w:p w14:paraId="21EBCF1D">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1、接受项目行业管理部门及政府有关部门的监督指导，接受甲方的监督。</w:t>
      </w:r>
    </w:p>
    <w:p w14:paraId="266A91AE">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2、按照合同约定提供技术服务，为甲方提供技术服务成果。承诺采用合理严谨的态度及科学准确的方法提供技术服务，以保证成果的准确性和有效性。</w:t>
      </w:r>
    </w:p>
    <w:p w14:paraId="3EA9DC0C">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乙方在接到甲方检测任务后，应及时响应并派遣满足工作需要的专业技术人员对委托内容开展作业，在委托时限内按时完成检测并向甲方提供正式检测报告。在检测过程中如遇不可抗拒的自然因素，乙方应及时向甲方申请，则检测周期另议或顺延。</w:t>
      </w:r>
    </w:p>
    <w:p w14:paraId="64D109F9">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4、为甲方设立项目负责人，以便甲方项目由乙方专人专管，提高工作效率。</w:t>
      </w:r>
    </w:p>
    <w:p w14:paraId="2F080246">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乙方项目负责人：</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，联系电话：</w:t>
      </w:r>
      <w:r>
        <w:rPr>
          <w:rFonts w:hint="eastAsia" w:ascii="仿宋" w:hAnsi="仿宋" w:eastAsia="仿宋" w:cs="仿宋"/>
          <w:color w:val="auto"/>
          <w:kern w:val="0"/>
          <w:sz w:val="21"/>
          <w:szCs w:val="21"/>
          <w:highlight w:val="none"/>
          <w:u w:val="single"/>
        </w:rPr>
        <w:t xml:space="preserve">         </w:t>
      </w:r>
    </w:p>
    <w:p w14:paraId="59DD3245">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5、乙方及其雇用的员工应严格遵守国家的法律、法规，如果乙方及其所雇用的员工违反法律、法规和相关规定，所造成的后果由乙方自行负责，与甲方无关，若因此给甲方造成损失的，应赔偿甲方所受的损失。</w:t>
      </w:r>
    </w:p>
    <w:p w14:paraId="41558451">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6、按照合同内容要求甲方按期支付检测费用；</w:t>
      </w:r>
    </w:p>
    <w:p w14:paraId="60461261">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7、就检测服务的有关内容，接受甲方的咨询。</w:t>
      </w:r>
    </w:p>
    <w:p w14:paraId="75C0B36F">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8、乙方正常开展抽测服务工作所需费用，均包含在合同金额中，由于甲方原因导致乙方超出合同范围工作所产生的费用由甲方承担。</w:t>
      </w:r>
    </w:p>
    <w:p w14:paraId="071A5170">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9、未经甲方同意，乙方不得擅自将所承包的合同转让给他人，或肢解分包给他人。</w:t>
      </w:r>
    </w:p>
    <w:p w14:paraId="618892EB">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乙方对样品进行抽测后出具的报告仅对被测样品负责。在任何情况下，乙方的责任不能超出乙方对样品作出的抽测报告的范围。乙方有责任根据样品有效期对样品进行保管，在此期间，若因乙方过错导致样品丢失所造成的一切损失由乙方承担。</w:t>
      </w:r>
    </w:p>
    <w:p w14:paraId="16B496E6">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11、乙方</w:t>
      </w:r>
      <w:r>
        <w:rPr>
          <w:rFonts w:hint="eastAsia" w:ascii="仿宋" w:hAnsi="仿宋" w:eastAsia="仿宋" w:cs="仿宋"/>
          <w:color w:val="auto"/>
          <w:kern w:val="0"/>
          <w:sz w:val="21"/>
          <w:szCs w:val="21"/>
          <w:highlight w:val="none"/>
          <w:lang w:val="zh-CN"/>
        </w:rPr>
        <w:t>对涉及秘密级业务的技术资料、数据、保密信息等进行严格保密，一旦泄密，需承担相应法律责任。</w:t>
      </w:r>
    </w:p>
    <w:p w14:paraId="2E8C9E2B">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12、接受甲方的管理、监督、检查和考核，对甲方发出的整改通知，应及时按甲方的要求进行整改。乙方无正当理由拒绝整改时，甲方可以另行委托他人予以整改，所发生的费用由乙方承担。</w:t>
      </w:r>
    </w:p>
    <w:p w14:paraId="53D70089">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13、乙方在服务过程中发生的一切人身伤亡事故及其他损害，由乙方自行承担所有责任。若造成甲方因此而承担有关法律责任，乙方除应赔偿因此造成的一切损失外，甲方有权单方面解除本合同；</w:t>
      </w:r>
    </w:p>
    <w:p w14:paraId="4290A3C6">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14、乙方定期按照国家规定要求对试验抽测仪器设备进行校验校准，客观、公正、科学、实事求是的按照合同要求进行试验抽测，确保抽测数据的真实性、可靠性。对所抽测内容和结果负全部技术责任。</w:t>
      </w:r>
    </w:p>
    <w:p w14:paraId="31859D97">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15、乙方需保证本成果或其授予的权利不会侵犯任何第三人的知识产权或其他权利，也没有其他针对乙方拥有本成果权利的未决诉讼，或甲方行使乙方所提供的成果权利会侵犯任何第三人的合法权利。</w:t>
      </w:r>
    </w:p>
    <w:p w14:paraId="751C3544">
      <w:pPr>
        <w:pStyle w:val="14"/>
        <w:keepNext w:val="0"/>
        <w:keepLines w:val="0"/>
        <w:pageBreakBefore w:val="0"/>
        <w:widowControl/>
        <w:numPr>
          <w:ilvl w:val="0"/>
          <w:numId w:val="0"/>
        </w:numPr>
        <w:kinsoku/>
        <w:wordWrap/>
        <w:overflowPunct/>
        <w:topLinePunct w:val="0"/>
        <w:bidi w:val="0"/>
        <w:adjustRightInd w:val="0"/>
        <w:snapToGrid w:val="0"/>
        <w:spacing w:line="348" w:lineRule="auto"/>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val="0"/>
          <w:color w:val="auto"/>
          <w:sz w:val="21"/>
          <w:szCs w:val="21"/>
          <w:highlight w:val="none"/>
          <w:lang w:val="en-US" w:eastAsia="zh-CN" w:bidi="ar"/>
        </w:rPr>
        <w:t>第七条  甲乙双方的违约责任</w:t>
      </w:r>
    </w:p>
    <w:p w14:paraId="3CFA3EE2">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1、甲乙双方在合同生效后，如果任意一方未经协商或不以合同为依据而单方面擅自解除合同，提出解除合同的一方需要支付</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元作为违约金：</w:t>
      </w:r>
    </w:p>
    <w:p w14:paraId="18D8FFAE">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若甲方违约，在此过程中乙方所产生的服务费用由甲方承担，并支付违约金给乙方；若乙方违约，则需向甲方退还所有服务费用，并支付违约金给甲方。</w:t>
      </w:r>
    </w:p>
    <w:p w14:paraId="7C65C097">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2、甲方在乙方技术服务工作完成后单方面终止合同的，应当向乙方支付全额的服务费用。</w:t>
      </w:r>
    </w:p>
    <w:p w14:paraId="45F0EEC5">
      <w:pPr>
        <w:pStyle w:val="3"/>
        <w:keepNext w:val="0"/>
        <w:keepLines w:val="0"/>
        <w:pageBreakBefore w:val="0"/>
        <w:kinsoku/>
        <w:wordWrap/>
        <w:overflowPunct/>
        <w:topLinePunct w:val="0"/>
        <w:bidi w:val="0"/>
        <w:adjustRightInd w:val="0"/>
        <w:snapToGrid w:val="0"/>
        <w:spacing w:after="0"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3、任何一方违反本合同的约定，应承担由此引起的一切经济损失及法律责任（包括但不限于守约方的经济损失、律师费、诉讼费等为实现债权产生的一切费用）。</w:t>
      </w:r>
    </w:p>
    <w:p w14:paraId="65B6AB50">
      <w:pPr>
        <w:pStyle w:val="14"/>
        <w:keepNext w:val="0"/>
        <w:keepLines w:val="0"/>
        <w:pageBreakBefore w:val="0"/>
        <w:widowControl/>
        <w:numPr>
          <w:ilvl w:val="0"/>
          <w:numId w:val="0"/>
        </w:numPr>
        <w:kinsoku/>
        <w:wordWrap/>
        <w:overflowPunct/>
        <w:topLinePunct w:val="0"/>
        <w:bidi w:val="0"/>
        <w:adjustRightInd w:val="0"/>
        <w:snapToGrid w:val="0"/>
        <w:spacing w:line="348" w:lineRule="auto"/>
        <w:rPr>
          <w:rFonts w:hint="eastAsia" w:ascii="仿宋" w:hAnsi="仿宋" w:eastAsia="仿宋" w:cs="仿宋"/>
          <w:b/>
          <w:bCs w:val="0"/>
          <w:color w:val="auto"/>
          <w:sz w:val="21"/>
          <w:szCs w:val="21"/>
          <w:highlight w:val="none"/>
          <w:lang w:val="en-US" w:eastAsia="zh-CN" w:bidi="ar"/>
        </w:rPr>
      </w:pPr>
      <w:r>
        <w:rPr>
          <w:rFonts w:hint="eastAsia" w:ascii="仿宋" w:hAnsi="仿宋" w:eastAsia="仿宋" w:cs="仿宋"/>
          <w:b/>
          <w:bCs w:val="0"/>
          <w:color w:val="auto"/>
          <w:sz w:val="21"/>
          <w:szCs w:val="21"/>
          <w:highlight w:val="none"/>
          <w:lang w:val="en-US" w:eastAsia="zh-CN" w:bidi="ar"/>
        </w:rPr>
        <w:t>第八条  合同变更与终止</w:t>
      </w:r>
    </w:p>
    <w:p w14:paraId="1F7D4221">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1、合同期间任何一方不得随意变更、终止合同。</w:t>
      </w:r>
    </w:p>
    <w:p w14:paraId="1DFB29F4">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2、本合同规定的履行期限届满，合同自动终止。</w:t>
      </w:r>
    </w:p>
    <w:p w14:paraId="538159FE">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3、因双方机构撤并、职能调整等原因，确需终止合同的，双方可协商终止合同。</w:t>
      </w:r>
    </w:p>
    <w:p w14:paraId="7545DE48">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4、乙方应自觉遵守甲方工作纪律、规章制度，服从甲方管理。因乙方原因给甲方造成严重后果，甲方可以单方面解除合同。</w:t>
      </w:r>
    </w:p>
    <w:p w14:paraId="3CB422E0">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合同继续履行将损害国家利益和社会公共利益的，双方应当变更或者终止合同，但变更的内容不得对磋商文件确定的事项和中标响应文件作实质性修改，有过错的一方应当承担赔偿责任，双方都有过错的，各自承担相应的责任。</w:t>
      </w:r>
    </w:p>
    <w:p w14:paraId="789A05C8">
      <w:pPr>
        <w:pStyle w:val="5"/>
        <w:keepNext w:val="0"/>
        <w:keepLines w:val="0"/>
        <w:pageBreakBefore w:val="0"/>
        <w:widowControl w:val="0"/>
        <w:tabs>
          <w:tab w:val="left" w:pos="5625"/>
        </w:tabs>
        <w:kinsoku/>
        <w:wordWrap/>
        <w:overflowPunct/>
        <w:topLinePunct w:val="0"/>
        <w:autoSpaceDE/>
        <w:autoSpaceDN/>
        <w:bidi w:val="0"/>
        <w:adjustRightInd w:val="0"/>
        <w:snapToGrid w:val="0"/>
        <w:spacing w:after="0" w:line="360" w:lineRule="auto"/>
        <w:ind w:left="0" w:leftChars="0" w:firstLine="0" w:firstLineChars="0"/>
        <w:textAlignment w:val="auto"/>
        <w:outlineLvl w:val="1"/>
        <w:rPr>
          <w:rFonts w:hint="eastAsia" w:ascii="仿宋" w:hAnsi="仿宋" w:eastAsia="仿宋" w:cs="仿宋"/>
          <w:b/>
          <w:bCs/>
          <w:sz w:val="21"/>
          <w:szCs w:val="21"/>
          <w:highlight w:val="none"/>
        </w:rPr>
      </w:pPr>
      <w:bookmarkStart w:id="2" w:name="_Toc18084"/>
      <w:bookmarkStart w:id="3" w:name="_Toc31450"/>
      <w:r>
        <w:rPr>
          <w:rFonts w:hint="eastAsia" w:ascii="仿宋" w:hAnsi="仿宋" w:eastAsia="仿宋" w:cs="仿宋"/>
          <w:b/>
          <w:bCs/>
          <w:sz w:val="21"/>
          <w:szCs w:val="21"/>
          <w:highlight w:val="none"/>
        </w:rPr>
        <w:t>第九条</w:t>
      </w:r>
      <w:r>
        <w:rPr>
          <w:rFonts w:hint="eastAsia" w:ascii="仿宋" w:hAnsi="仿宋" w:eastAsia="仿宋" w:cs="仿宋"/>
          <w:b/>
          <w:bCs/>
          <w:sz w:val="21"/>
          <w:szCs w:val="21"/>
          <w:highlight w:val="none"/>
          <w:lang w:val="en-US" w:eastAsia="zh-CN"/>
        </w:rPr>
        <w:t xml:space="preserve">  </w:t>
      </w:r>
      <w:r>
        <w:rPr>
          <w:rFonts w:hint="eastAsia" w:ascii="仿宋" w:hAnsi="仿宋" w:eastAsia="仿宋" w:cs="仿宋"/>
          <w:b/>
          <w:bCs/>
          <w:sz w:val="21"/>
          <w:szCs w:val="21"/>
          <w:highlight w:val="none"/>
        </w:rPr>
        <w:t>保密约定</w:t>
      </w:r>
      <w:bookmarkEnd w:id="2"/>
      <w:bookmarkEnd w:id="3"/>
    </w:p>
    <w:p w14:paraId="3CFA6CDC">
      <w:pPr>
        <w:pStyle w:val="5"/>
        <w:keepNext w:val="0"/>
        <w:keepLines w:val="0"/>
        <w:pageBreakBefore w:val="0"/>
        <w:widowControl w:val="0"/>
        <w:tabs>
          <w:tab w:val="left" w:pos="5625"/>
        </w:tabs>
        <w:kinsoku/>
        <w:wordWrap/>
        <w:overflowPunct/>
        <w:topLinePunct w:val="0"/>
        <w:autoSpaceDE/>
        <w:autoSpaceDN/>
        <w:bidi w:val="0"/>
        <w:adjustRightInd w:val="0"/>
        <w:snapToGrid w:val="0"/>
        <w:spacing w:after="0" w:line="360" w:lineRule="auto"/>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漏。双方均有义务尽其一切努力防止任何第三方窃取秘密信息。由于任何一方违反以上保密义务给对方造成损失，违约方对受损失方负有停止侵害、消除影响、赔偿损失的责任。</w:t>
      </w:r>
    </w:p>
    <w:p w14:paraId="0B99A4CD">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1"/>
        <w:rPr>
          <w:rFonts w:hint="eastAsia" w:ascii="仿宋" w:hAnsi="仿宋" w:eastAsia="仿宋" w:cs="仿宋"/>
          <w:sz w:val="21"/>
          <w:szCs w:val="21"/>
          <w:highlight w:val="none"/>
        </w:rPr>
      </w:pPr>
      <w:bookmarkStart w:id="4" w:name="_Toc7871"/>
      <w:bookmarkStart w:id="5" w:name="_Toc4080"/>
      <w:r>
        <w:rPr>
          <w:rFonts w:hint="eastAsia" w:ascii="仿宋" w:hAnsi="仿宋" w:eastAsia="仿宋" w:cs="仿宋"/>
          <w:b/>
          <w:bCs/>
          <w:sz w:val="21"/>
          <w:szCs w:val="21"/>
          <w:highlight w:val="none"/>
        </w:rPr>
        <w:t xml:space="preserve">第十条  </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1"/>
          <w:szCs w:val="21"/>
          <w:highlight w:val="none"/>
        </w:rPr>
        <w:fldChar w:fldCharType="separate"/>
      </w:r>
      <w:r>
        <w:rPr>
          <w:rFonts w:hint="eastAsia" w:ascii="仿宋" w:hAnsi="仿宋" w:eastAsia="仿宋" w:cs="仿宋"/>
          <w:b/>
          <w:bCs/>
          <w:sz w:val="21"/>
          <w:szCs w:val="21"/>
          <w:highlight w:val="none"/>
        </w:rPr>
        <w:t>不可抗力</w:t>
      </w:r>
      <w:r>
        <w:rPr>
          <w:rFonts w:hint="eastAsia" w:ascii="仿宋" w:hAnsi="仿宋" w:eastAsia="仿宋" w:cs="仿宋"/>
          <w:b/>
          <w:bCs/>
          <w:sz w:val="21"/>
          <w:szCs w:val="21"/>
          <w:highlight w:val="none"/>
        </w:rPr>
        <w:fldChar w:fldCharType="end"/>
      </w:r>
      <w:bookmarkEnd w:id="4"/>
      <w:bookmarkEnd w:id="5"/>
    </w:p>
    <w:p w14:paraId="7EB6243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甲乙双方任何一方由于</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1"/>
          <w:szCs w:val="21"/>
          <w:highlight w:val="none"/>
        </w:rPr>
        <w:fldChar w:fldCharType="separate"/>
      </w:r>
      <w:r>
        <w:rPr>
          <w:rFonts w:hint="eastAsia" w:ascii="仿宋" w:hAnsi="仿宋" w:eastAsia="仿宋" w:cs="仿宋"/>
          <w:sz w:val="21"/>
          <w:szCs w:val="21"/>
          <w:highlight w:val="none"/>
        </w:rPr>
        <w:t>不可抗力</w:t>
      </w:r>
      <w:r>
        <w:rPr>
          <w:rFonts w:hint="eastAsia" w:ascii="仿宋" w:hAnsi="仿宋" w:eastAsia="仿宋" w:cs="仿宋"/>
          <w:sz w:val="21"/>
          <w:szCs w:val="21"/>
          <w:highlight w:val="none"/>
        </w:rPr>
        <w:fldChar w:fldCharType="end"/>
      </w:r>
      <w:r>
        <w:rPr>
          <w:rFonts w:hint="eastAsia" w:ascii="仿宋" w:hAnsi="仿宋" w:eastAsia="仿宋" w:cs="仿宋"/>
          <w:sz w:val="21"/>
          <w:szCs w:val="21"/>
          <w:highlight w:val="none"/>
        </w:rPr>
        <w:t>原因不能履行合同时，应及时向对</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1"/>
          <w:szCs w:val="21"/>
          <w:highlight w:val="none"/>
        </w:rPr>
        <w:fldChar w:fldCharType="separate"/>
      </w:r>
      <w:r>
        <w:rPr>
          <w:rFonts w:hint="eastAsia" w:ascii="仿宋" w:hAnsi="仿宋" w:eastAsia="仿宋" w:cs="仿宋"/>
          <w:sz w:val="21"/>
          <w:szCs w:val="21"/>
          <w:highlight w:val="none"/>
        </w:rPr>
        <w:t>方通</w:t>
      </w:r>
      <w:r>
        <w:rPr>
          <w:rFonts w:hint="eastAsia" w:ascii="仿宋" w:hAnsi="仿宋" w:eastAsia="仿宋" w:cs="仿宋"/>
          <w:sz w:val="21"/>
          <w:szCs w:val="21"/>
          <w:highlight w:val="none"/>
        </w:rPr>
        <w:fldChar w:fldCharType="end"/>
      </w:r>
      <w:r>
        <w:rPr>
          <w:rFonts w:hint="eastAsia" w:ascii="仿宋" w:hAnsi="仿宋" w:eastAsia="仿宋" w:cs="仿宋"/>
          <w:sz w:val="21"/>
          <w:szCs w:val="21"/>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1"/>
          <w:szCs w:val="21"/>
          <w:highlight w:val="none"/>
        </w:rPr>
        <w:fldChar w:fldCharType="separate"/>
      </w:r>
      <w:r>
        <w:rPr>
          <w:rFonts w:hint="eastAsia" w:ascii="仿宋" w:hAnsi="仿宋" w:eastAsia="仿宋" w:cs="仿宋"/>
          <w:sz w:val="21"/>
          <w:szCs w:val="21"/>
          <w:highlight w:val="none"/>
        </w:rPr>
        <w:t>违约责任</w:t>
      </w:r>
      <w:r>
        <w:rPr>
          <w:rFonts w:hint="eastAsia" w:ascii="仿宋" w:hAnsi="仿宋" w:eastAsia="仿宋" w:cs="仿宋"/>
          <w:sz w:val="21"/>
          <w:szCs w:val="21"/>
          <w:highlight w:val="none"/>
        </w:rPr>
        <w:fldChar w:fldCharType="end"/>
      </w:r>
      <w:r>
        <w:rPr>
          <w:rFonts w:hint="eastAsia" w:ascii="仿宋" w:hAnsi="仿宋" w:eastAsia="仿宋" w:cs="仿宋"/>
          <w:sz w:val="21"/>
          <w:szCs w:val="21"/>
          <w:highlight w:val="none"/>
        </w:rPr>
        <w:t>。</w:t>
      </w:r>
    </w:p>
    <w:p w14:paraId="522602BF">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1"/>
        <w:rPr>
          <w:rFonts w:hint="eastAsia" w:ascii="仿宋" w:hAnsi="仿宋" w:eastAsia="仿宋" w:cs="仿宋"/>
          <w:b/>
          <w:bCs/>
          <w:sz w:val="21"/>
          <w:szCs w:val="21"/>
          <w:highlight w:val="none"/>
        </w:rPr>
      </w:pPr>
      <w:bookmarkStart w:id="6" w:name="_Toc27158"/>
      <w:bookmarkStart w:id="7" w:name="_Toc20228"/>
      <w:r>
        <w:rPr>
          <w:rFonts w:hint="eastAsia" w:ascii="仿宋" w:hAnsi="仿宋" w:eastAsia="仿宋" w:cs="仿宋"/>
          <w:b/>
          <w:bCs/>
          <w:sz w:val="21"/>
          <w:szCs w:val="21"/>
          <w:highlight w:val="none"/>
        </w:rPr>
        <w:t>第十一条  争议解决</w:t>
      </w:r>
      <w:bookmarkEnd w:id="6"/>
      <w:bookmarkEnd w:id="7"/>
    </w:p>
    <w:p w14:paraId="6291D0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双方本着友好合作的态度,对合同履行过程中发生的纠纷应及时协商解决，协商不成的，向甲方所在地有管辖权的人民法院诉讼解决。</w:t>
      </w:r>
    </w:p>
    <w:p w14:paraId="49B0D74B">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1"/>
        <w:rPr>
          <w:rFonts w:hint="eastAsia" w:ascii="仿宋" w:hAnsi="仿宋" w:eastAsia="仿宋" w:cs="仿宋"/>
          <w:b/>
          <w:bCs/>
          <w:sz w:val="21"/>
          <w:szCs w:val="21"/>
          <w:highlight w:val="none"/>
        </w:rPr>
      </w:pPr>
      <w:bookmarkStart w:id="8" w:name="_Toc27655"/>
      <w:bookmarkStart w:id="9" w:name="_Toc18936"/>
      <w:r>
        <w:rPr>
          <w:rFonts w:hint="eastAsia" w:ascii="仿宋" w:hAnsi="仿宋" w:eastAsia="仿宋" w:cs="仿宋"/>
          <w:b/>
          <w:bCs/>
          <w:sz w:val="21"/>
          <w:szCs w:val="21"/>
          <w:highlight w:val="none"/>
        </w:rPr>
        <w:t>第十二条  监督和管理</w:t>
      </w:r>
      <w:bookmarkEnd w:id="8"/>
      <w:bookmarkEnd w:id="9"/>
    </w:p>
    <w:p w14:paraId="0DAD657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451BF14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2、甲乙双方均应自觉配合有关监督管理部门对</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sz w:val="21"/>
          <w:szCs w:val="21"/>
          <w:highlight w:val="none"/>
        </w:rPr>
        <w:fldChar w:fldCharType="separate"/>
      </w:r>
      <w:r>
        <w:rPr>
          <w:rFonts w:hint="eastAsia" w:ascii="仿宋" w:hAnsi="仿宋" w:eastAsia="仿宋" w:cs="仿宋"/>
          <w:sz w:val="21"/>
          <w:szCs w:val="21"/>
          <w:highlight w:val="none"/>
        </w:rPr>
        <w:t>合同履行</w:t>
      </w:r>
      <w:r>
        <w:rPr>
          <w:rFonts w:hint="eastAsia" w:ascii="仿宋" w:hAnsi="仿宋" w:eastAsia="仿宋" w:cs="仿宋"/>
          <w:sz w:val="21"/>
          <w:szCs w:val="21"/>
          <w:highlight w:val="none"/>
        </w:rPr>
        <w:fldChar w:fldCharType="end"/>
      </w:r>
      <w:r>
        <w:rPr>
          <w:rFonts w:hint="eastAsia" w:ascii="仿宋" w:hAnsi="仿宋" w:eastAsia="仿宋" w:cs="仿宋"/>
          <w:sz w:val="21"/>
          <w:szCs w:val="21"/>
          <w:highlight w:val="none"/>
        </w:rPr>
        <w:t>情况的监督检查，如实反映情况，提供有关资料；否则，将对有关单位、当事人按照有关规定予以处罚。</w:t>
      </w:r>
    </w:p>
    <w:p w14:paraId="7EE3BDB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1"/>
        <w:rPr>
          <w:rFonts w:hint="eastAsia" w:ascii="仿宋" w:hAnsi="仿宋" w:eastAsia="仿宋" w:cs="仿宋"/>
          <w:b/>
          <w:bCs/>
          <w:sz w:val="21"/>
          <w:szCs w:val="21"/>
          <w:highlight w:val="none"/>
        </w:rPr>
      </w:pPr>
      <w:bookmarkStart w:id="10" w:name="_Toc28165"/>
      <w:bookmarkStart w:id="11" w:name="_Toc18040"/>
      <w:r>
        <w:rPr>
          <w:rFonts w:hint="eastAsia" w:ascii="仿宋" w:hAnsi="仿宋" w:eastAsia="仿宋" w:cs="仿宋"/>
          <w:b/>
          <w:bCs/>
          <w:sz w:val="21"/>
          <w:szCs w:val="21"/>
          <w:highlight w:val="none"/>
        </w:rPr>
        <w:t>第十三条</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sz w:val="21"/>
          <w:szCs w:val="21"/>
          <w:highlight w:val="none"/>
        </w:rPr>
        <w:fldChar w:fldCharType="separate"/>
      </w:r>
      <w:r>
        <w:rPr>
          <w:rFonts w:hint="eastAsia" w:ascii="仿宋" w:hAnsi="仿宋" w:eastAsia="仿宋" w:cs="仿宋"/>
          <w:b/>
          <w:bCs/>
          <w:sz w:val="21"/>
          <w:szCs w:val="21"/>
          <w:highlight w:val="none"/>
        </w:rPr>
        <w:t>无效合同</w:t>
      </w:r>
      <w:r>
        <w:rPr>
          <w:rFonts w:hint="eastAsia" w:ascii="仿宋" w:hAnsi="仿宋" w:eastAsia="仿宋" w:cs="仿宋"/>
          <w:b/>
          <w:bCs/>
          <w:sz w:val="21"/>
          <w:szCs w:val="21"/>
          <w:highlight w:val="none"/>
        </w:rPr>
        <w:fldChar w:fldCharType="end"/>
      </w:r>
      <w:bookmarkEnd w:id="10"/>
      <w:bookmarkEnd w:id="11"/>
    </w:p>
    <w:p w14:paraId="753B3A4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甲乙双方如因违反政府采购法及相关法律法规的规定，被宣告</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sz w:val="21"/>
          <w:szCs w:val="21"/>
          <w:highlight w:val="none"/>
        </w:rPr>
        <w:fldChar w:fldCharType="separate"/>
      </w:r>
      <w:r>
        <w:rPr>
          <w:rFonts w:hint="eastAsia" w:ascii="仿宋" w:hAnsi="仿宋" w:eastAsia="仿宋" w:cs="仿宋"/>
          <w:sz w:val="21"/>
          <w:szCs w:val="21"/>
          <w:highlight w:val="none"/>
        </w:rPr>
        <w:t>合同无效</w:t>
      </w:r>
      <w:r>
        <w:rPr>
          <w:rFonts w:hint="eastAsia" w:ascii="仿宋" w:hAnsi="仿宋" w:eastAsia="仿宋" w:cs="仿宋"/>
          <w:sz w:val="21"/>
          <w:szCs w:val="21"/>
          <w:highlight w:val="none"/>
        </w:rPr>
        <w:fldChar w:fldCharType="end"/>
      </w:r>
      <w:r>
        <w:rPr>
          <w:rFonts w:hint="eastAsia" w:ascii="仿宋" w:hAnsi="仿宋" w:eastAsia="仿宋" w:cs="仿宋"/>
          <w:sz w:val="21"/>
          <w:szCs w:val="21"/>
          <w:highlight w:val="none"/>
        </w:rPr>
        <w:t>的，一切责任概由过错方自行承担。</w:t>
      </w:r>
    </w:p>
    <w:p w14:paraId="4C1079E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1"/>
        <w:rPr>
          <w:rFonts w:hint="eastAsia" w:ascii="仿宋" w:hAnsi="仿宋" w:eastAsia="仿宋" w:cs="仿宋"/>
          <w:b/>
          <w:bCs/>
          <w:sz w:val="21"/>
          <w:szCs w:val="21"/>
          <w:highlight w:val="none"/>
        </w:rPr>
      </w:pPr>
      <w:bookmarkStart w:id="12" w:name="_Toc24160"/>
      <w:bookmarkStart w:id="13" w:name="_Toc4547"/>
      <w:r>
        <w:rPr>
          <w:rFonts w:hint="eastAsia" w:ascii="仿宋" w:hAnsi="仿宋" w:eastAsia="仿宋" w:cs="仿宋"/>
          <w:b/>
          <w:bCs/>
          <w:sz w:val="21"/>
          <w:szCs w:val="21"/>
          <w:highlight w:val="none"/>
        </w:rPr>
        <w:t>第十四条附则</w:t>
      </w:r>
      <w:bookmarkEnd w:id="12"/>
      <w:bookmarkEnd w:id="13"/>
    </w:p>
    <w:p w14:paraId="7C391EF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1、本次采购项目的磋商文件、响应文件、中标通知书及澄清说明文件均为本合同的组成部分，甲、乙双方必须全面遵守，如有违反，应承担违约责任。</w:t>
      </w:r>
    </w:p>
    <w:p w14:paraId="6AB0CAB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2、本合同一式陆份，甲乙双方各执</w:t>
      </w:r>
      <w:r>
        <w:rPr>
          <w:rFonts w:hint="eastAsia" w:ascii="仿宋" w:hAnsi="仿宋" w:eastAsia="仿宋" w:cs="仿宋"/>
          <w:sz w:val="21"/>
          <w:szCs w:val="21"/>
          <w:highlight w:val="none"/>
          <w:lang w:val="en-US" w:eastAsia="zh-CN"/>
        </w:rPr>
        <w:t>叁</w:t>
      </w:r>
      <w:r>
        <w:rPr>
          <w:rFonts w:hint="eastAsia" w:ascii="仿宋" w:hAnsi="仿宋" w:eastAsia="仿宋" w:cs="仿宋"/>
          <w:sz w:val="21"/>
          <w:szCs w:val="21"/>
          <w:highlight w:val="none"/>
        </w:rPr>
        <w:t>份。</w:t>
      </w:r>
    </w:p>
    <w:p w14:paraId="2484E3D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3、本合同自签订之日起生效。</w:t>
      </w:r>
    </w:p>
    <w:p w14:paraId="65256337">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4、附件：</w:t>
      </w:r>
      <w:r>
        <w:rPr>
          <w:rFonts w:hint="eastAsia" w:ascii="仿宋" w:hAnsi="仿宋" w:eastAsia="仿宋" w:cs="仿宋"/>
          <w:color w:val="auto"/>
          <w:sz w:val="21"/>
          <w:szCs w:val="21"/>
          <w:highlight w:val="none"/>
          <w:u w:val="single"/>
          <w:lang w:val="en-US" w:eastAsia="zh-CN"/>
        </w:rPr>
        <w:t>抽测项目单价表</w:t>
      </w:r>
    </w:p>
    <w:p w14:paraId="01775940">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p>
    <w:p w14:paraId="577C5763">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采购人(甲方)：                 供应商(乙方)：         </w:t>
      </w:r>
    </w:p>
    <w:p w14:paraId="67051DD4">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或                   </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或：             </w:t>
      </w:r>
    </w:p>
    <w:p w14:paraId="736C0BA5">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委托代理人</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（签字或盖章）：     </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委托代理人</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（签字或盖章）：      </w:t>
      </w:r>
    </w:p>
    <w:p w14:paraId="7D55328D">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开户银行</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                   </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开户银行</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               </w:t>
      </w:r>
    </w:p>
    <w:p w14:paraId="6A4579B0">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帐    号：                   帐    号：               </w:t>
      </w:r>
    </w:p>
    <w:p w14:paraId="2CA4C422">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电    话：                   电    话：               </w:t>
      </w:r>
    </w:p>
    <w:p w14:paraId="30AF646F">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    址：                   地    址：                </w:t>
      </w:r>
    </w:p>
    <w:p w14:paraId="166FD69E">
      <w:pPr>
        <w:keepNext w:val="0"/>
        <w:keepLines w:val="0"/>
        <w:pageBreakBefore w:val="0"/>
        <w:kinsoku/>
        <w:wordWrap/>
        <w:overflowPunct/>
        <w:topLinePunct w:val="0"/>
        <w:bidi w:val="0"/>
        <w:adjustRightInd w:val="0"/>
        <w:snapToGrid w:val="0"/>
        <w:spacing w:line="348" w:lineRule="auto"/>
        <w:ind w:firstLine="420" w:firstLineChars="200"/>
        <w:rPr>
          <w:rFonts w:hint="eastAsia" w:ascii="仿宋" w:hAnsi="仿宋" w:eastAsia="仿宋" w:cs="仿宋"/>
          <w:sz w:val="21"/>
          <w:szCs w:val="21"/>
        </w:rPr>
      </w:pPr>
      <w:r>
        <w:rPr>
          <w:rFonts w:hint="eastAsia" w:ascii="仿宋" w:hAnsi="仿宋" w:eastAsia="仿宋" w:cs="仿宋"/>
          <w:color w:val="auto"/>
          <w:sz w:val="21"/>
          <w:szCs w:val="21"/>
          <w:highlight w:val="none"/>
        </w:rPr>
        <w:t>时    间：  年月日       时    间： 年月日</w:t>
      </w:r>
    </w:p>
    <w:bookmarkEnd w:id="0"/>
    <w:bookmarkEnd w:id="1"/>
    <w:p w14:paraId="06922A36">
      <w:pPr>
        <w:pStyle w:val="15"/>
        <w:rPr>
          <w:rFonts w:hint="eastAsia" w:ascii="仿宋" w:hAnsi="仿宋" w:eastAsia="仿宋" w:cs="仿宋"/>
          <w:color w:val="000000" w:themeColor="text1"/>
          <w:u w:val="none"/>
          <w14:textFill>
            <w14:solidFill>
              <w14:schemeClr w14:val="tx1"/>
            </w14:solidFill>
          </w14:textFill>
        </w:rPr>
      </w:pPr>
    </w:p>
    <w:p w14:paraId="0C0B7A11">
      <w:pPr>
        <w:pStyle w:val="3"/>
        <w:numPr>
          <w:ilvl w:val="0"/>
          <w:numId w:val="0"/>
        </w:numPr>
        <w:shd w:val="clear"/>
        <w:ind w:left="0" w:leftChars="0"/>
      </w:pPr>
      <w:bookmarkStart w:id="14" w:name="_GoBack"/>
      <w:bookmarkEnd w:id="14"/>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AGYXIQ+Frutiger-Cn">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371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CEAD40">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CEAD40">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60123"/>
    <w:rsid w:val="1EF60123"/>
    <w:rsid w:val="310600FC"/>
    <w:rsid w:val="321005AF"/>
    <w:rsid w:val="39A74E22"/>
    <w:rsid w:val="48AD0A60"/>
    <w:rsid w:val="61F12AC0"/>
    <w:rsid w:val="6EA27F90"/>
    <w:rsid w:val="7B8D2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1"/>
    <w:uiPriority w:val="0"/>
    <w:pPr>
      <w:spacing w:after="120" w:afterLines="0" w:afterAutospacing="0"/>
    </w:pPr>
  </w:style>
  <w:style w:type="paragraph" w:styleId="4">
    <w:name w:val="Plain Text"/>
    <w:basedOn w:val="1"/>
    <w:qFormat/>
    <w:uiPriority w:val="0"/>
    <w:rPr>
      <w:rFonts w:ascii="宋体" w:hAnsi="Courier New" w:cs="Courier New"/>
      <w:szCs w:val="21"/>
    </w:rPr>
  </w:style>
  <w:style w:type="paragraph" w:styleId="5">
    <w:name w:val="Body Text Indent 2"/>
    <w:basedOn w:val="1"/>
    <w:qFormat/>
    <w:uiPriority w:val="0"/>
    <w:pPr>
      <w:spacing w:after="120" w:line="480" w:lineRule="auto"/>
      <w:ind w:left="20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1"/>
    <w:uiPriority w:val="0"/>
    <w:pPr>
      <w:ind w:firstLine="420" w:firstLineChars="100"/>
    </w:pPr>
  </w:style>
  <w:style w:type="table" w:styleId="10">
    <w:name w:val="Table Grid"/>
    <w:basedOn w:val="9"/>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Table Text"/>
    <w:basedOn w:val="1"/>
    <w:semiHidden/>
    <w:qFormat/>
    <w:uiPriority w:val="0"/>
    <w:rPr>
      <w:rFonts w:ascii="宋体" w:hAnsi="宋体" w:eastAsia="宋体" w:cs="宋体"/>
      <w:sz w:val="19"/>
      <w:szCs w:val="19"/>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正文空2格  1."/>
    <w:basedOn w:val="1"/>
    <w:autoRedefine/>
    <w:qFormat/>
    <w:uiPriority w:val="0"/>
    <w:pPr>
      <w:adjustRightInd w:val="0"/>
      <w:spacing w:line="360" w:lineRule="auto"/>
      <w:ind w:firstLine="480" w:firstLineChars="200"/>
      <w:textAlignment w:val="baseline"/>
    </w:pPr>
    <w:rPr>
      <w:rFonts w:ascii="宋体" w:eastAsia="仿宋" w:cs="宋体"/>
      <w:kern w:val="0"/>
      <w:sz w:val="28"/>
    </w:rPr>
  </w:style>
  <w:style w:type="paragraph" w:customStyle="1" w:styleId="15">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2026-01-12T03:05:00Z</dcterms:created>
  <dc:creator>1</dc:creator>
  <cp:lastModifiedBy>1</cp:lastModifiedBy>
  <dcterms:modified xsi:type="dcterms:W3CDTF">2026-01-12T03:09:20Z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7CAB4A0975F44313A4DBD0ECAFAB1304_13</vt:lpwstr>
  </property>
  <property fmtid="{D5CDD505-2E9C-101B-9397-08002B2CF9AE}" pid="4" name="KSOTemplateDocerSaveRecord">
    <vt:lpwstr>eyJoZGlkIjoiYWRjNjA3YjNkZTkyNDk4OTI5YWU2YmU2MzVkMmI4MTAiLCJ1c2VySWQiOiI0ODU3MDc4MjgifQ==</vt:lpwstr>
  </property>
</Properties>
</file>