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版本号：HRC-ZBDL-2026-0030720260327001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莲湖区农兴路、大白杨南路和建中巷雨污分流改造工程施工图设计服务项目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HRC-ZBDL-2026-00307</w:t>
      </w:r>
      <w:r>
        <w:br/>
      </w:r>
      <w:r>
        <w:br/>
      </w:r>
      <w:r>
        <w:br/>
      </w:r>
    </w:p>
    <w:p>
      <w:pPr>
        <w:pStyle w:val="null3"/>
        <w:jc w:val="center"/>
        <w:outlineLvl w:val="2"/>
      </w:pPr>
      <w:r>
        <w:rPr>
          <w:rFonts w:ascii="仿宋_GB2312" w:hAnsi="仿宋_GB2312" w:cs="仿宋_GB2312" w:eastAsia="仿宋_GB2312"/>
          <w:sz w:val="28"/>
          <w:b/>
        </w:rPr>
        <w:t>西安大兴新区开发建设管理委员会</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西安大兴新区开发建设管理委员会</w:t>
      </w:r>
      <w:r>
        <w:rPr>
          <w:rFonts w:ascii="仿宋_GB2312" w:hAnsi="仿宋_GB2312" w:cs="仿宋_GB2312" w:eastAsia="仿宋_GB2312"/>
        </w:rPr>
        <w:t>委托，拟对</w:t>
      </w:r>
      <w:r>
        <w:rPr>
          <w:rFonts w:ascii="仿宋_GB2312" w:hAnsi="仿宋_GB2312" w:cs="仿宋_GB2312" w:eastAsia="仿宋_GB2312"/>
        </w:rPr>
        <w:t>莲湖区农兴路、大白杨南路和建中巷雨污分流改造工程施工图设计服务项目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HRC-ZBDL-2026-00307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莲湖区农兴路、大白杨南路和建中巷雨污分流改造工程施工图设计服务项目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莲湖区农兴路、大白杨南路和建中巷雨污分流改造工程，项目道路长度约1.75千米，改建管道长度约2.8千米。其中：农兴路（文景南路-未央路）新建d1000-d1500mm 雨水管网769m、d500mm 污水管网690m；大白杨南路（梨园路-大兴东路）新建d600-d1000mm雨水管网 635m；建中巷（西站路-大庆路）新建d500-d600mm 雨水管网370m、d400mm 污水管网321m。 依据工程建设程序，启动莲湖区农兴路、大白杨南路和建中巷雨污分流改造工程施工图设计。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采购包1（莲湖区农兴路、大白杨南路和建中巷雨污分流改造工程施工图设计服务）：属于专门面向中小企业采购。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 或自然人，提供合法有效的营业执照、事业单位法人证书、专业服务机构执业许可证或民办 非企业单位登记证书等相关证明， 自然人参与 的提供其身份证明；</w:t>
      </w:r>
    </w:p>
    <w:p>
      <w:pPr>
        <w:pStyle w:val="null3"/>
      </w:pPr>
      <w:r>
        <w:rPr>
          <w:rFonts w:ascii="仿宋_GB2312" w:hAnsi="仿宋_GB2312" w:cs="仿宋_GB2312" w:eastAsia="仿宋_GB2312"/>
        </w:rPr>
        <w:t>2、授权委托书：法定代表人授权书（附法定代表人、被授权人身份证复印件及被授权人磋商前三个月内任意一个月在本单位的社保缴纳证明），法定代表人直接参加磋商，须提供法定代表人身份证明；</w:t>
      </w:r>
    </w:p>
    <w:p>
      <w:pPr>
        <w:pStyle w:val="null3"/>
      </w:pPr>
      <w:r>
        <w:rPr>
          <w:rFonts w:ascii="仿宋_GB2312" w:hAnsi="仿宋_GB2312" w:cs="仿宋_GB2312" w:eastAsia="仿宋_GB2312"/>
        </w:rPr>
        <w:t>3、没有重大违法记录的书面声明：参加政府采购活动前3年内，在经营活动中没有 重大违法记录的书面声明；</w:t>
      </w:r>
    </w:p>
    <w:p>
      <w:pPr>
        <w:pStyle w:val="null3"/>
      </w:pPr>
      <w:r>
        <w:rPr>
          <w:rFonts w:ascii="仿宋_GB2312" w:hAnsi="仿宋_GB2312" w:cs="仿宋_GB2312" w:eastAsia="仿宋_GB2312"/>
        </w:rPr>
        <w:t>4、供应商资质：供应商具有建设行政主管部门颁发的工程设计综合资质甲级或市政行业设计乙级及以上资质或市政行业(排水工程专业)乙级及以上资质；</w:t>
      </w:r>
    </w:p>
    <w:p>
      <w:pPr>
        <w:pStyle w:val="null3"/>
      </w:pPr>
      <w:r>
        <w:rPr>
          <w:rFonts w:ascii="仿宋_GB2312" w:hAnsi="仿宋_GB2312" w:cs="仿宋_GB2312" w:eastAsia="仿宋_GB2312"/>
        </w:rPr>
        <w:t>5、项目负责人：拟派项目负责人应具备公用设备(给水排水)专业注册执业资格证书或给排水专业高级及以上技术职称证书，且在本单位注册；</w:t>
      </w:r>
    </w:p>
    <w:p>
      <w:pPr>
        <w:pStyle w:val="null3"/>
      </w:pPr>
      <w:r>
        <w:rPr>
          <w:rFonts w:ascii="仿宋_GB2312" w:hAnsi="仿宋_GB2312" w:cs="仿宋_GB2312" w:eastAsia="仿宋_GB2312"/>
        </w:rPr>
        <w:t>6、财务状况报告：提供2024年度或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7、税收缴纳证明：提供投标截止日前六个月内任意一个月的纳税证明或完税证明（增值税、印花税、城市维护建设费、企业所得税等一种或多种税种），依法免税的单位提供相关证明材料；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8、社会保障资金缴纳证明：提供投标截止日前六个月内任意一个月的社保资金交纳证明，依法不需要缴纳社保资金的单位提供相关证明材料；</w:t>
      </w:r>
    </w:p>
    <w:p>
      <w:pPr>
        <w:pStyle w:val="null3"/>
      </w:pPr>
      <w:r>
        <w:rPr>
          <w:rFonts w:ascii="仿宋_GB2312" w:hAnsi="仿宋_GB2312" w:cs="仿宋_GB2312" w:eastAsia="仿宋_GB2312"/>
        </w:rPr>
        <w:t>9、信誉截图：供应商不得为“信用中国”网站（www.creditch ina.gov.cn）中列入严重失信主体名单，供应 商不得为“中国执行信息公开网”（http://zxgk. court.gov.cn/shixin/） 中列入严重失信被执 行人，供应商不得为政府采购严重违法失信行 为记录名单的供应商，（提供查询结果网页截图）；</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陕西省西安市莲湖区西安市莲湖区沣惠北路123号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029-89373387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18066891049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文件收费标准*90%计取，由成交人在领取成交通知书前向代理机构支付。 2、招标代理服务费以转账或现金形式缴纳至以下账户： 开户名称：华睿诚项目管理有限公司 开户银行：西安银行小寨东路支行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西安大兴新区开发建设管理委员会</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联系人：周泉</w:t>
      </w:r>
    </w:p>
    <w:p>
      <w:pPr>
        <w:pStyle w:val="null3"/>
      </w:pPr>
      <w:r>
        <w:rPr>
          <w:rFonts w:ascii="仿宋_GB2312" w:hAnsi="仿宋_GB2312" w:cs="仿宋_GB2312" w:eastAsia="仿宋_GB2312"/>
        </w:rPr>
        <w:t>联系电话：18066891049</w:t>
      </w:r>
    </w:p>
    <w:p>
      <w:pPr>
        <w:pStyle w:val="null3"/>
      </w:pPr>
      <w:r>
        <w:rPr>
          <w:rFonts w:ascii="仿宋_GB2312" w:hAnsi="仿宋_GB2312" w:cs="仿宋_GB2312" w:eastAsia="仿宋_GB2312"/>
        </w:rPr>
        <w:t>地址：西安市曲江新城区雁翔路3269号【旺座·曲江】E座29层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莲湖区农兴路、大白杨南路和建中巷雨污分流改造工程，项目道路长度约1.75千米，改建管道长度约2.8千米。其中：农兴路（文景南路-未央路）新建d1000-d1500mm 雨水管网769m、d500mm 污水管网690m；大白杨南路（梨园路-大兴东路）新建d600-d1000mm雨水管网 635m；建中巷（西站路-大庆路）新建d500-d600mm 雨水管网370m、d400mm 污水管网321m。依据工程建设程序，启动莲湖区农兴路、大白杨南路和建中巷雨污分流改造工程施工图设计。具体工作量，以实际委托为准。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377,900.00</w:t>
      </w:r>
    </w:p>
    <w:p>
      <w:pPr>
        <w:pStyle w:val="null3"/>
      </w:pPr>
      <w:r>
        <w:rPr>
          <w:rFonts w:ascii="仿宋_GB2312" w:hAnsi="仿宋_GB2312" w:cs="仿宋_GB2312" w:eastAsia="仿宋_GB2312"/>
        </w:rPr>
        <w:t>采购包最高限价（元）: 377,880.00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莲湖区农兴路大白杨南路和建中巷雨污分流改造工程施工图设计服务项目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377,900.00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标的名称：莲湖区农兴路大白杨南路和建中巷雨污分流改造工程施工图设计服务项目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color w:val="000000"/>
              </w:rPr>
              <w:t>一.设计依据</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编制施工图要求</w:t>
            </w:r>
          </w:p>
          <w:p>
            <w:pPr>
              <w:pStyle w:val="null3"/>
              <w:ind w:firstLine="420"/>
            </w:pPr>
            <w:r>
              <w:rPr>
                <w:rFonts w:ascii="仿宋_GB2312" w:hAnsi="仿宋_GB2312" w:cs="仿宋_GB2312" w:eastAsia="仿宋_GB2312"/>
                <w:sz w:val="21"/>
                <w:color w:val="000000"/>
              </w:rPr>
              <w:t>《城市工程管线综合规划规范》（GB50289-2016）</w:t>
            </w:r>
          </w:p>
          <w:p>
            <w:pPr>
              <w:pStyle w:val="null3"/>
              <w:ind w:firstLine="420"/>
            </w:pPr>
            <w:r>
              <w:rPr>
                <w:rFonts w:ascii="仿宋_GB2312" w:hAnsi="仿宋_GB2312" w:cs="仿宋_GB2312" w:eastAsia="仿宋_GB2312"/>
                <w:sz w:val="21"/>
                <w:color w:val="000000"/>
              </w:rPr>
              <w:t>《城市排水工程规划规范》（GB50318-2017）</w:t>
            </w:r>
          </w:p>
          <w:p>
            <w:pPr>
              <w:pStyle w:val="null3"/>
              <w:ind w:firstLine="420"/>
            </w:pPr>
            <w:r>
              <w:rPr>
                <w:rFonts w:ascii="仿宋_GB2312" w:hAnsi="仿宋_GB2312" w:cs="仿宋_GB2312" w:eastAsia="仿宋_GB2312"/>
                <w:sz w:val="21"/>
                <w:color w:val="000000"/>
              </w:rPr>
              <w:t>《室外排水设计标准》（GB50014-2021）</w:t>
            </w:r>
          </w:p>
          <w:p>
            <w:pPr>
              <w:pStyle w:val="null3"/>
              <w:ind w:firstLine="420"/>
            </w:pPr>
            <w:r>
              <w:rPr>
                <w:rFonts w:ascii="仿宋_GB2312" w:hAnsi="仿宋_GB2312" w:cs="仿宋_GB2312" w:eastAsia="仿宋_GB2312"/>
                <w:sz w:val="21"/>
                <w:color w:val="000000"/>
              </w:rPr>
              <w:t>《市政公用工程设计文件编制深度规定》（住建部[2013]57 号）</w:t>
            </w:r>
          </w:p>
          <w:p>
            <w:pPr>
              <w:pStyle w:val="null3"/>
              <w:ind w:firstLine="420"/>
            </w:pPr>
            <w:r>
              <w:rPr>
                <w:rFonts w:ascii="仿宋_GB2312" w:hAnsi="仿宋_GB2312" w:cs="仿宋_GB2312" w:eastAsia="仿宋_GB2312"/>
                <w:sz w:val="21"/>
                <w:color w:val="000000"/>
              </w:rPr>
              <w:t>《城镇污水处理厂污染物排放标准》（GB18918-2002)</w:t>
            </w:r>
          </w:p>
          <w:p>
            <w:pPr>
              <w:pStyle w:val="null3"/>
              <w:ind w:firstLine="420"/>
            </w:pPr>
            <w:r>
              <w:rPr>
                <w:rFonts w:ascii="仿宋_GB2312" w:hAnsi="仿宋_GB2312" w:cs="仿宋_GB2312" w:eastAsia="仿宋_GB2312"/>
                <w:sz w:val="21"/>
                <w:color w:val="000000"/>
              </w:rPr>
              <w:t>《湿陷性黄土地区建筑标准》（GB500025－2018）</w:t>
            </w:r>
          </w:p>
          <w:p>
            <w:pPr>
              <w:pStyle w:val="null3"/>
              <w:ind w:firstLine="420"/>
            </w:pPr>
            <w:r>
              <w:rPr>
                <w:rFonts w:ascii="仿宋_GB2312" w:hAnsi="仿宋_GB2312" w:cs="仿宋_GB2312" w:eastAsia="仿宋_GB2312"/>
                <w:sz w:val="21"/>
                <w:color w:val="000000"/>
              </w:rPr>
              <w:t>《混凝土和钢筋混凝土排水管》（GB/T11836－2023）</w:t>
            </w:r>
          </w:p>
          <w:p>
            <w:pPr>
              <w:pStyle w:val="null3"/>
              <w:ind w:firstLine="420"/>
            </w:pPr>
            <w:r>
              <w:rPr>
                <w:rFonts w:ascii="仿宋_GB2312" w:hAnsi="仿宋_GB2312" w:cs="仿宋_GB2312" w:eastAsia="仿宋_GB2312"/>
                <w:sz w:val="21"/>
                <w:color w:val="000000"/>
              </w:rPr>
              <w:t>《污水排入城镇下水道水质标准》（GB/T31962-2015）</w:t>
            </w:r>
          </w:p>
          <w:p>
            <w:pPr>
              <w:pStyle w:val="null3"/>
              <w:ind w:firstLine="420"/>
            </w:pPr>
            <w:r>
              <w:rPr>
                <w:rFonts w:ascii="仿宋_GB2312" w:hAnsi="仿宋_GB2312" w:cs="仿宋_GB2312" w:eastAsia="仿宋_GB2312"/>
                <w:sz w:val="21"/>
                <w:color w:val="000000"/>
              </w:rPr>
              <w:t>《排水管（渠）工程施工质量检验标准》（DBJ01-13-2014）</w:t>
            </w:r>
          </w:p>
          <w:p>
            <w:pPr>
              <w:pStyle w:val="null3"/>
              <w:ind w:firstLine="420"/>
            </w:pPr>
            <w:r>
              <w:rPr>
                <w:rFonts w:ascii="仿宋_GB2312" w:hAnsi="仿宋_GB2312" w:cs="仿宋_GB2312" w:eastAsia="仿宋_GB2312"/>
                <w:sz w:val="21"/>
                <w:color w:val="000000"/>
              </w:rPr>
              <w:t>《城市道路工程设计规范》(CJJ37-2012)</w:t>
            </w:r>
          </w:p>
          <w:p>
            <w:pPr>
              <w:pStyle w:val="null3"/>
              <w:ind w:firstLine="420"/>
            </w:pPr>
            <w:r>
              <w:rPr>
                <w:rFonts w:ascii="仿宋_GB2312" w:hAnsi="仿宋_GB2312" w:cs="仿宋_GB2312" w:eastAsia="仿宋_GB2312"/>
                <w:sz w:val="21"/>
                <w:color w:val="000000"/>
              </w:rPr>
              <w:t>《城市道路路线设计规范》（CJJ193-2012）</w:t>
            </w:r>
          </w:p>
          <w:p>
            <w:pPr>
              <w:pStyle w:val="null3"/>
              <w:ind w:firstLine="420"/>
            </w:pPr>
            <w:r>
              <w:rPr>
                <w:rFonts w:ascii="仿宋_GB2312" w:hAnsi="仿宋_GB2312" w:cs="仿宋_GB2312" w:eastAsia="仿宋_GB2312"/>
                <w:sz w:val="21"/>
                <w:color w:val="000000"/>
              </w:rPr>
              <w:t>《城镇道路路面设计规范》（CJJ169-2012）</w:t>
            </w:r>
          </w:p>
          <w:p>
            <w:pPr>
              <w:pStyle w:val="null3"/>
              <w:ind w:firstLine="420"/>
            </w:pPr>
            <w:r>
              <w:rPr>
                <w:rFonts w:ascii="仿宋_GB2312" w:hAnsi="仿宋_GB2312" w:cs="仿宋_GB2312" w:eastAsia="仿宋_GB2312"/>
                <w:sz w:val="21"/>
                <w:color w:val="000000"/>
              </w:rPr>
              <w:t>《城市道路路基设计规范》(CJJ194-2013）</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设计应符合道路、排水及其它相关专业的现行技术规范，以及西安市道路、排水规划的要求。</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设计应符合《西安城市总体规划（2008-2020年）修改》、《</w:t>
            </w:r>
            <w:r>
              <w:rPr>
                <w:rFonts w:ascii="仿宋_GB2312" w:hAnsi="仿宋_GB2312" w:cs="仿宋_GB2312" w:eastAsia="仿宋_GB2312"/>
                <w:sz w:val="21"/>
                <w:color w:val="000000"/>
              </w:rPr>
              <w:t>市政公用工程设计文件编制深度规</w:t>
            </w:r>
            <w:r>
              <w:rPr>
                <w:rFonts w:ascii="仿宋_GB2312" w:hAnsi="仿宋_GB2312" w:cs="仿宋_GB2312" w:eastAsia="仿宋_GB2312"/>
                <w:sz w:val="21"/>
                <w:color w:val="000000"/>
              </w:rPr>
              <w:t>定》、《市政工程设计技术管理标准》中的设计文件组成及深度要求。</w:t>
            </w:r>
          </w:p>
          <w:p>
            <w:pPr>
              <w:pStyle w:val="null3"/>
              <w:ind w:firstLine="420"/>
            </w:pPr>
            <w:r>
              <w:rPr>
                <w:rFonts w:ascii="仿宋_GB2312" w:hAnsi="仿宋_GB2312" w:cs="仿宋_GB2312" w:eastAsia="仿宋_GB2312"/>
                <w:sz w:val="21"/>
                <w:color w:val="000000"/>
              </w:rPr>
              <w:t>二.设计要求</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）设计前期开展踏勘、走访，充分了解拟建场地周边环境条件。</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）在确保安全的前提下，兼顾经济性及施工工期要求，设计方案尽可能体现绿色环保理念，有条件时使用新材料及新技术。</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）做好施工过程中的技术咨询及配合服务工作。</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）高度重视设计工作，合理安排项目设计人员，保证设计标准和图纸质量。项目开展之初按要求提交项目设计人员表，确定项目负责人。</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在设计阶段根据安排完成设计图纸的汇报、修改等工作，在施工招标阶段配合相关部门完成图纸的答疑、解释及对接工作，在项目实施阶段积极配合进行现场服务工作，按时出具设计变更文件，遇工程突发事件时，需随时到现场进行服务。</w:t>
            </w:r>
          </w:p>
          <w:p>
            <w:pPr>
              <w:pStyle w:val="null3"/>
              <w:ind w:firstLine="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）设计时根据实际情况结合标准规范要求明确具体内容和取值，避免出现“建议”、“宜”等难以判别、模棱两可的表述，尽量避免采用范围区间的表述方式，便于后期成本核算和施工管理。</w:t>
            </w:r>
          </w:p>
          <w:p>
            <w:pPr>
              <w:pStyle w:val="null3"/>
              <w:ind w:firstLine="420"/>
            </w:pPr>
            <w:r>
              <w:rPr>
                <w:rFonts w:ascii="仿宋_GB2312" w:hAnsi="仿宋_GB2312" w:cs="仿宋_GB2312" w:eastAsia="仿宋_GB2312"/>
                <w:sz w:val="21"/>
                <w:color w:val="000000"/>
              </w:rPr>
              <w:t>7</w:t>
            </w:r>
            <w:r>
              <w:rPr>
                <w:rFonts w:ascii="仿宋_GB2312" w:hAnsi="仿宋_GB2312" w:cs="仿宋_GB2312" w:eastAsia="仿宋_GB2312"/>
                <w:sz w:val="21"/>
                <w:color w:val="000000"/>
              </w:rPr>
              <w:t>）在设计过程中，如遇任务书内容与国家或地方文件相矛盾时，按国家及地方相关文件内容执行，如对任务书内容有疑问或认为任务书内容存在问题，应及时沟通告知，如有更加合理或优化建议，请及时进行沟通反馈，以便及时调整。</w:t>
            </w:r>
          </w:p>
          <w:p>
            <w:pPr>
              <w:pStyle w:val="null3"/>
              <w:ind w:firstLine="420"/>
            </w:pPr>
            <w:r>
              <w:rPr>
                <w:rFonts w:ascii="仿宋_GB2312" w:hAnsi="仿宋_GB2312" w:cs="仿宋_GB2312" w:eastAsia="仿宋_GB2312"/>
                <w:sz w:val="21"/>
                <w:color w:val="000000"/>
              </w:rPr>
              <w:t>三.成果交付</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、提交成果时间: 签订合同后30个</w:t>
            </w:r>
            <w:r>
              <w:rPr>
                <w:rFonts w:ascii="仿宋_GB2312" w:hAnsi="仿宋_GB2312" w:cs="仿宋_GB2312" w:eastAsia="仿宋_GB2312"/>
                <w:sz w:val="21"/>
                <w:color w:val="000000"/>
              </w:rPr>
              <w:t>工作日；</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、提供成果:完整的施工图设计文件12套。同时所有的设计文件均必须提交电子版及光盘2套。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符合项目实际需求，服务团队人员需具公用设备(给水排水)专业注册执业资格证书或给排水专业上技术职称证书。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符合项目实际需求，提供与本项目相适应的专业设施和设备。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在合同执行过程中需要设计服务单位应执行国家、省、市的相关服务标准和应当履行的相关义务。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自合同签订之日起30个工作日完成全部项目内容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陕西省西安市莲湖区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本工程预付款40%。（设计人提交工程全部设计文件并经第三方机构审核合格后支付预付款）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本项目在开标前各供应商应将纸质版（一正二副）投标文件及电子版U盘1个送达至代理机构（西安市雁塔区曲江新区雁翔路3269号旺座曲江E座29层第一会议室），未按照要求提供纸质版文件的按照无效响应处理。 2、依据财政部、国务院国资委、金融监管总局印发&lt;&lt;关于加强审计报告查验工作的通知&gt;&gt;(财会(2023]15号)报告须在注册会计师行业统一监管平台备案并由该平台赋予二维码； 3、网上引用图片时，需标注来源出处如网址等。 4、设计费最终的计取方式：若莲湖区农兴路、大白杨南路和建中巷雨污分流改造工程施工中标价（不含暂列金）*中标费率小于投标总报价时，以施工中标价（不含暂列金）*中标费率计取设计费；若莲湖区农兴路、大白杨南路和建中巷雨污分流改造工程施工中标价（不含暂列金）*中标费率大于等于投标总报价，以投标总报价计取设计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 或自然人，提供合法有效的营业执照、事业单位法人证书、专业服务机构执业许可证或民办 非企业单位登记证书等相关证明， 自然人参与 的提供其身份证明；</w:t>
            </w:r>
          </w:p>
        </w:tc>
        <w:tc>
          <w:tcPr>
            <w:tcW w:type="dxa" w:w="1661"/>
          </w:tcPr>
          <w:p>
            <w:pPr>
              <w:pStyle w:val="null3"/>
            </w:pPr>
            <w:r>
              <w:rPr>
                <w:rFonts w:ascii="仿宋_GB2312" w:hAnsi="仿宋_GB2312" w:cs="仿宋_GB2312" w:eastAsia="仿宋_GB2312"/>
              </w:rPr>
              <w:t>开标一览表.docx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 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供应商具有建设行政主管部门颁发的工程设计综合资质甲级或市政行业设计乙级及以上资质或市政行业(排水工程专业)乙级及以上资质；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拟派项目负责人应具备公用设备(给水排水)专业注册执业资格证书或给排水专业高级及以上技术职称证书，且在本单位注册；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供应商不得为“信用中国”网站（www.creditch ina.gov.cn）中列入严重失信主体名单，供应 商不得为“中国执行信息公开网”（http://zxgk. court.gov.cn/shixin/） 中列入严重失信被执 行人，供应商不得为政府采购严重违法失信行 为记录名单的供应商，（提供查询结果网页截图）；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有法定代表人或其委托代理人签字（或盖章） 并加盖单位公章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符合竞争性磋商响应文件格式的要求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符合采购人招标规定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根据供应商对制定的总体工作方案进行评分： 1.全部响应采购要求与技术要求，方案详细、科学合理得10分； 2.响应采购要求与技术要求，方案较为详细、科学合理得8分， 3.响应采购要求与技术要求，比较齐全、合理可行得6分； 4.基本响应采购要求与技术要求得4分； 5.合理性一般，可行性一般的得2分； 未提供或方案偏差过大得0分。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根据供应商对本项目的关键性技术、重点难点的解决方案进行评分： 1.针对本项目关键技术、重点、难点的解决方案科学合理、完善、全面、具体、有亮点、可行性强，得6分； 2.针对本项目关键技术、重点、难点的解决方案科学合理、完善、全面、具体，得4分； 3.针对本项目关键技术、重点、难点的解决方案全面但不具体、可行性一般，得2分； 4.针对本项目关键技术、重点、难点的解决方案不够完善、无亮点、可行性较差，得1分。 5.未提供或方案偏差过大得0分。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根据供应商对制定的设计方案进行评分（1）评审内容： 供应商针对本项目有完善的设计方案，包含但不限于：①设计整体思路架构、②设计依据及原则、③工作任务分解、④经济性与资源节约方案。 （2）评审依据： 以上四项评审内容无缺项，工作组织科学合理，制定的质量保障体系完整，措施具有针对性和可操作性，能够保障项目顺利实施的得16分。 每有一项内容缺失或者内容非针对于本项目扣4分。以上服务内容每有一项缺陷扣1分，扣完为止。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根据供应商对制定的服务质量保证措施工作方案进行评分（1）评审内容： 供应商提供针对本项目的服务质量保证措施，包含但不限于：①设计质量控制措施、②造价控制措施、③设计进度保证措施、④后续工作配合的服务承诺。 （2）评审依据： 以上四项评审内容无缺项，保证措施及承诺概述完整、科学合理，专门针对本项目编制，符合本项目实际情况，能够保障项目顺利实施的得16分。 每有一项内容缺失或者内容非针对于本项目扣4分。以上服务内容每有一项缺陷扣1分，扣完为止。 （缺陷是指：内容不完整、缺少关键点、针对性不强、内容表述前后不一致、现有技术条件下不可能出现的及其他不利于项目实施的情形等任意一种情形）。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根据供应商提供的对成果文件的准确性、服务时限内团队稳定性、人员到位情况、服务质量等相关内容做出的承诺进行赋分。 1.承诺全面、详实，服务质量配合承诺清晰明确，得6分； 2.承诺较为详实全面，服务质量配合承诺基本完善，得4分； 3.承诺不全面，服务质量配合承诺较为简略，得2分； 4.无相关的承诺得0分。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服务团队岗位设置</w:t>
            </w:r>
          </w:p>
        </w:tc>
        <w:tc>
          <w:tcPr>
            <w:tcW w:type="dxa" w:w="2492"/>
          </w:tcPr>
          <w:p>
            <w:pPr>
              <w:pStyle w:val="null3"/>
            </w:pPr>
            <w:r>
              <w:rPr>
                <w:rFonts w:ascii="仿宋_GB2312" w:hAnsi="仿宋_GB2312" w:cs="仿宋_GB2312" w:eastAsia="仿宋_GB2312"/>
              </w:rPr>
              <w:t>根据服务团队岗位的人员设置进行评分1.组织结构健全，有完善的岗位制度和岗位职责，人员安排合理、分工明确，可操作性强，得6分； 2.供应商组织结构较为健全，有较为完善的岗位制度和岗位职责，人员安排及分工较为合理，具有一定的操作性，得4分； 3.供应商组织结构不够健全，岗位制度和岗位职责不够完善，得2分； 4.未提供或方案偏差过大得0分。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根据拟派服务团队的人员数量、专业技术能力、从业经历等赋分。 1.人员经验丰富、配备合理充足，证明材料齐全得6分； 2.人员有一定经验、人员配备无严重缺漏，但有证明材料得4分； 3.人员缺乏经验、配备情况无法充分完成服务工作，且证明材料不足得2分； 4.未提供或人员配备完全无法胜任本项目工作的得0分。（服务团队人员需具公用设备(给水排水)专业注册执业资格证书或给排水专业上技术职称证书）。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根据拟派服务团队的人员数量、专业技术能力、从业经历等赋分。 1.人员经验丰富、配备合理充足，证明材料齐全得6分； 2.人员有一定经验、人员配备无严重缺漏，但有证明材料得4分； 3.人员缺乏经验、配备情况无法充分完成服务工作，且证明材料不足得2分； 4.未提供或人员配备完全无法胜任本项目工作的得0分。（服务团队人员需具公用设备(给水排水)专业注册执业资格证书或给排水专业上技术职称证书）</w:t>
            </w:r>
          </w:p>
        </w:tc>
        <w:tc>
          <w:tcPr>
            <w:tcW w:type="dxa" w:w="2492"/>
          </w:tcPr>
          <w:p>
            <w:pPr>
              <w:pStyle w:val="null3"/>
            </w:pPr>
            <w:r>
              <w:rPr>
                <w:rFonts w:ascii="仿宋_GB2312" w:hAnsi="仿宋_GB2312" w:cs="仿宋_GB2312" w:eastAsia="仿宋_GB2312"/>
              </w:rPr>
              <w:t>应急方案编制合理、清晰、明确、有效。 1.应急方案详尽、全面、有效、合理，措施可实施性强，得6分； 2.应急方案有效、合理，措施具有一定实施性，得4分； 3.应急方案具有实施性，得2分。 4.应急措施不合理或未提供，得0分。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供应商提供实质性的特色服务方案。 1.特色服务内容合理、能够根据采购人特质具备针对性的得6分； 2.供应商提供特色服务方案内容较基本完善可行，但针对性不足的得4分； 3.供应商提供特色服务方案内容较少，但基本可行得2分； 4.供应商未提供得0分。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1.合理化建议详尽、全面、有效、合理，可实施性强，得6分； 2.合理化建议有效、合理、可实施，得4分； 3.合理化建议基本有效，但可实施性有所欠缺，得2分； 4.不合理或未提供得0分。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2023年1月1日至今同类项目的业绩，提供合同复印件并加盖公章，每提供1份有效业绩得2分，共6分，未提供的不得分。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1.满足磋商文件实质性要求且最后报价最低的供应商磋商报价为投标基准价，其价格分为满分10分。 2.报价得分=（评审基准价/磋商报价）×10。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