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版本号：YCXM-202601220260420001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西安市莲湖区“三馆建设”PPP项目绩效评价服务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YCXM-2026012</w:t>
      </w:r>
      <w:r>
        <w:br/>
      </w:r>
      <w:r>
        <w:br/>
      </w:r>
      <w:r>
        <w:br/>
      </w:r>
    </w:p>
    <w:p>
      <w:pPr>
        <w:pStyle w:val="null3"/>
        <w:jc w:val="center"/>
        <w:outlineLvl w:val="2"/>
      </w:pPr>
      <w:r>
        <w:rPr>
          <w:rFonts w:ascii="仿宋_GB2312" w:hAnsi="仿宋_GB2312" w:cs="仿宋_GB2312" w:eastAsia="仿宋_GB2312"/>
          <w:sz w:val="28"/>
          <w:b/>
        </w:rPr>
        <w:t>西安市莲湖区机关事务服务中心</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西安市莲湖区机关事务服务中心</w:t>
      </w:r>
      <w:r>
        <w:rPr>
          <w:rFonts w:ascii="仿宋_GB2312" w:hAnsi="仿宋_GB2312" w:cs="仿宋_GB2312" w:eastAsia="仿宋_GB2312"/>
        </w:rPr>
        <w:t>委托，拟对</w:t>
      </w:r>
      <w:r>
        <w:rPr>
          <w:rFonts w:ascii="仿宋_GB2312" w:hAnsi="仿宋_GB2312" w:cs="仿宋_GB2312" w:eastAsia="仿宋_GB2312"/>
        </w:rPr>
        <w:t>西安市莲湖区“三馆建设”PPP项目绩效评价服务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西安市莲湖区“三馆建设”PPP项目绩效评价服务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西安市莲湖区“三馆建设”PPP项目(档案馆、方志馆、公共图书馆及地下公共停车场) 采用政府和社会资本合作模式。为做好建设期考核、运营期首次考核、财政测算及补充协议 签订等内容，采购第三方咨询机构。本项目主要为规范组织开展绩效评价，确保过程合规、 结果客观，并根据项目合同及实施方案、政策变化或评价发现，对指标体系进行动态优化。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采购包1（西安市莲湖区“三馆建设”PPP项目绩效评价服务）：属于专门面向中小企业采购。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p>
    <w:p>
      <w:pPr>
        <w:pStyle w:val="null3"/>
      </w:pPr>
      <w:r>
        <w:rPr>
          <w:rFonts w:ascii="仿宋_GB2312" w:hAnsi="仿宋_GB2312" w:cs="仿宋_GB2312" w:eastAsia="仿宋_GB2312"/>
        </w:rPr>
        <w:t>2、身份证明：法定代表人授权书（附法定代表人、被授权人身份证复印件及被授权人近三个月内任意一个月社保证明）（法定代表人直接参加磋商，须提供法定代表人身份证明及身份证复印件）；</w:t>
      </w:r>
    </w:p>
    <w:p>
      <w:pPr>
        <w:pStyle w:val="null3"/>
      </w:pPr>
      <w:r>
        <w:rPr>
          <w:rFonts w:ascii="仿宋_GB2312" w:hAnsi="仿宋_GB2312" w:cs="仿宋_GB2312" w:eastAsia="仿宋_GB2312"/>
        </w:rPr>
        <w:t>3、财务状况报告：供应商应提供2024年度或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4、税收缴纳证明：提供供应商投标截止日前6个月内至少一个月已缴纳的增值税纳税证明或完税证明（任意税种），依法免税的供应商应提供加盖公章的相关证明文件；</w:t>
      </w:r>
    </w:p>
    <w:p>
      <w:pPr>
        <w:pStyle w:val="null3"/>
      </w:pPr>
      <w:r>
        <w:rPr>
          <w:rFonts w:ascii="仿宋_GB2312" w:hAnsi="仿宋_GB2312" w:cs="仿宋_GB2312" w:eastAsia="仿宋_GB2312"/>
        </w:rPr>
        <w:t>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6、具备履行合同所必需的设备和专业技术能力：具备履行合同所必需的设备和专业技术能力的证明材料(由供应商根据项目需求提供说明材料或者承诺)；</w:t>
      </w:r>
    </w:p>
    <w:p>
      <w:pPr>
        <w:pStyle w:val="null3"/>
      </w:pPr>
      <w:r>
        <w:rPr>
          <w:rFonts w:ascii="仿宋_GB2312" w:hAnsi="仿宋_GB2312" w:cs="仿宋_GB2312" w:eastAsia="仿宋_GB2312"/>
        </w:rPr>
        <w:t>7、书面信用声明：参加本次政府采购活动前3年内在经营活动中没有重大违纪、未被列入失信被执行人、重大税收违法失信主体名单、政府采购严重违法失信行为记录名单的书面声明。开标评审将登陆“信用中国”网站 （www.creditchina.gov.cn）和“中国政府采购网”（www.ccgp.gov.cn）进行审查；</w:t>
      </w:r>
    </w:p>
    <w:p>
      <w:pPr>
        <w:pStyle w:val="null3"/>
      </w:pPr>
      <w:r>
        <w:rPr>
          <w:rFonts w:ascii="仿宋_GB2312" w:hAnsi="仿宋_GB2312" w:cs="仿宋_GB2312" w:eastAsia="仿宋_GB2312"/>
        </w:rPr>
        <w:t>8、非联合体声明：本项目不接受联合体投标；</w:t>
      </w:r>
    </w:p>
    <w:p>
      <w:pPr>
        <w:pStyle w:val="null3"/>
      </w:pPr>
      <w:r>
        <w:rPr>
          <w:rFonts w:ascii="仿宋_GB2312" w:hAnsi="仿宋_GB2312" w:cs="仿宋_GB2312" w:eastAsia="仿宋_GB2312"/>
        </w:rPr>
        <w:t>9、中小企业声明函：本项目专门面向中小企业采购（提供中小企业声明函）。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西安市莲湖区北院门159号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029-87403512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 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13484613855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代理服务费收费标准：国家发改委办公厅颁发的《关于招标代理服务收费有关问题的通知》（发改办价格[2003]857号）的有关规定执行，本项目代理服务费按定额7000元收取。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西安市莲湖区机关事务服务中心</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按照现行法律、地方性法规及国家标准执行。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联系人：马宁</w:t>
      </w:r>
    </w:p>
    <w:p>
      <w:pPr>
        <w:pStyle w:val="null3"/>
      </w:pPr>
      <w:r>
        <w:rPr>
          <w:rFonts w:ascii="仿宋_GB2312" w:hAnsi="仿宋_GB2312" w:cs="仿宋_GB2312" w:eastAsia="仿宋_GB2312"/>
        </w:rPr>
        <w:t>联系电话：13484613855</w:t>
      </w:r>
    </w:p>
    <w:p>
      <w:pPr>
        <w:pStyle w:val="null3"/>
      </w:pPr>
      <w:r>
        <w:rPr>
          <w:rFonts w:ascii="仿宋_GB2312" w:hAnsi="仿宋_GB2312" w:cs="仿宋_GB2312" w:eastAsia="仿宋_GB2312"/>
        </w:rPr>
        <w:t>地址：西安市雁塔区雁展路莱安中心T7栋 10层1006室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西安市莲湖区“三馆建设”PPP项目(档案馆、方志馆、公共图书馆及地下公共停车场) 采用政府和社会资本合作模式。为做好建设期考核、运营期首次考核、财政测算及补充协议 签订等内容，采购第三方咨询机构。本项目主要为规范组织开展绩效评价，确保过程合规、 结果客观，并根据项目合同及实施方案、政策变化或评价发现，对指标体系进行动态优化。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西安市莲湖区三馆建设PPP项目绩效评价服务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标的名称：西安市莲湖区三馆建设PPP项目绩效评价服务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西安市莲湖区</w:t>
            </w:r>
            <w:r>
              <w:rPr>
                <w:rFonts w:ascii="仿宋_GB2312" w:hAnsi="仿宋_GB2312" w:cs="仿宋_GB2312" w:eastAsia="仿宋_GB2312"/>
                <w:sz w:val="24"/>
              </w:rPr>
              <w:t>“三馆建设”PPP项目(档案馆、方志馆、公共图书馆及地下公共停车场)</w:t>
            </w:r>
          </w:p>
          <w:p>
            <w:pPr>
              <w:pStyle w:val="null3"/>
              <w:ind w:firstLine="200"/>
              <w:jc w:val="both"/>
            </w:pPr>
            <w:r>
              <w:rPr>
                <w:rFonts w:ascii="仿宋_GB2312" w:hAnsi="仿宋_GB2312" w:cs="仿宋_GB2312" w:eastAsia="仿宋_GB2312"/>
                <w:sz w:val="24"/>
              </w:rPr>
              <w:t>采用政府和社会资本合作模式。为做好建设期考核、运营期首次考核、财政测算及补充协议</w:t>
            </w:r>
          </w:p>
          <w:p>
            <w:pPr>
              <w:pStyle w:val="null3"/>
              <w:ind w:firstLine="200"/>
              <w:jc w:val="both"/>
            </w:pPr>
            <w:r>
              <w:rPr>
                <w:rFonts w:ascii="仿宋_GB2312" w:hAnsi="仿宋_GB2312" w:cs="仿宋_GB2312" w:eastAsia="仿宋_GB2312"/>
                <w:sz w:val="24"/>
              </w:rPr>
              <w:t>签订等内容，采购第三方咨询机构。本项目主要为规范组织开展绩效评价，确保过程合规、</w:t>
            </w:r>
          </w:p>
          <w:p>
            <w:pPr>
              <w:pStyle w:val="null3"/>
              <w:ind w:firstLine="200"/>
              <w:jc w:val="both"/>
            </w:pPr>
            <w:r>
              <w:rPr>
                <w:rFonts w:ascii="仿宋_GB2312" w:hAnsi="仿宋_GB2312" w:cs="仿宋_GB2312" w:eastAsia="仿宋_GB2312"/>
                <w:sz w:val="24"/>
              </w:rPr>
              <w:t>结果客观，并根据项目合同及实施方案、政策变化或评价发现，对指标体系进行动态优化。</w:t>
            </w:r>
          </w:p>
          <w:p>
            <w:pPr>
              <w:pStyle w:val="null3"/>
              <w:ind w:firstLine="200"/>
              <w:jc w:val="both"/>
            </w:pPr>
            <w:r>
              <w:rPr>
                <w:rFonts w:ascii="仿宋_GB2312" w:hAnsi="仿宋_GB2312" w:cs="仿宋_GB2312" w:eastAsia="仿宋_GB2312"/>
                <w:sz w:val="24"/>
              </w:rPr>
              <w:t>二、</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1）绩效评价工作：开展建设期及运营期首次共两次绩效评价全流程工作；负责绩效指标体系的评估与必要调整</w:t>
            </w:r>
            <w:r>
              <w:rPr>
                <w:rFonts w:ascii="仿宋_GB2312" w:hAnsi="仿宋_GB2312" w:cs="仿宋_GB2312" w:eastAsia="仿宋_GB2312"/>
                <w:sz w:val="24"/>
              </w:rPr>
              <w:t>；</w:t>
            </w:r>
            <w:r>
              <w:rPr>
                <w:rFonts w:ascii="仿宋_GB2312" w:hAnsi="仿宋_GB2312" w:cs="仿宋_GB2312" w:eastAsia="仿宋_GB2312"/>
                <w:sz w:val="24"/>
              </w:rPr>
              <w:t>绩效评价完成后，协助实施机构督促项目公司整改，出具问题清单与整改时限，对整改资料审核、复核、现场核查，形成整改闭环报告</w:t>
            </w:r>
            <w:r>
              <w:rPr>
                <w:rFonts w:ascii="仿宋_GB2312" w:hAnsi="仿宋_GB2312" w:cs="仿宋_GB2312" w:eastAsia="仿宋_GB2312"/>
                <w:sz w:val="24"/>
              </w:rPr>
              <w:t>。（</w:t>
            </w:r>
            <w:r>
              <w:rPr>
                <w:rFonts w:ascii="仿宋_GB2312" w:hAnsi="仿宋_GB2312" w:cs="仿宋_GB2312" w:eastAsia="仿宋_GB2312"/>
                <w:sz w:val="24"/>
              </w:rPr>
              <w:t>2）财务测算： 基于项目合同及实施方案，进行PPP项目运营费用的财务测算，为政府付费或补贴提供依据。（3）</w:t>
            </w:r>
            <w:r>
              <w:rPr>
                <w:rFonts w:ascii="仿宋_GB2312" w:hAnsi="仿宋_GB2312" w:cs="仿宋_GB2312" w:eastAsia="仿宋_GB2312"/>
                <w:sz w:val="24"/>
              </w:rPr>
              <w:t>协议修订与补充协议签订：协助开展补充协议谈判，拟定协议文本，协助完成补充协议签订，推动项目各方达成共识。</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1）绩效评价目标：规范组织开展绩效评价，确保过程合规、</w:t>
            </w:r>
            <w:r>
              <w:rPr>
                <w:rFonts w:ascii="仿宋_GB2312" w:hAnsi="仿宋_GB2312" w:cs="仿宋_GB2312" w:eastAsia="仿宋_GB2312"/>
                <w:sz w:val="24"/>
              </w:rPr>
              <w:t>资料完整、</w:t>
            </w:r>
            <w:r>
              <w:rPr>
                <w:rFonts w:ascii="仿宋_GB2312" w:hAnsi="仿宋_GB2312" w:cs="仿宋_GB2312" w:eastAsia="仿宋_GB2312"/>
                <w:sz w:val="24"/>
              </w:rPr>
              <w:t>结果客观，并根据项目合同及实施方案、政策变化或评价发现，对指标体系进行动态优化；</w:t>
            </w:r>
            <w:r>
              <w:rPr>
                <w:rFonts w:ascii="仿宋_GB2312" w:hAnsi="仿宋_GB2312" w:cs="仿宋_GB2312" w:eastAsia="仿宋_GB2312"/>
                <w:sz w:val="24"/>
              </w:rPr>
              <w:t>协助问题整改、跟踪落实，确保绩效结果有效应用、项目运营持续提升；</w:t>
            </w:r>
            <w:r>
              <w:rPr>
                <w:rFonts w:ascii="仿宋_GB2312" w:hAnsi="仿宋_GB2312" w:cs="仿宋_GB2312" w:eastAsia="仿宋_GB2312"/>
                <w:sz w:val="24"/>
              </w:rPr>
              <w:t>（</w:t>
            </w:r>
            <w:r>
              <w:rPr>
                <w:rFonts w:ascii="仿宋_GB2312" w:hAnsi="仿宋_GB2312" w:cs="仿宋_GB2312" w:eastAsia="仿宋_GB2312"/>
                <w:sz w:val="24"/>
              </w:rPr>
              <w:t>2）财务测算目标：科学测算政府支出责任，为财政预算管理和协议履行提供准确数据支持；（3）协议修订目标：</w:t>
            </w:r>
            <w:r>
              <w:rPr>
                <w:rFonts w:ascii="仿宋_GB2312" w:hAnsi="仿宋_GB2312" w:cs="仿宋_GB2312" w:eastAsia="仿宋_GB2312"/>
                <w:sz w:val="24"/>
              </w:rPr>
              <w:t>协助开展补充协议谈判、文本起草与风险评估，推动</w:t>
            </w:r>
            <w:r>
              <w:rPr>
                <w:rFonts w:ascii="仿宋_GB2312" w:hAnsi="仿宋_GB2312" w:cs="仿宋_GB2312" w:eastAsia="仿宋_GB2312"/>
                <w:sz w:val="24"/>
              </w:rPr>
              <w:t>各方达成共识，保障项目持续稳定运营。</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人员与服务标准：配备固定项目团队，具备绩效评价、财务、法律、</w:t>
            </w:r>
            <w:r>
              <w:rPr>
                <w:rFonts w:ascii="仿宋_GB2312" w:hAnsi="仿宋_GB2312" w:cs="仿宋_GB2312" w:eastAsia="仿宋_GB2312"/>
                <w:sz w:val="24"/>
              </w:rPr>
              <w:t>PPP项目管理等专业能力；服务响应及时、资料归档规范、全程保密。</w:t>
            </w:r>
          </w:p>
          <w:p>
            <w:pPr>
              <w:pStyle w:val="null3"/>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（一）服务期限：自合同签订之日起至完成全部工作。</w:t>
            </w:r>
          </w:p>
          <w:p>
            <w:pPr>
              <w:pStyle w:val="null3"/>
              <w:ind w:firstLine="480"/>
              <w:jc w:val="both"/>
            </w:pPr>
            <w:r>
              <w:rPr>
                <w:rFonts w:ascii="仿宋_GB2312" w:hAnsi="仿宋_GB2312" w:cs="仿宋_GB2312" w:eastAsia="仿宋_GB2312"/>
                <w:sz w:val="24"/>
              </w:rPr>
              <w:t>（二）款项结算：</w:t>
            </w:r>
            <w:r>
              <w:rPr>
                <w:rFonts w:ascii="仿宋_GB2312" w:hAnsi="仿宋_GB2312" w:cs="仿宋_GB2312" w:eastAsia="仿宋_GB2312"/>
                <w:sz w:val="24"/>
              </w:rPr>
              <w:t>完成项目全部内容且合同期满后支付合同总价款的</w:t>
            </w:r>
            <w:r>
              <w:rPr>
                <w:rFonts w:ascii="仿宋_GB2312" w:hAnsi="仿宋_GB2312" w:cs="仿宋_GB2312" w:eastAsia="仿宋_GB2312"/>
                <w:sz w:val="24"/>
              </w:rPr>
              <w:t>100%。</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、其他</w:t>
            </w:r>
          </w:p>
          <w:p>
            <w:pPr>
              <w:pStyle w:val="null3"/>
              <w:ind w:firstLine="480"/>
              <w:jc w:val="both"/>
            </w:pPr>
            <w:r>
              <w:rPr>
                <w:rFonts w:ascii="仿宋_GB2312" w:hAnsi="仿宋_GB2312" w:cs="仿宋_GB2312" w:eastAsia="仿宋_GB2312"/>
                <w:sz w:val="24"/>
              </w:rPr>
              <w:t>（一）进度要求</w:t>
            </w:r>
          </w:p>
          <w:p>
            <w:pPr>
              <w:pStyle w:val="null3"/>
              <w:ind w:firstLine="480"/>
              <w:jc w:val="both"/>
            </w:pPr>
            <w:r>
              <w:rPr>
                <w:rFonts w:ascii="仿宋_GB2312" w:hAnsi="仿宋_GB2312" w:cs="仿宋_GB2312" w:eastAsia="仿宋_GB2312"/>
                <w:sz w:val="24"/>
              </w:rPr>
              <w:t>按合同要求完成本项目进度要求。</w:t>
            </w:r>
          </w:p>
          <w:p>
            <w:pPr>
              <w:pStyle w:val="null3"/>
              <w:ind w:firstLine="480"/>
              <w:jc w:val="both"/>
            </w:pPr>
            <w:r>
              <w:rPr>
                <w:rFonts w:ascii="仿宋_GB2312" w:hAnsi="仿宋_GB2312" w:cs="仿宋_GB2312" w:eastAsia="仿宋_GB2312"/>
                <w:sz w:val="24"/>
              </w:rPr>
              <w:t>（二）质量验收标准或规范</w:t>
            </w:r>
          </w:p>
          <w:p>
            <w:pPr>
              <w:pStyle w:val="null3"/>
              <w:ind w:firstLine="480"/>
              <w:jc w:val="both"/>
            </w:pPr>
            <w:r>
              <w:rPr>
                <w:rFonts w:ascii="仿宋_GB2312" w:hAnsi="仿宋_GB2312" w:cs="仿宋_GB2312" w:eastAsia="仿宋_GB2312"/>
                <w:sz w:val="24"/>
              </w:rPr>
              <w:t>按照现行法律、地方性法规及国家标准执行。</w:t>
            </w:r>
          </w:p>
          <w:p>
            <w:pPr>
              <w:pStyle w:val="null3"/>
              <w:ind w:firstLine="480"/>
              <w:jc w:val="both"/>
            </w:pPr>
            <w:r>
              <w:rPr>
                <w:rFonts w:ascii="仿宋_GB2312" w:hAnsi="仿宋_GB2312" w:cs="仿宋_GB2312" w:eastAsia="仿宋_GB2312"/>
                <w:sz w:val="24"/>
              </w:rPr>
              <w:t>（三）违约责任</w:t>
            </w:r>
          </w:p>
          <w:p>
            <w:pPr>
              <w:pStyle w:val="null3"/>
              <w:ind w:firstLine="480"/>
              <w:jc w:val="both"/>
            </w:pPr>
            <w:r>
              <w:rPr>
                <w:rFonts w:ascii="仿宋_GB2312" w:hAnsi="仿宋_GB2312" w:cs="仿宋_GB2312" w:eastAsia="仿宋_GB2312"/>
                <w:sz w:val="24"/>
              </w:rPr>
              <w:t>履约时发生的争议，双方应友好协商解决。协商不成的，向甲方住所地人民法院诉讼解决。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满足磋商文件要求，具体详见磋商文件。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满足磋商文件要求，具体详见磋商文件。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具体详见磋商文件相关要求。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按照现行法律、地方性法规及国家标准执行。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完成项目全部内容且合同期满后支付合同总价款的100%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履约时发生的争议，双方应友好协商解决。协商不成的，向甲方住所地人民法院诉讼解决。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同时，开标当天线下提交响应文件正本壹套、副本壹套，纸质文件递交地址：西安市雁塔区雁展路莱安中心T7 栋 10 层 1006 室，联系电话： 13484613855。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应提供2024年度或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法定代表人授权书（附法定代表人、被授权人身份证复印件及被授权人近三个月内任意一个月社保证明）（法定代表人直接参加磋商，须提供法定代表人身份证明及身份证复印件）；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应提供2024年度或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提供供应商投标截止日前6个月内至少一个月已缴纳的增值税纳税证明或完税证明（任意税种），依法免税的供应商应提供加盖公章的相关证明文件；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提供供应商投标截止日前6个月内至少一个月已缴纳的社会保障资金缴存单据或社保机构开具的社会保险参保缴费情况证明；依法不需要缴纳社会保障资金的供应商应提供加盖公章的相关证明文件；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书面信用声明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参加本次政府采购活动前3年内在经营活动中没有重大违纪、未被列入失信被执行人、重大税收违法失信主体名单、政府采购严重违法失信行为记录名单的书面声明。开标评审将登陆“信用中国”网站 （www.creditchina.gov.cn）和“中国政府采购网”（www.ccgp.gov.cn）进行审查；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对本项目工作内容的认识理解程度 （包括整体项目需求、每项服务需求等）： 1）对本项目理解深刻，分析正确、合理得10分；2）对本项目基本理解，分析基本正确、合理得7分；3）对本项目理解一般，重点、难点分析不全面得4分；4) 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服务计划</w:t>
            </w:r>
          </w:p>
        </w:tc>
        <w:tc>
          <w:tcPr>
            <w:tcW w:type="dxa" w:w="2492"/>
          </w:tcPr>
          <w:p>
            <w:pPr>
              <w:pStyle w:val="null3"/>
            </w:pPr>
            <w:r>
              <w:rPr>
                <w:rFonts w:ascii="仿宋_GB2312" w:hAnsi="仿宋_GB2312" w:cs="仿宋_GB2312" w:eastAsia="仿宋_GB2312"/>
              </w:rPr>
              <w:t>提出针对于本项目的服务总体计划，内容包含①服务总体设想及目标②服务理念及特色。 1）计划全面、可实施性及针对性强得10分； 2）较全面、可实施性及针对性较强得7分；3）不全面、可实施性及针对性一般得4分；4)未提供不得分。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根据项目要求及特点，服务实施方案详细、完整、可操作性强等。 1）考虑充分、全面、可实施性及针对性强得15分； 2） 较全面、可实施性及针对性较强得10分；3）不全面、可实施性及针对性一般得5分；4)未提供不得分。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在确保满足服务质量要求的前提下，就重大或突发事件、突发性任务 、不可抗力因素的应急保障措施进行评审。主要包括：应急服务保障措施、应急服务响应时间、应急设备保障、重大或突发事件的人员配合、工作流程、控制失误及其他相关服务。 1）应急保障措施详细准确、可行性强、科学合理，得10分 ； 2）应急保障措施比较详细、基本可行、基本合理，得7分；3）应急保障措施不够详细，可行性、合理性一般，得4分；未提供不得分。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提供确保服务质量的保障措施，根据供应商的服务机制、工作流程、服务保障以及服务措施是否完善、是否能够充分保证达到项目实施目的等。1）该项措施详细准确、可行性强、科学合理，针对性强，完全满 足本项目需求，得10分； 2）措施比较详细、基本可行、基本合理，比较有针对性，基本能满足本项目需求，得7分；3）措施不够详细，可行性、合理性一般，针对性不够，得4分；未提供不得分。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项目负责人具有：1、具备高级职称证书或注册咨询工程师证书的得2分；中级职称证书的得1分； 2、根据供应商提供的服务保障承诺函，内容包括但不限于：①、在项目服务期内全程咨询驻场服务；②、针对重大决策提供数据依据和建议报告；③、参与商务谈判；④、参与各项制度建设等； 提供相应承诺的得2分，未提供不得分。 备注：需提供本人身份证明或相关证书复印件、由本单位缴 纳的除本月以外近三个月社保证明并加盖公章。供应商需提供 2023年4月1日至今项目负责人的类似项目业绩，每提供一个得2分，最高得6分，未提供不得分。 备注：以合同或项目验收单或中标通知书签订日期为准，提供以上相关资料关键页复印件加盖公章。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1）团队成员组织结构合理，团队分工明确，团队人员稳定，经验丰富，专业性强，得6分；2）团队成员组织结构较合理，满足项目需求得4分；3）团队成员组织结构一般，基本满足项目需求得2分，未提供不得分。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团队成员具有高级职称证书或注册咨询工程师证书，每提供一份加1分，最高得3分。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针对本项目实际情况提出合理化建议。 合理化建议详细可行，5分； 合理化建议较详细，得3分；合理化建议基本合理可行得1分，未提供不得分。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各供应商针对本项目的服务质量、项目的完成是否全面认真、是否派遣人员驻扎现场等方面作出承诺。1）该项承诺详细、服务全面、科学合理，针对性强，完全满足本项目需求，得5分；2）承诺比较详细、基本可行、基本合理，比较有针对性，基本能满足本项目需求，得4分；3）承诺不够全面，可行性、合理性一般，针对性不够，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04月01日至今类似项目业绩，以供应商提供的合同或中标（成交）通知书复印件（或扫描件）为准（日期以合同签订时间或中标（成交）通知书时间为准），每提供一份得2分，满分6分；未提供的不得分。 注：此项业绩可与项目负责人业绩重复。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详见附件：供应商认为需要提供的其它资料.docx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