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版本号：PLRH2026-GP-009F.1B120260429001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莲湖区2026年老年人意外伤害保险项目(二次)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PLRH2026-GP-009F.1B1</w:t>
      </w:r>
      <w:r>
        <w:br/>
      </w:r>
      <w:r>
        <w:br/>
      </w:r>
      <w:r>
        <w:br/>
      </w:r>
    </w:p>
    <w:p>
      <w:pPr>
        <w:pStyle w:val="null3"/>
        <w:jc w:val="center"/>
        <w:outlineLvl w:val="2"/>
      </w:pPr>
      <w:r>
        <w:rPr>
          <w:rFonts w:ascii="仿宋_GB2312" w:hAnsi="仿宋_GB2312" w:cs="仿宋_GB2312" w:eastAsia="仿宋_GB2312"/>
          <w:sz w:val="28"/>
          <w:b/>
        </w:rPr>
        <w:t>西安市莲湖区民政局</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西安市莲湖区民政局</w:t>
      </w:r>
      <w:r>
        <w:rPr>
          <w:rFonts w:ascii="仿宋_GB2312" w:hAnsi="仿宋_GB2312" w:cs="仿宋_GB2312" w:eastAsia="仿宋_GB2312"/>
        </w:rPr>
        <w:t>委托，拟对</w:t>
      </w:r>
      <w:r>
        <w:rPr>
          <w:rFonts w:ascii="仿宋_GB2312" w:hAnsi="仿宋_GB2312" w:cs="仿宋_GB2312" w:eastAsia="仿宋_GB2312"/>
        </w:rPr>
        <w:t>莲湖区2026年老年人意外伤害保险项目(二次)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PLRH2026-GP-009F.1B1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莲湖区2026年老年人意外伤害保险项目(二次)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老年人意外伤害保险，是为老年人及家庭抗风险能力，弥补社会医保经费不足，促进社会稳定。根据《西安市民政局、西安市财政局、西安市退役军人事务局关于做好老年人意外伤害保险工作的通知》（市民发〔2025〕126号）文件要求，各区县组织开展本年度老年人意外伤害保险工作。参保对象为为辖区西安市户籍年满60周岁及以上老年人、在西安居住的非本市户籍60周岁及以上老年人，以及享受“政府补贴人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3、税收缴纳证明：提供2025年10月至今已缴纳的至少一个月的纳税证明或完税证明（任意税种），依法免税的单位应提供相关证明材料；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4、社会保障资金缴纳证明：提供2025年10月至今已缴存的至少一个月的社会保障资金缴存单据或社保机构开具的社会保险参保缴费情况证明，依法不需要缴纳社会保障资金的单位应提供相关证明材料；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8、许可：供应商应具有供应商应具有相关主管部门颁发的保险许可证；</w:t>
      </w:r>
    </w:p>
    <w:p>
      <w:pPr>
        <w:pStyle w:val="null3"/>
      </w:pPr>
      <w:r>
        <w:rPr>
          <w:rFonts w:ascii="仿宋_GB2312" w:hAnsi="仿宋_GB2312" w:cs="仿宋_GB2312" w:eastAsia="仿宋_GB2312"/>
        </w:rPr>
        <w:t>9、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西安市莲湖区庙后街169号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029-87383687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采购包1：692,260.00元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西安市莲湖区民政局</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老年人意外伤害保险，是为老年人及家庭抗风险能力，弥补社会医保经费不足，促进社会稳定。根据《西安市民政局、西安市财政局、西安市退役军人事务局关于做好老年人意外伤害保险工作的通知》（市民发〔2025〕126号）文件要求，各区县组织开展本年度老年人意外伤害保险工作。参保对象为为辖区西安市户籍年满60周岁及以上老年人、在西安居住的非本市户籍60周岁及以上老年人，以及享受“政府补贴人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692,260.00</w:t>
      </w:r>
    </w:p>
    <w:p>
      <w:pPr>
        <w:pStyle w:val="null3"/>
      </w:pPr>
      <w:r>
        <w:rPr>
          <w:rFonts w:ascii="仿宋_GB2312" w:hAnsi="仿宋_GB2312" w:cs="仿宋_GB2312" w:eastAsia="仿宋_GB2312"/>
        </w:rPr>
        <w:t>采购包最高限价（元）: 692,260.00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老年人意外伤害险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692,260.00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标的名称：老年人意外伤害险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1.政府补贴人群范围</w:t>
            </w:r>
          </w:p>
          <w:p>
            <w:pPr>
              <w:pStyle w:val="null3"/>
            </w:pPr>
            <w:r>
              <w:rPr>
                <w:rFonts w:ascii="仿宋_GB2312" w:hAnsi="仿宋_GB2312" w:cs="仿宋_GB2312" w:eastAsia="仿宋_GB2312"/>
              </w:rPr>
              <w:t>具有西安市户籍且2025年12月31日前满60周岁及以上符合下列条件之一的居家养老的老年人，由政府出资给每位老人每年购买1份意外伤害保险。</w:t>
            </w:r>
          </w:p>
          <w:p>
            <w:pPr>
              <w:pStyle w:val="null3"/>
            </w:pPr>
            <w:r>
              <w:rPr>
                <w:rFonts w:ascii="仿宋_GB2312" w:hAnsi="仿宋_GB2312" w:cs="仿宋_GB2312" w:eastAsia="仿宋_GB2312"/>
              </w:rPr>
              <w:t>（一）享受城乡最低生活保障待遇人员;</w:t>
            </w:r>
          </w:p>
          <w:p>
            <w:pPr>
              <w:pStyle w:val="null3"/>
            </w:pPr>
            <w:r>
              <w:rPr>
                <w:rFonts w:ascii="仿宋_GB2312" w:hAnsi="仿宋_GB2312" w:cs="仿宋_GB2312" w:eastAsia="仿宋_GB2312"/>
              </w:rPr>
              <w:t>（二）城乡特困供养人员；</w:t>
            </w:r>
          </w:p>
          <w:p>
            <w:pPr>
              <w:pStyle w:val="null3"/>
            </w:pPr>
            <w:r>
              <w:rPr>
                <w:rFonts w:ascii="仿宋_GB2312" w:hAnsi="仿宋_GB2312" w:cs="仿宋_GB2312" w:eastAsia="仿宋_GB2312"/>
              </w:rPr>
              <w:t>（三）享受国家定期抚恤补助优抚对象；</w:t>
            </w:r>
          </w:p>
          <w:p>
            <w:pPr>
              <w:pStyle w:val="null3"/>
            </w:pPr>
            <w:r>
              <w:rPr>
                <w:rFonts w:ascii="仿宋_GB2312" w:hAnsi="仿宋_GB2312" w:cs="仿宋_GB2312" w:eastAsia="仿宋_GB2312"/>
              </w:rPr>
              <w:t>（四）2025年12月31日前满80周岁及以上居家养老的老人。</w:t>
            </w:r>
          </w:p>
          <w:p>
            <w:pPr>
              <w:pStyle w:val="null3"/>
            </w:pPr>
            <w:r>
              <w:rPr>
                <w:rFonts w:ascii="仿宋_GB2312" w:hAnsi="仿宋_GB2312" w:cs="仿宋_GB2312" w:eastAsia="仿宋_GB2312"/>
              </w:rPr>
              <w:t>2026年度保险期间内莲湖区统计享受政府补贴条件的参保人数约为34613人。</w:t>
            </w:r>
          </w:p>
          <w:p>
            <w:pPr>
              <w:pStyle w:val="null3"/>
            </w:pPr>
            <w:r>
              <w:rPr>
                <w:rFonts w:ascii="仿宋_GB2312" w:hAnsi="仿宋_GB2312" w:cs="仿宋_GB2312" w:eastAsia="仿宋_GB2312"/>
              </w:rPr>
              <w:t>2.保险费标准、保险期限</w:t>
            </w:r>
          </w:p>
          <w:p>
            <w:pPr>
              <w:pStyle w:val="null3"/>
            </w:pPr>
            <w:r>
              <w:rPr>
                <w:rFonts w:ascii="仿宋_GB2312" w:hAnsi="仿宋_GB2312" w:cs="仿宋_GB2312" w:eastAsia="仿宋_GB2312"/>
              </w:rPr>
              <w:t>保险费标准：保险费每人不超过20元/份/年</w:t>
            </w:r>
          </w:p>
          <w:p>
            <w:pPr>
              <w:pStyle w:val="null3"/>
            </w:pPr>
            <w:r>
              <w:rPr>
                <w:rFonts w:ascii="仿宋_GB2312" w:hAnsi="仿宋_GB2312" w:cs="仿宋_GB2312" w:eastAsia="仿宋_GB2312"/>
              </w:rPr>
              <w:t>保险期限：自合同签订之日起至2026年12月31日二十四时止。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保障范围</w:t>
                  </w:r>
                </w:p>
              </w:tc>
              <w:tc>
                <w:tcPr>
                  <w:tcW w:type="dxa" w:w="851"/>
                </w:tcPr>
                <w:p>
                  <w:pPr>
                    <w:pStyle w:val="null3"/>
                  </w:pPr>
                  <w:r>
                    <w:rPr>
                      <w:rFonts w:ascii="仿宋_GB2312" w:hAnsi="仿宋_GB2312" w:cs="仿宋_GB2312" w:eastAsia="仿宋_GB2312"/>
                    </w:rPr>
                    <w:t>赔付标准</w:t>
                  </w:r>
                </w:p>
              </w:tc>
              <w:tc>
                <w:tcPr>
                  <w:tcW w:type="dxa" w:w="851"/>
                </w:tcPr>
                <w:p>
                  <w:pPr>
                    <w:pStyle w:val="null3"/>
                  </w:pPr>
                  <w:r>
                    <w:rPr>
                      <w:rFonts w:ascii="仿宋_GB2312" w:hAnsi="仿宋_GB2312" w:cs="仿宋_GB2312" w:eastAsia="仿宋_GB2312"/>
                    </w:rPr>
                    <w:t>保险金额</w:t>
                  </w:r>
                </w:p>
              </w:tc>
            </w:tr>
            <w:tr>
              <w:tc>
                <w:tcPr>
                  <w:tcW w:type="dxa" w:w="851"/>
                </w:tcPr>
                <w:p>
                  <w:pPr>
                    <w:pStyle w:val="null3"/>
                  </w:pPr>
                  <w:r>
                    <w:rPr>
                      <w:rFonts w:ascii="仿宋_GB2312" w:hAnsi="仿宋_GB2312" w:cs="仿宋_GB2312" w:eastAsia="仿宋_GB2312"/>
                    </w:rPr>
                    <w:t>意外身故保险金</w:t>
                  </w:r>
                </w:p>
              </w:tc>
              <w:tc>
                <w:tcPr>
                  <w:tcW w:type="dxa" w:w="851"/>
                </w:tcPr>
                <w:p>
                  <w:pPr>
                    <w:pStyle w:val="null3"/>
                  </w:pPr>
                  <w:r>
                    <w:rPr>
                      <w:rFonts w:ascii="仿宋_GB2312" w:hAnsi="仿宋_GB2312" w:cs="仿宋_GB2312" w:eastAsia="仿宋_GB2312"/>
                    </w:rPr>
                    <w:t>身故按保险金额一次性给付。</w:t>
                  </w:r>
                </w:p>
              </w:tc>
              <w:tc>
                <w:tcPr>
                  <w:tcW w:type="dxa" w:w="851"/>
                </w:tcPr>
                <w:p>
                  <w:pPr>
                    <w:pStyle w:val="null3"/>
                  </w:pPr>
                  <w:r>
                    <w:rPr>
                      <w:rFonts w:ascii="仿宋_GB2312" w:hAnsi="仿宋_GB2312" w:cs="仿宋_GB2312" w:eastAsia="仿宋_GB2312"/>
                    </w:rPr>
                    <w:t>30000元</w:t>
                  </w:r>
                </w:p>
              </w:tc>
            </w:tr>
            <w:tr>
              <w:tc>
                <w:tcPr>
                  <w:tcW w:type="dxa" w:w="851"/>
                </w:tcPr>
                <w:p>
                  <w:pPr>
                    <w:pStyle w:val="null3"/>
                  </w:pPr>
                  <w:r>
                    <w:rPr>
                      <w:rFonts w:ascii="仿宋_GB2312" w:hAnsi="仿宋_GB2312" w:cs="仿宋_GB2312" w:eastAsia="仿宋_GB2312"/>
                    </w:rPr>
                    <w:t>意外伤害伤残保险金</w:t>
                  </w:r>
                </w:p>
              </w:tc>
              <w:tc>
                <w:tcPr>
                  <w:tcW w:type="dxa" w:w="851"/>
                </w:tcPr>
                <w:p>
                  <w:pPr>
                    <w:pStyle w:val="null3"/>
                  </w:pPr>
                  <w:r>
                    <w:rPr>
                      <w:rFonts w:ascii="仿宋_GB2312" w:hAnsi="仿宋_GB2312" w:cs="仿宋_GB2312" w:eastAsia="仿宋_GB2312"/>
                    </w:rPr>
                    <w:t>按伤残等级比例给付</w:t>
                  </w:r>
                </w:p>
              </w:tc>
              <w:tc>
                <w:tcPr>
                  <w:tcW w:type="dxa" w:w="851"/>
                </w:tcPr>
                <w:p>
                  <w:pPr>
                    <w:pStyle w:val="null3"/>
                  </w:pPr>
                  <w:r>
                    <w:rPr>
                      <w:rFonts w:ascii="仿宋_GB2312" w:hAnsi="仿宋_GB2312" w:cs="仿宋_GB2312" w:eastAsia="仿宋_GB2312"/>
                    </w:rPr>
                    <w:t>十级3000元、九级6000元、八级9000元、七级12000元、六级15000元、五级18000元、四级21000元、三级24000元、二级27000元、一级30000元</w:t>
                  </w:r>
                </w:p>
              </w:tc>
            </w:tr>
            <w:tr>
              <w:tc>
                <w:tcPr>
                  <w:tcW w:type="dxa" w:w="851"/>
                </w:tcPr>
                <w:p>
                  <w:pPr>
                    <w:pStyle w:val="null3"/>
                  </w:pPr>
                  <w:r>
                    <w:rPr>
                      <w:rFonts w:ascii="仿宋_GB2312" w:hAnsi="仿宋_GB2312" w:cs="仿宋_GB2312" w:eastAsia="仿宋_GB2312"/>
                    </w:rPr>
                    <w:t>意外伤害医疗费用补助</w:t>
                  </w:r>
                </w:p>
              </w:tc>
              <w:tc>
                <w:tcPr>
                  <w:tcW w:type="dxa" w:w="851"/>
                </w:tcPr>
                <w:p>
                  <w:pPr>
                    <w:pStyle w:val="null3"/>
                  </w:pPr>
                  <w:r>
                    <w:rPr>
                      <w:rFonts w:ascii="仿宋_GB2312" w:hAnsi="仿宋_GB2312" w:cs="仿宋_GB2312" w:eastAsia="仿宋_GB2312"/>
                    </w:rPr>
                    <w:t>100元以下免赔；100元以上给付比例100%,不超过限额。</w:t>
                  </w:r>
                </w:p>
              </w:tc>
              <w:tc>
                <w:tcPr>
                  <w:tcW w:type="dxa" w:w="851"/>
                </w:tcPr>
                <w:p>
                  <w:pPr>
                    <w:pStyle w:val="null3"/>
                  </w:pPr>
                  <w:r>
                    <w:rPr>
                      <w:rFonts w:ascii="仿宋_GB2312" w:hAnsi="仿宋_GB2312" w:cs="仿宋_GB2312" w:eastAsia="仿宋_GB2312"/>
                    </w:rPr>
                    <w:t>5000元</w:t>
                  </w:r>
                </w:p>
              </w:tc>
            </w:tr>
            <w:tr>
              <w:tc>
                <w:tcPr>
                  <w:tcW w:type="dxa" w:w="851"/>
                </w:tcPr>
                <w:p>
                  <w:pPr>
                    <w:pStyle w:val="null3"/>
                  </w:pPr>
                  <w:r>
                    <w:rPr>
                      <w:rFonts w:ascii="仿宋_GB2312" w:hAnsi="仿宋_GB2312" w:cs="仿宋_GB2312" w:eastAsia="仿宋_GB2312"/>
                    </w:rPr>
                    <w:t>意外伤害住院补贴</w:t>
                  </w:r>
                </w:p>
              </w:tc>
              <w:tc>
                <w:tcPr>
                  <w:tcW w:type="dxa" w:w="851"/>
                </w:tcPr>
                <w:p>
                  <w:pPr>
                    <w:pStyle w:val="null3"/>
                  </w:pPr>
                  <w:r>
                    <w:rPr>
                      <w:rFonts w:ascii="仿宋_GB2312" w:hAnsi="仿宋_GB2312" w:cs="仿宋_GB2312" w:eastAsia="仿宋_GB2312"/>
                    </w:rPr>
                    <w:t>每天给付金额30元，单次以90天为限；累计最高给付180天。</w:t>
                  </w:r>
                </w:p>
              </w:tc>
              <w:tc>
                <w:tcPr>
                  <w:tcW w:type="dxa" w:w="851"/>
                </w:tcPr>
                <w:p>
                  <w:pPr>
                    <w:pStyle w:val="null3"/>
                  </w:pPr>
                  <w:r>
                    <w:rPr>
                      <w:rFonts w:ascii="仿宋_GB2312" w:hAnsi="仿宋_GB2312" w:cs="仿宋_GB2312" w:eastAsia="仿宋_GB2312"/>
                    </w:rPr>
                    <w:t>5400元</w:t>
                  </w:r>
                </w:p>
              </w:tc>
            </w:tr>
          </w:tbl>
          <w:p>
            <w:pPr>
              <w:pStyle w:val="null3"/>
            </w:pPr>
            <w:r>
              <w:rPr>
                <w:rFonts w:ascii="仿宋_GB2312" w:hAnsi="仿宋_GB2312" w:cs="仿宋_GB2312" w:eastAsia="仿宋_GB2312"/>
              </w:rPr>
              <w:t>理赔规则：</w:t>
            </w:r>
          </w:p>
          <w:p>
            <w:pPr>
              <w:pStyle w:val="null3"/>
            </w:pPr>
            <w:r>
              <w:rPr>
                <w:rFonts w:ascii="仿宋_GB2312" w:hAnsi="仿宋_GB2312" w:cs="仿宋_GB2312" w:eastAsia="仿宋_GB2312"/>
              </w:rPr>
              <w:t>1.老年人发生意外伤害事件所产生的医疗费用，先由基本医疗保险按规定报销后，剩余部分由老年人意外伤害保险按保险范围和保险金额约定比例理赔；</w:t>
            </w:r>
          </w:p>
          <w:p>
            <w:pPr>
              <w:pStyle w:val="null3"/>
            </w:pPr>
            <w:r>
              <w:rPr>
                <w:rFonts w:ascii="仿宋_GB2312" w:hAnsi="仿宋_GB2312" w:cs="仿宋_GB2312" w:eastAsia="仿宋_GB2312"/>
              </w:rPr>
              <w:t>2.入住养老机构老年人发生意外伤害所产生的医疗费用理赔顺序为：基本医疗保险→养老机构综合责任保险→老年人意外伤害保险。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1.供应商收到申请人的保险金给付申请书及相关证明和资料后，将及时作出核定。经核定后确定属于保险责任的，在与申请人达成给付保险金协议后十日内，履行给付保险金的义务；不属于保险责任的，将自作出核定之日起三日内向申请人发出拒绝给付保险金通知书，并说明理由。</w:t>
            </w:r>
          </w:p>
          <w:p>
            <w:pPr>
              <w:pStyle w:val="null3"/>
            </w:pPr>
            <w:r>
              <w:rPr>
                <w:rFonts w:ascii="仿宋_GB2312" w:hAnsi="仿宋_GB2312" w:cs="仿宋_GB2312" w:eastAsia="仿宋_GB2312"/>
              </w:rPr>
              <w:t>2.供应商宣传到位，利用多种方式宣传发动，让全社会充分认识老年人意外伤害保险是经济社会发展和人口老龄化发展的客观要求，重点宣传参保内容和参保程序使老年人意外伤害保险方案家喻户晓。</w:t>
            </w:r>
          </w:p>
          <w:p>
            <w:pPr>
              <w:pStyle w:val="null3"/>
            </w:pPr>
            <w:r>
              <w:rPr>
                <w:rFonts w:ascii="仿宋_GB2312" w:hAnsi="仿宋_GB2312" w:cs="仿宋_GB2312" w:eastAsia="仿宋_GB2312"/>
              </w:rPr>
              <w:t>3.有合规经营机构，协议签订后在24小时内出具保险单。全天24小时接受被保险人或居民咨询和索赔需求，出险后2小时内上门服务，5个工作日内进行理赔处理结案。</w:t>
            </w:r>
          </w:p>
          <w:p>
            <w:pPr>
              <w:pStyle w:val="null3"/>
            </w:pPr>
            <w:r>
              <w:rPr>
                <w:rFonts w:ascii="仿宋_GB2312" w:hAnsi="仿宋_GB2312" w:cs="仿宋_GB2312" w:eastAsia="仿宋_GB2312"/>
              </w:rPr>
              <w:t>4.加强沟通协调。供应商按照公司职责，加强协作配合，进一步分工合理，职责明确，协商沟通，规范有序的工作机制，确保取得实效，使老年人得到实惠。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四、进度要求</w:t>
            </w:r>
          </w:p>
          <w:p>
            <w:pPr>
              <w:pStyle w:val="null3"/>
            </w:pPr>
            <w:r>
              <w:rPr>
                <w:rFonts w:ascii="仿宋_GB2312" w:hAnsi="仿宋_GB2312" w:cs="仿宋_GB2312" w:eastAsia="仿宋_GB2312"/>
              </w:rPr>
              <w:t>1.承保保险公司需印制《西安市老年人意外伤害保险投保告知单(政府补贴人群)》，由民政部门协调街道、社区将投保告知单发放给每位已投保“政府补贴人群”老年人。明确告知保险名称、保险责任、理赔流程等内容，确保老年人清晰知晓自身权益。</w:t>
            </w:r>
          </w:p>
          <w:p>
            <w:pPr>
              <w:pStyle w:val="null3"/>
            </w:pPr>
            <w:r>
              <w:rPr>
                <w:rFonts w:ascii="仿宋_GB2312" w:hAnsi="仿宋_GB2312" w:cs="仿宋_GB2312" w:eastAsia="仿宋_GB2312"/>
              </w:rPr>
              <w:t>2.承保保险公司每季度向民政局报送报表，总结理赔案件及理赔金额数字；汇报疑难和遗留问题并阐述理由，提出商议及解决问题的办法；年度末报送全年的工作总结报告和全年的理赔清单报表。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2.服务期：自合同签订之日起至2026年12月31日二十四时止。</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政府补贴人群”的保费，采取预付资金和据实结算相结合模式。在签订承保协议后，由莲湖区民政局将市级财政承担的补助资金和本级财政配套资金汇总，先向承保保险公司预支付保险期全额保险费的50%。保险期结束后，根据当年理赔金额占保险费总额比例，确定保险费支付金额，具体标准如下：</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当年理赔金额占保险费总额比例</w:t>
                  </w:r>
                </w:p>
              </w:tc>
              <w:tc>
                <w:tcPr>
                  <w:tcW w:type="dxa" w:w="1276"/>
                </w:tcPr>
                <w:p>
                  <w:pPr>
                    <w:pStyle w:val="null3"/>
                  </w:pPr>
                  <w:r>
                    <w:rPr>
                      <w:rFonts w:ascii="仿宋_GB2312" w:hAnsi="仿宋_GB2312" w:cs="仿宋_GB2312" w:eastAsia="仿宋_GB2312"/>
                    </w:rPr>
                    <w:t>支付保险费</w:t>
                  </w:r>
                </w:p>
              </w:tc>
            </w:tr>
            <w:tr>
              <w:tc>
                <w:tcPr>
                  <w:tcW w:type="dxa" w:w="1276"/>
                </w:tcPr>
                <w:p>
                  <w:pPr>
                    <w:pStyle w:val="null3"/>
                  </w:pPr>
                  <w:r>
                    <w:rPr>
                      <w:rFonts w:ascii="仿宋_GB2312" w:hAnsi="仿宋_GB2312" w:cs="仿宋_GB2312" w:eastAsia="仿宋_GB2312"/>
                    </w:rPr>
                    <w:t>理赔金额占比≥80%</w:t>
                  </w:r>
                </w:p>
              </w:tc>
              <w:tc>
                <w:tcPr>
                  <w:tcW w:type="dxa" w:w="1276"/>
                </w:tcPr>
                <w:p>
                  <w:pPr>
                    <w:pStyle w:val="null3"/>
                  </w:pPr>
                  <w:r>
                    <w:rPr>
                      <w:rFonts w:ascii="仿宋_GB2312" w:hAnsi="仿宋_GB2312" w:cs="仿宋_GB2312" w:eastAsia="仿宋_GB2312"/>
                    </w:rPr>
                    <w:t>全额支付</w:t>
                  </w:r>
                </w:p>
              </w:tc>
            </w:tr>
            <w:tr>
              <w:tc>
                <w:tcPr>
                  <w:tcW w:type="dxa" w:w="1276"/>
                </w:tcPr>
                <w:p>
                  <w:pPr>
                    <w:pStyle w:val="null3"/>
                  </w:pPr>
                  <w:r>
                    <w:rPr>
                      <w:rFonts w:ascii="仿宋_GB2312" w:hAnsi="仿宋_GB2312" w:cs="仿宋_GB2312" w:eastAsia="仿宋_GB2312"/>
                    </w:rPr>
                    <w:t>理赔金额占比&lt;80%</w:t>
                  </w:r>
                </w:p>
              </w:tc>
              <w:tc>
                <w:tcPr>
                  <w:tcW w:type="dxa" w:w="1276"/>
                </w:tcPr>
                <w:p>
                  <w:pPr>
                    <w:pStyle w:val="null3"/>
                  </w:pPr>
                  <w:r>
                    <w:rPr>
                      <w:rFonts w:ascii="仿宋_GB2312" w:hAnsi="仿宋_GB2312" w:cs="仿宋_GB2312" w:eastAsia="仿宋_GB2312"/>
                    </w:rPr>
                    <w:t>理赔金额×1.2</w:t>
                  </w:r>
                </w:p>
              </w:tc>
            </w:tr>
            <w:tr>
              <w:tc>
                <w:tcPr>
                  <w:tcW w:type="dxa" w:w="2552"/>
                  <w:gridSpan w:val="2"/>
                </w:tcPr>
                <w:p>
                  <w:pPr>
                    <w:pStyle w:val="null3"/>
                  </w:pPr>
                  <w:r>
                    <w:rPr>
                      <w:rFonts w:ascii="仿宋_GB2312" w:hAnsi="仿宋_GB2312" w:cs="仿宋_GB2312" w:eastAsia="仿宋_GB2312"/>
                    </w:rPr>
                    <w:t>备注：当“理赔金额×1.2”不足全额保险费的50%的部分资金，承保保险公司返还民政部门。</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服务团队人员应包括但不限于①承保②理赔③风险管理④协调沟通等不同专业能力和职能的人员，不少于6人。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自合同签订之日起至2026年12月31日二十四时止。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1.采购人进行验收，若认为验收不合格，供应商应重新调整且进行重新验收。 2.验收依据：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“政府补贴人群”的保费，采取预付资金和据实结算相结合模式。在签订承保协议后，由莲湖区民政局将市级财政承担的补助资金和本级财政配套资金汇总，先向承保保险公司预支付保险期全额保险费的50%。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保险期结束后，根据当年理赔金额占保险费总额比例，确定保险费支付金额。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违约责任：如有违反合同约定的义务造成重大损失，区民政局有权解除合同。所造成的损失由保险公司承担，否则，可向区民政局所在地有管辖权人民法院起诉。 解决争议的方法：合同执行中发生争议的，当事人双方应协商解决。协商不一致时，向有管辖权的人民法院提起诉讼。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1.本项目非专门面向中小企业采购，符合竞争性磋商文件规定的小微企业、监狱企业、残疾人福利企业优惠条件的供应商，价格给予10%的扣除，用扣除后的磋商报价参与评审。 2.本项目合同包1采购标的所属行业为：其他未列明行业； 3.本项目是否属于信用担保试点范围：否。 4.本项目为固定单价合同。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10月至今已缴纳的至少一个月的纳税证明或完税证明（任意税种），依法免税的单位应提供相关证明材料；3.提供2025年10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w:t>
            </w:r>
          </w:p>
        </w:tc>
        <w:tc>
          <w:tcPr>
            <w:tcW w:type="dxa" w:w="3322"/>
          </w:tcPr>
          <w:p>
            <w:pPr>
              <w:pStyle w:val="null3"/>
            </w:pPr>
            <w:r>
              <w:rPr>
                <w:rFonts w:ascii="仿宋_GB2312" w:hAnsi="仿宋_GB2312" w:cs="仿宋_GB2312" w:eastAsia="仿宋_GB2312"/>
              </w:rPr>
              <w:t>供应商应具有供应商应具有相关主管部门颁发的保险许可证；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针对于本项目的服务方案，方案内容包含：①业务承揽；②出单；③保费收取；④报案；⑤理赔；⑥业务操作流程等内容。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承保服务方案</w:t>
            </w:r>
          </w:p>
        </w:tc>
        <w:tc>
          <w:tcPr>
            <w:tcW w:type="dxa" w:w="2492"/>
          </w:tcPr>
          <w:p>
            <w:pPr>
              <w:pStyle w:val="null3"/>
            </w:pPr>
            <w:r>
              <w:rPr>
                <w:rFonts w:ascii="仿宋_GB2312" w:hAnsi="仿宋_GB2312" w:cs="仿宋_GB2312" w:eastAsia="仿宋_GB2312"/>
              </w:rPr>
              <w:t>针对采购需求中的描述提供承保服务方案。 方案全面、合理、规范，可操作性强得5分； 方案比较合理和规范，有一定的可操作性得4分； 方案基本合理，可操作性不强得3分； 方案不够合理，可操作性一般得2分； 方案简单，可操作性差得1分；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具有完整成套的理赔服务方案。 方案全面、合理、规范，可操作性强并具有方便、快捷的特点得5分； 方案比较合理和规范，有一定的可操作性得4分； 方案基本合理，可操作性不强得3分； 方案不够合理，可操作性一般得2分； 方案简单，可操作性差得1分；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平台操作</w:t>
            </w:r>
          </w:p>
        </w:tc>
        <w:tc>
          <w:tcPr>
            <w:tcW w:type="dxa" w:w="2492"/>
          </w:tcPr>
          <w:p>
            <w:pPr>
              <w:pStyle w:val="null3"/>
            </w:pPr>
            <w:r>
              <w:rPr>
                <w:rFonts w:ascii="仿宋_GB2312" w:hAnsi="仿宋_GB2312" w:cs="仿宋_GB2312" w:eastAsia="仿宋_GB2312"/>
              </w:rPr>
              <w:t>针对本项目设有操作便捷的保险操作平台、自助查询理赔平台，满足采购人实时进行人员变更，并实时掌握项目的整体赔付情况。 平台操作简单，被保人能自主方便进行查询操作。平台内容具有特色，内容充实得3分； 平台操作较简单，被保人能进行简单的查询操作。平台内容充实得2分； 平台操作复杂，平台内容简略的得1分； 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于本项目的人员信息保密方案，方案内容包含：①项目团队设置方案（包括但不限于(1)承保(2)理赔(3)风险管理(4)协调沟通等不同专业能力和职能的人员，不少于6人）；②团队人员职能分工及职责划分方案；③人员培训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合本项目实际情况，提供详细完整的服务质量保证措施。 措施详细完整、可行性、针对性强，能高质量的确保项目服务质量，得5分； 措施相对详细完整、可行性、针对性强，能确保项目服务质量，得4分； 保障措施完整，有一定的可行性及针对性以保证项目质量，得3分； 保障措施基本完整、可行，得2分； 保障措施简单、合理性、可行性有待考究，得1分；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时效保证措施</w:t>
            </w:r>
          </w:p>
        </w:tc>
        <w:tc>
          <w:tcPr>
            <w:tcW w:type="dxa" w:w="2492"/>
          </w:tcPr>
          <w:p>
            <w:pPr>
              <w:pStyle w:val="null3"/>
            </w:pPr>
            <w:r>
              <w:rPr>
                <w:rFonts w:ascii="仿宋_GB2312" w:hAnsi="仿宋_GB2312" w:cs="仿宋_GB2312" w:eastAsia="仿宋_GB2312"/>
              </w:rPr>
              <w:t>有出险报案后的①响应时间，②现场施救、③应急措施、④理赔服务承诺、⑤赔付时效（可在出险当地就地进行理赔核算、领取赔款等理赔程序），以上措施内容科学具体，针对性强，每项得1分； 措施内容基本具体，部分具有针对性得0.5分；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1.承诺投保人无需承担任何额外费用； 2.承诺先行垫付赔款，无需投保人垫付任何费用； 3.承诺提供人伤亡等重大案件的法律援助； 4.承诺提供个别特殊（重大）理赔服务。 供应商出具书面承诺书，格式自拟，每项根据承诺的完整性、合理性及针对性得1分，承诺基本完整，部分具有针对性得0.5分；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偿付能力</w:t>
            </w:r>
          </w:p>
        </w:tc>
        <w:tc>
          <w:tcPr>
            <w:tcW w:type="dxa" w:w="2492"/>
          </w:tcPr>
          <w:p>
            <w:pPr>
              <w:pStyle w:val="null3"/>
            </w:pPr>
            <w:r>
              <w:rPr>
                <w:rFonts w:ascii="仿宋_GB2312" w:hAnsi="仿宋_GB2312" w:cs="仿宋_GB2312" w:eastAsia="仿宋_GB2312"/>
              </w:rPr>
              <w:t>偿付能力充足率：供应商应提供上一年度经第三方审计机构出具的偿付能力报告，综合偿付能力 200%及以上计5分，综合偿付能力 150%(含)-200%计4分，综合偿付能力100%(含)-150%计3分。综合偿付能力低于100%不计分（未提供经第三方机构审计的年度末偿付能力报告不计分）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风险综合评级：供应商所属总公司近两年（2024-2025年）风险综合评级情况，按每个季度风险综合评级（分类监管）评价得分，每获得一次A的，得1分；每获得一次B的，得0.5分；C、D不得分，满分8分。（提供供应商所属总公司风险综合评级相关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供应商在采购内容之外能够对被保险人提供另外的增值服务，按照提供的增值服务项目，每提供一项增值服务得 1 分，最高得4分，未提供不得分。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人员信息保密方案</w:t>
            </w:r>
          </w:p>
        </w:tc>
        <w:tc>
          <w:tcPr>
            <w:tcW w:type="dxa" w:w="2492"/>
          </w:tcPr>
          <w:p>
            <w:pPr>
              <w:pStyle w:val="null3"/>
            </w:pPr>
            <w:r>
              <w:rPr>
                <w:rFonts w:ascii="仿宋_GB2312" w:hAnsi="仿宋_GB2312" w:cs="仿宋_GB2312" w:eastAsia="仿宋_GB2312"/>
              </w:rPr>
              <w:t>一、评审内容 针对于本项目的人员信息保密方案，方案内容包含：①信息收集与保密原则；②信息安全与监控；③违规处理措施等内容。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或保单为准，须在磋商响应文件中附合同（协议）或中标（成交）通知书或保单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详见附件：西安市莲湖区民政局莲湖区2026年老年人意外伤害保险项目采购合同.docx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