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AC120">
      <w:pPr>
        <w:jc w:val="center"/>
        <w:rPr>
          <w:rFonts w:hint="eastAsia" w:ascii="仿宋" w:hAnsi="仿宋" w:eastAsia="仿宋" w:cs="仿宋"/>
          <w:b/>
          <w:bCs/>
          <w:color w:val="auto"/>
          <w:sz w:val="44"/>
          <w:szCs w:val="44"/>
          <w:lang w:eastAsia="zh-CN"/>
        </w:rPr>
      </w:pPr>
    </w:p>
    <w:p w14:paraId="30D0E0E2">
      <w:pPr>
        <w:jc w:val="center"/>
        <w:rPr>
          <w:rFonts w:hint="eastAsia" w:ascii="仿宋" w:hAnsi="仿宋" w:eastAsia="仿宋" w:cs="仿宋"/>
          <w:b/>
          <w:bCs/>
          <w:color w:val="auto"/>
          <w:sz w:val="44"/>
          <w:szCs w:val="44"/>
          <w:lang w:eastAsia="zh-CN"/>
        </w:rPr>
      </w:pPr>
    </w:p>
    <w:p w14:paraId="609EAAEA">
      <w:pPr>
        <w:jc w:val="center"/>
        <w:rPr>
          <w:rFonts w:hint="eastAsia" w:ascii="仿宋" w:hAnsi="仿宋" w:eastAsia="仿宋" w:cs="仿宋"/>
          <w:b/>
          <w:bCs/>
          <w:color w:val="auto"/>
          <w:sz w:val="44"/>
          <w:szCs w:val="44"/>
          <w:lang w:eastAsia="zh-CN"/>
        </w:rPr>
      </w:pPr>
      <w:bookmarkStart w:id="0" w:name="_GoBack"/>
      <w:bookmarkEnd w:id="0"/>
      <w:r>
        <w:rPr>
          <w:rFonts w:hint="eastAsia" w:ascii="仿宋" w:hAnsi="仿宋" w:eastAsia="仿宋" w:cs="仿宋"/>
          <w:b/>
          <w:bCs/>
          <w:color w:val="auto"/>
          <w:sz w:val="44"/>
          <w:szCs w:val="44"/>
          <w:lang w:eastAsia="zh-CN"/>
        </w:rPr>
        <w:t>西安市莲湖区民政局</w:t>
      </w:r>
    </w:p>
    <w:p w14:paraId="0D27C20F">
      <w:pPr>
        <w:jc w:val="center"/>
        <w:rPr>
          <w:rFonts w:hint="eastAsia" w:ascii="仿宋" w:hAnsi="仿宋" w:eastAsia="仿宋" w:cs="仿宋"/>
          <w:color w:val="auto"/>
          <w:sz w:val="44"/>
          <w:szCs w:val="44"/>
        </w:rPr>
      </w:pPr>
      <w:r>
        <w:rPr>
          <w:rFonts w:hint="eastAsia" w:ascii="仿宋" w:hAnsi="仿宋" w:eastAsia="仿宋" w:cs="仿宋"/>
          <w:b/>
          <w:bCs/>
          <w:color w:val="auto"/>
          <w:sz w:val="44"/>
          <w:szCs w:val="44"/>
          <w:lang w:eastAsia="zh-CN"/>
        </w:rPr>
        <w:t>莲湖区2026年老年人意外伤害保险项目</w:t>
      </w:r>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32E28EF1">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093B3D34">
      <w:pPr>
        <w:pStyle w:val="2"/>
        <w:jc w:val="center"/>
        <w:rPr>
          <w:rFonts w:hint="eastAsia" w:ascii="仿宋" w:hAnsi="仿宋" w:eastAsia="仿宋" w:cs="仿宋"/>
          <w:color w:val="auto"/>
        </w:rPr>
      </w:pPr>
    </w:p>
    <w:p w14:paraId="553D53BF">
      <w:pPr>
        <w:rPr>
          <w:rFonts w:hint="eastAsia" w:ascii="仿宋" w:hAnsi="仿宋" w:eastAsia="仿宋" w:cs="仿宋"/>
          <w:color w:val="auto"/>
        </w:rPr>
      </w:pPr>
    </w:p>
    <w:p w14:paraId="5BDBA2AC">
      <w:pPr>
        <w:pStyle w:val="2"/>
        <w:rPr>
          <w:rFonts w:hint="eastAsia" w:ascii="仿宋" w:hAnsi="仿宋" w:eastAsia="仿宋" w:cs="仿宋"/>
          <w:color w:val="auto"/>
        </w:rPr>
      </w:pPr>
    </w:p>
    <w:p w14:paraId="67A7B5E1">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61084C80">
      <w:pPr>
        <w:spacing w:line="360" w:lineRule="auto"/>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74D4449">
      <w:pPr>
        <w:spacing w:line="360" w:lineRule="auto"/>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A801AF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2A8ECAE1">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1D3F7E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075F02F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58347B3E">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4479F90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48F7AA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080E0A7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4FCD20F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07EC7153">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0E48D7B5">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177DD5A4">
      <w:pPr>
        <w:spacing w:line="360" w:lineRule="auto"/>
        <w:ind w:firstLine="480" w:firstLineChars="200"/>
        <w:rPr>
          <w:rFonts w:hint="eastAsia" w:ascii="仿宋" w:hAnsi="仿宋" w:eastAsia="仿宋" w:cs="仿宋"/>
          <w:color w:val="auto"/>
        </w:rPr>
      </w:pPr>
      <w:r>
        <w:rPr>
          <w:rFonts w:hint="eastAsia" w:ascii="仿宋" w:hAnsi="仿宋" w:eastAsia="仿宋" w:cs="仿宋"/>
        </w:rPr>
        <w:t>本合同单价为¥</w:t>
      </w:r>
      <w:r>
        <w:rPr>
          <w:rFonts w:hint="eastAsia" w:ascii="仿宋" w:hAnsi="仿宋" w:eastAsia="仿宋" w:cs="仿宋"/>
          <w:u w:val="single"/>
        </w:rPr>
        <w:t xml:space="preserve">      </w:t>
      </w:r>
      <w:r>
        <w:rPr>
          <w:rFonts w:hint="eastAsia" w:ascii="仿宋" w:hAnsi="仿宋" w:eastAsia="仿宋" w:cs="仿宋"/>
        </w:rPr>
        <w:t>元/份/年/人（大写：</w:t>
      </w:r>
      <w:r>
        <w:rPr>
          <w:rFonts w:hint="eastAsia" w:ascii="仿宋" w:hAnsi="仿宋" w:eastAsia="仿宋" w:cs="仿宋"/>
          <w:u w:val="single"/>
        </w:rPr>
        <w:t xml:space="preserve">    </w:t>
      </w:r>
      <w:r>
        <w:rPr>
          <w:rFonts w:hint="eastAsia" w:ascii="仿宋" w:hAnsi="仿宋" w:eastAsia="仿宋" w:cs="仿宋"/>
        </w:rPr>
        <w:t>），该合同总价根据实际参保人数据实结算。该合同价款包括承接甲方项目所承担的全过程的一切费用。合同价格为含税价，供应商提供服务所发生的一切税（包括增值税）费等都已包含于合同价款中。</w:t>
      </w:r>
    </w:p>
    <w:p w14:paraId="3D2F664E">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0498AF84">
      <w:pPr>
        <w:keepNext w:val="0"/>
        <w:keepLines w:val="0"/>
        <w:pageBreakBefore w:val="0"/>
        <w:widowControl w:val="0"/>
        <w:kinsoku/>
        <w:wordWrap/>
        <w:overflowPunct/>
        <w:topLinePunct w:val="0"/>
        <w:autoSpaceDE/>
        <w:autoSpaceDN/>
        <w:bidi w:val="0"/>
        <w:adjustRightInd/>
        <w:snapToGrid w:val="0"/>
        <w:textAlignment w:val="auto"/>
        <w:rPr>
          <w:rFonts w:hint="eastAsia" w:ascii="仿宋_GB2312" w:hAnsi="仿宋_GB2312" w:eastAsia="仿宋_GB2312" w:cs="仿宋_GB2312"/>
          <w:color w:val="auto"/>
          <w:sz w:val="28"/>
          <w:szCs w:val="28"/>
        </w:rPr>
      </w:pPr>
      <w:r>
        <w:rPr>
          <w:rFonts w:hint="eastAsia" w:ascii="仿宋" w:hAnsi="仿宋" w:eastAsia="仿宋" w:cs="仿宋"/>
          <w:color w:val="auto"/>
          <w:lang w:val="en-US" w:eastAsia="zh-CN"/>
        </w:rPr>
        <w:t>1.</w:t>
      </w:r>
      <w:r>
        <w:rPr>
          <w:rFonts w:hint="eastAsia" w:ascii="仿宋" w:hAnsi="仿宋" w:eastAsia="仿宋" w:cs="仿宋"/>
          <w:color w:val="auto"/>
        </w:rPr>
        <w:t>付款方式</w:t>
      </w:r>
      <w:r>
        <w:rPr>
          <w:rFonts w:hint="eastAsia" w:ascii="仿宋" w:hAnsi="仿宋" w:eastAsia="仿宋" w:cs="仿宋"/>
          <w:color w:val="auto"/>
          <w:lang w:eastAsia="zh-CN"/>
        </w:rPr>
        <w:t>：“政府补贴人群”的保费，采取预付资金和据实结算相结合模式。在签订承保协议后，由莲湖区民政局将市级财政承担的补助资金和本级财政配套资金汇总，先向承保保险公司预支付保险期全额保险费的50%。保险期结束后，根据当年理赔金额占保险费总额比例，确定保险费支付金额，具体标准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8"/>
        <w:gridCol w:w="4104"/>
      </w:tblGrid>
      <w:tr w14:paraId="50FD9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tcPr>
          <w:p w14:paraId="3365F6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当年理赔金额占保险费总额比例</w:t>
            </w:r>
          </w:p>
        </w:tc>
        <w:tc>
          <w:tcPr>
            <w:tcW w:w="4104" w:type="dxa"/>
          </w:tcPr>
          <w:p w14:paraId="5BD731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支付保险费</w:t>
            </w:r>
          </w:p>
        </w:tc>
      </w:tr>
      <w:tr w14:paraId="3C82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tcPr>
          <w:p w14:paraId="540967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理赔金额占比≥80%</w:t>
            </w:r>
          </w:p>
        </w:tc>
        <w:tc>
          <w:tcPr>
            <w:tcW w:w="4104" w:type="dxa"/>
          </w:tcPr>
          <w:p w14:paraId="1BEEBF3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全额支付</w:t>
            </w:r>
          </w:p>
        </w:tc>
      </w:tr>
      <w:tr w14:paraId="0CA5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tcPr>
          <w:p w14:paraId="758F184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理赔金额占比&lt;80%</w:t>
            </w:r>
          </w:p>
        </w:tc>
        <w:tc>
          <w:tcPr>
            <w:tcW w:w="4104" w:type="dxa"/>
          </w:tcPr>
          <w:p w14:paraId="0747492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理赔金额×1.2</w:t>
            </w:r>
          </w:p>
        </w:tc>
      </w:tr>
      <w:tr w14:paraId="1A0C9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47E6557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备注：当“理赔金额×1.2”不足全额保险费的50%的部分资金，承保保险公司返还民政部门。</w:t>
            </w:r>
          </w:p>
        </w:tc>
      </w:tr>
    </w:tbl>
    <w:p w14:paraId="7A00086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.结算方式：银行转账。</w:t>
      </w:r>
    </w:p>
    <w:p w14:paraId="436E71C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.结算单位：由采购人负责结算。由成交单位按照磋商文件中约定的付款方式向采购人提出申请，待财政拨付到位后可按文件中规定的付款方式进行结算。</w:t>
      </w:r>
    </w:p>
    <w:p w14:paraId="779D980C">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w:t>
      </w:r>
      <w:r>
        <w:rPr>
          <w:rFonts w:hint="eastAsia" w:ascii="仿宋" w:hAnsi="仿宋" w:eastAsia="仿宋" w:cs="仿宋"/>
          <w:b w:val="0"/>
          <w:bCs w:val="0"/>
          <w:color w:val="auto"/>
          <w:highlight w:val="none"/>
          <w:lang w:eastAsia="zh-CN"/>
        </w:rPr>
        <w:t>自合同签订之日起至2026年12月31日二十四时止</w:t>
      </w:r>
      <w:r>
        <w:rPr>
          <w:rFonts w:hint="eastAsia" w:ascii="仿宋" w:hAnsi="仿宋" w:eastAsia="仿宋" w:cs="仿宋"/>
          <w:b w:val="0"/>
          <w:bCs w:val="0"/>
          <w:color w:val="auto"/>
          <w:highlight w:val="none"/>
        </w:rPr>
        <w:t>。</w:t>
      </w:r>
    </w:p>
    <w:p w14:paraId="65C3CAB8">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六、进度要求</w:t>
      </w:r>
    </w:p>
    <w:p w14:paraId="3104570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承保保险公司需印制《西安市老年人意外伤害保险投保告知单(政府补贴人群)》，由民政部门协调街道、社区将投保告知单发放给每位已投保“政府补贴人群”老年人。明确告知保险名称、保险责任、理赔流程等内容，确保老年人清晰知晓自身权益。</w:t>
      </w:r>
    </w:p>
    <w:p w14:paraId="2A742EFF">
      <w:p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rPr>
        <w:t>2.承保保险公司每季度向民政局报送报表，总结理赔案件及理赔金额数字；汇报疑难和遗留问题并阐述理由，提出商议及解决问题的办法；年度末报送全年的工作总结报告和全年的理赔清单报表</w:t>
      </w:r>
      <w:r>
        <w:rPr>
          <w:rFonts w:hint="eastAsia" w:ascii="仿宋" w:hAnsi="仿宋" w:eastAsia="仿宋" w:cs="仿宋"/>
          <w:color w:val="auto"/>
          <w:lang w:eastAsia="zh-CN"/>
        </w:rPr>
        <w:t>。</w:t>
      </w:r>
    </w:p>
    <w:p w14:paraId="3D1A31A5">
      <w:pPr>
        <w:spacing w:line="360" w:lineRule="auto"/>
        <w:rPr>
          <w:rFonts w:hint="eastAsia" w:ascii="仿宋" w:hAnsi="仿宋" w:eastAsia="仿宋" w:cs="仿宋"/>
          <w:b/>
          <w:bCs w:val="0"/>
          <w:color w:val="auto"/>
          <w:lang w:val="en-US" w:eastAsia="zh-CN"/>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w:t>
      </w:r>
      <w:r>
        <w:rPr>
          <w:rFonts w:hint="eastAsia" w:ascii="仿宋" w:hAnsi="仿宋" w:eastAsia="仿宋" w:cs="仿宋"/>
          <w:b/>
          <w:bCs w:val="0"/>
          <w:color w:val="auto"/>
          <w:lang w:val="en-US" w:eastAsia="zh-CN"/>
        </w:rPr>
        <w:t>质量保证</w:t>
      </w:r>
    </w:p>
    <w:p w14:paraId="31FF14A9">
      <w:pPr>
        <w:spacing w:line="360" w:lineRule="auto"/>
        <w:ind w:firstLine="480" w:firstLineChars="200"/>
        <w:rPr>
          <w:rFonts w:hint="eastAsia" w:ascii="仿宋" w:hAnsi="仿宋" w:eastAsia="仿宋" w:cs="仿宋"/>
          <w:b w:val="0"/>
          <w:bCs/>
          <w:color w:val="auto"/>
          <w:lang w:val="en-US" w:eastAsia="zh-CN"/>
        </w:rPr>
      </w:pPr>
      <w:r>
        <w:rPr>
          <w:rFonts w:hint="eastAsia" w:ascii="仿宋" w:hAnsi="仿宋" w:eastAsia="仿宋" w:cs="仿宋"/>
          <w:b w:val="0"/>
          <w:bCs/>
          <w:color w:val="auto"/>
          <w:lang w:val="en-US" w:eastAsia="zh-CN"/>
        </w:rPr>
        <w:t>1.服务方案科学、可行，人员配置合理，全面满足要求。</w:t>
      </w:r>
    </w:p>
    <w:p w14:paraId="22CA5D86">
      <w:pPr>
        <w:spacing w:line="360" w:lineRule="auto"/>
        <w:ind w:firstLine="480" w:firstLineChars="200"/>
        <w:rPr>
          <w:rFonts w:hint="eastAsia" w:ascii="仿宋" w:hAnsi="仿宋" w:eastAsia="仿宋" w:cs="仿宋"/>
          <w:b w:val="0"/>
          <w:bCs/>
          <w:color w:val="auto"/>
          <w:lang w:val="en-US" w:eastAsia="zh-CN"/>
        </w:rPr>
      </w:pPr>
      <w:r>
        <w:rPr>
          <w:rFonts w:hint="eastAsia" w:ascii="仿宋" w:hAnsi="仿宋" w:eastAsia="仿宋" w:cs="仿宋"/>
          <w:b w:val="0"/>
          <w:bCs/>
          <w:color w:val="auto"/>
          <w:lang w:val="en-US" w:eastAsia="zh-CN"/>
        </w:rPr>
        <w:t>2.符合国家有关服务规范要求，确保各项服务达到招标文件的技术服务要求。</w:t>
      </w:r>
    </w:p>
    <w:p w14:paraId="3F30DAE8">
      <w:pPr>
        <w:spacing w:line="360" w:lineRule="auto"/>
        <w:ind w:firstLine="480" w:firstLineChars="200"/>
        <w:rPr>
          <w:rFonts w:hint="eastAsia" w:ascii="仿宋" w:hAnsi="仿宋" w:eastAsia="仿宋" w:cs="仿宋"/>
          <w:b/>
          <w:bCs w:val="0"/>
          <w:color w:val="auto"/>
          <w:lang w:val="en-US" w:eastAsia="zh-CN"/>
        </w:rPr>
      </w:pPr>
      <w:r>
        <w:rPr>
          <w:rFonts w:hint="eastAsia" w:ascii="仿宋" w:hAnsi="仿宋" w:eastAsia="仿宋" w:cs="仿宋"/>
          <w:b w:val="0"/>
          <w:bCs/>
          <w:color w:val="auto"/>
          <w:lang w:val="en-US" w:eastAsia="zh-CN"/>
        </w:rPr>
        <w:t>3.供应商提供的技术服务，若发生侵权而产生的一切后果，由供应商负责，采购人保留索赔权利。</w:t>
      </w:r>
    </w:p>
    <w:p w14:paraId="6D9239B5">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八</w:t>
      </w:r>
      <w:r>
        <w:rPr>
          <w:rFonts w:hint="eastAsia" w:ascii="仿宋" w:hAnsi="仿宋" w:eastAsia="仿宋" w:cs="仿宋"/>
          <w:b/>
          <w:bCs w:val="0"/>
          <w:color w:val="auto"/>
        </w:rPr>
        <w:t>、服务内容及要求</w:t>
      </w:r>
    </w:p>
    <w:p w14:paraId="7014D4D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3627392B">
      <w:pPr>
        <w:numPr>
          <w:ilvl w:val="0"/>
          <w:numId w:val="0"/>
        </w:numPr>
        <w:spacing w:line="360" w:lineRule="auto"/>
        <w:rPr>
          <w:rFonts w:hint="default" w:ascii="仿宋" w:hAnsi="仿宋" w:eastAsia="仿宋" w:cs="仿宋"/>
          <w:color w:val="auto"/>
          <w:sz w:val="24"/>
          <w:lang w:val="en-US" w:eastAsia="zh-CN" w:bidi="ar-SA"/>
        </w:rPr>
      </w:pPr>
      <w:r>
        <w:rPr>
          <w:rFonts w:hint="eastAsia" w:ascii="仿宋" w:hAnsi="仿宋" w:eastAsia="仿宋" w:cs="仿宋"/>
          <w:b/>
          <w:bCs/>
          <w:color w:val="auto"/>
          <w:sz w:val="24"/>
          <w:lang w:val="en-US" w:eastAsia="zh-CN" w:bidi="ar-SA"/>
        </w:rPr>
        <w:t>九、</w:t>
      </w:r>
      <w:r>
        <w:rPr>
          <w:rFonts w:hint="eastAsia" w:ascii="仿宋" w:hAnsi="仿宋" w:eastAsia="仿宋" w:cs="仿宋"/>
          <w:b/>
          <w:bCs/>
          <w:color w:val="auto"/>
          <w:lang w:val="en-US" w:eastAsia="zh-CN"/>
        </w:rPr>
        <w:t>验收</w:t>
      </w:r>
    </w:p>
    <w:p w14:paraId="75D33104">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1</w:t>
      </w:r>
      <w:r>
        <w:rPr>
          <w:rFonts w:hint="default" w:ascii="仿宋" w:hAnsi="仿宋" w:eastAsia="仿宋" w:cs="仿宋"/>
          <w:color w:val="auto"/>
          <w:sz w:val="24"/>
          <w:lang w:val="en-US" w:eastAsia="zh-CN" w:bidi="ar-SA"/>
        </w:rPr>
        <w:t>.采购人进行验收，若认为验收不合格，供应商应重新调整且进行重新验收。</w:t>
      </w:r>
    </w:p>
    <w:p w14:paraId="3152F752">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2</w:t>
      </w:r>
      <w:r>
        <w:rPr>
          <w:rFonts w:hint="default" w:ascii="仿宋" w:hAnsi="仿宋" w:eastAsia="仿宋" w:cs="仿宋"/>
          <w:color w:val="auto"/>
          <w:sz w:val="24"/>
          <w:lang w:val="en-US" w:eastAsia="zh-CN" w:bidi="ar-SA"/>
        </w:rPr>
        <w:t>.验收依据：</w:t>
      </w:r>
    </w:p>
    <w:p w14:paraId="039E15E4">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①本项目磋商文件、磋商响应文件；</w:t>
      </w:r>
    </w:p>
    <w:p w14:paraId="66968E99">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②本合同及附件文本；</w:t>
      </w:r>
    </w:p>
    <w:p w14:paraId="50D789A7">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③合同签订时国家及行业现行的标准和技术规范。</w:t>
      </w:r>
    </w:p>
    <w:p w14:paraId="20098D6C">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④供应商应向采购人提交项目实施过程中的所有资料，以便采购人日后整理汇总。</w:t>
      </w:r>
    </w:p>
    <w:p w14:paraId="27D29A91">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十</w:t>
      </w:r>
      <w:r>
        <w:rPr>
          <w:rFonts w:hint="eastAsia" w:ascii="仿宋" w:hAnsi="仿宋" w:eastAsia="仿宋" w:cs="仿宋"/>
          <w:b/>
          <w:bCs/>
          <w:color w:val="auto"/>
        </w:rPr>
        <w:t>、技术要求</w:t>
      </w:r>
    </w:p>
    <w:p w14:paraId="5DCF819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4584D80D">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、双方权利义务</w:t>
      </w:r>
    </w:p>
    <w:p w14:paraId="61EF08C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（1）采购人权利与义务</w:t>
      </w:r>
    </w:p>
    <w:p w14:paraId="6345226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1.采购人有权对合同规定范围内</w:t>
      </w:r>
      <w:r>
        <w:rPr>
          <w:rFonts w:hint="eastAsia" w:ascii="仿宋" w:hAnsi="仿宋" w:eastAsia="仿宋" w:cs="仿宋"/>
          <w:color w:val="auto"/>
          <w:lang w:val="en-US" w:eastAsia="zh-CN"/>
        </w:rPr>
        <w:t>供应商</w:t>
      </w:r>
      <w:r>
        <w:rPr>
          <w:rFonts w:hint="eastAsia" w:ascii="仿宋" w:hAnsi="仿宋" w:eastAsia="仿宋" w:cs="仿宋"/>
          <w:color w:val="auto"/>
        </w:rPr>
        <w:t>的服务行为进行监督和检查，拥有监管权。对</w:t>
      </w:r>
      <w:r>
        <w:rPr>
          <w:rFonts w:hint="eastAsia" w:ascii="仿宋" w:hAnsi="仿宋" w:eastAsia="仿宋" w:cs="仿宋"/>
          <w:color w:val="auto"/>
          <w:lang w:val="en-US" w:eastAsia="zh-CN"/>
        </w:rPr>
        <w:t>采购人</w:t>
      </w:r>
      <w:r>
        <w:rPr>
          <w:rFonts w:hint="eastAsia" w:ascii="仿宋" w:hAnsi="仿宋" w:eastAsia="仿宋" w:cs="仿宋"/>
          <w:color w:val="auto"/>
        </w:rPr>
        <w:t>认为不合理的部分有权下达整改通知书，并要求</w:t>
      </w:r>
      <w:r>
        <w:rPr>
          <w:rFonts w:hint="eastAsia" w:ascii="仿宋" w:hAnsi="仿宋" w:eastAsia="仿宋" w:cs="仿宋"/>
          <w:color w:val="auto"/>
          <w:lang w:val="en-US" w:eastAsia="zh-CN"/>
        </w:rPr>
        <w:t>供应商</w:t>
      </w:r>
      <w:r>
        <w:rPr>
          <w:rFonts w:hint="eastAsia" w:ascii="仿宋" w:hAnsi="仿宋" w:eastAsia="仿宋" w:cs="仿宋"/>
          <w:color w:val="auto"/>
        </w:rPr>
        <w:t>限期整改。</w:t>
      </w:r>
    </w:p>
    <w:p w14:paraId="6B7823A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.负责检查监督</w:t>
      </w:r>
      <w:r>
        <w:rPr>
          <w:rFonts w:hint="eastAsia" w:ascii="仿宋" w:hAnsi="仿宋" w:eastAsia="仿宋" w:cs="仿宋"/>
          <w:color w:val="auto"/>
          <w:lang w:val="en-US" w:eastAsia="zh-CN"/>
        </w:rPr>
        <w:t>供应商</w:t>
      </w:r>
      <w:r>
        <w:rPr>
          <w:rFonts w:hint="eastAsia" w:ascii="仿宋" w:hAnsi="仿宋" w:eastAsia="仿宋" w:cs="仿宋"/>
          <w:color w:val="auto"/>
        </w:rPr>
        <w:t>管理工作的实施及制度的执行情况。</w:t>
      </w:r>
    </w:p>
    <w:p w14:paraId="4BC41BA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.根据本合同规定，按时向</w:t>
      </w:r>
      <w:r>
        <w:rPr>
          <w:rFonts w:hint="eastAsia" w:ascii="仿宋" w:hAnsi="仿宋" w:eastAsia="仿宋" w:cs="仿宋"/>
          <w:color w:val="auto"/>
          <w:lang w:val="en-US" w:eastAsia="zh-CN"/>
        </w:rPr>
        <w:t>供应商</w:t>
      </w:r>
      <w:r>
        <w:rPr>
          <w:rFonts w:hint="eastAsia" w:ascii="仿宋" w:hAnsi="仿宋" w:eastAsia="仿宋" w:cs="仿宋"/>
          <w:color w:val="auto"/>
        </w:rPr>
        <w:t>支付应付服务费用。</w:t>
      </w:r>
    </w:p>
    <w:p w14:paraId="38EDA0A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4</w:t>
      </w:r>
      <w:r>
        <w:rPr>
          <w:rFonts w:hint="eastAsia" w:ascii="仿宋" w:hAnsi="仿宋" w:eastAsia="仿宋" w:cs="仿宋"/>
          <w:color w:val="auto"/>
        </w:rPr>
        <w:t>.国家法律、法规所规定由</w:t>
      </w:r>
      <w:r>
        <w:rPr>
          <w:rFonts w:hint="eastAsia" w:ascii="仿宋" w:hAnsi="仿宋" w:eastAsia="仿宋" w:cs="仿宋"/>
          <w:color w:val="auto"/>
          <w:lang w:val="en-US" w:eastAsia="zh-CN"/>
        </w:rPr>
        <w:t>采购人</w:t>
      </w:r>
      <w:r>
        <w:rPr>
          <w:rFonts w:hint="eastAsia" w:ascii="仿宋" w:hAnsi="仿宋" w:eastAsia="仿宋" w:cs="仿宋"/>
          <w:color w:val="auto"/>
        </w:rPr>
        <w:t>承担的其它责任。</w:t>
      </w:r>
    </w:p>
    <w:p w14:paraId="222D422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（2）供应商权利与义务</w:t>
      </w:r>
    </w:p>
    <w:p w14:paraId="622931F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1.对本合同规定的委托服务范围内的项目享有管理权及服务义务。</w:t>
      </w:r>
    </w:p>
    <w:p w14:paraId="25B56AF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2.根据本合同的规定向</w:t>
      </w:r>
      <w:r>
        <w:rPr>
          <w:rFonts w:hint="eastAsia" w:ascii="仿宋" w:hAnsi="仿宋" w:eastAsia="仿宋" w:cs="仿宋"/>
          <w:color w:val="auto"/>
          <w:lang w:val="en-US" w:eastAsia="zh-CN"/>
        </w:rPr>
        <w:t>采购人</w:t>
      </w:r>
      <w:r>
        <w:rPr>
          <w:rFonts w:hint="eastAsia" w:ascii="仿宋" w:hAnsi="仿宋" w:eastAsia="仿宋" w:cs="仿宋"/>
          <w:color w:val="auto"/>
        </w:rPr>
        <w:t>收取相关服务费用，并有权在本项目管理范围内管理及合理使用。</w:t>
      </w:r>
    </w:p>
    <w:p w14:paraId="170D12F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3.及时向</w:t>
      </w:r>
      <w:r>
        <w:rPr>
          <w:rFonts w:hint="eastAsia" w:ascii="仿宋" w:hAnsi="仿宋" w:eastAsia="仿宋" w:cs="仿宋"/>
          <w:color w:val="auto"/>
          <w:lang w:val="en-US" w:eastAsia="zh-CN"/>
        </w:rPr>
        <w:t>采购人</w:t>
      </w:r>
      <w:r>
        <w:rPr>
          <w:rFonts w:hint="eastAsia" w:ascii="仿宋" w:hAnsi="仿宋" w:eastAsia="仿宋" w:cs="仿宋"/>
          <w:color w:val="auto"/>
        </w:rPr>
        <w:t>通告本项目服务范围内有关服务的重大事项，及时配合处理投诉。</w:t>
      </w:r>
    </w:p>
    <w:p w14:paraId="0291C96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4.接受项目行业管理部门及政府有关部门的指导，接受</w:t>
      </w:r>
      <w:r>
        <w:rPr>
          <w:rFonts w:hint="eastAsia" w:ascii="仿宋" w:hAnsi="仿宋" w:eastAsia="仿宋" w:cs="仿宋"/>
          <w:color w:val="auto"/>
          <w:lang w:val="en-US" w:eastAsia="zh-CN"/>
        </w:rPr>
        <w:t>采购人</w:t>
      </w:r>
      <w:r>
        <w:rPr>
          <w:rFonts w:hint="eastAsia" w:ascii="仿宋" w:hAnsi="仿宋" w:eastAsia="仿宋" w:cs="仿宋"/>
          <w:color w:val="auto"/>
        </w:rPr>
        <w:t>的监督。</w:t>
      </w:r>
    </w:p>
    <w:p w14:paraId="6AAB07C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5.国家法律、法规所规定由</w:t>
      </w:r>
      <w:r>
        <w:rPr>
          <w:rFonts w:hint="eastAsia" w:ascii="仿宋" w:hAnsi="仿宋" w:eastAsia="仿宋" w:cs="仿宋"/>
          <w:color w:val="auto"/>
          <w:lang w:val="en-US" w:eastAsia="zh-CN"/>
        </w:rPr>
        <w:t>供应商</w:t>
      </w:r>
      <w:r>
        <w:rPr>
          <w:rFonts w:hint="eastAsia" w:ascii="仿宋" w:hAnsi="仿宋" w:eastAsia="仿宋" w:cs="仿宋"/>
          <w:color w:val="auto"/>
        </w:rPr>
        <w:t>承担的其它责任。</w:t>
      </w:r>
    </w:p>
    <w:p w14:paraId="06F09BD2">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、保密</w:t>
      </w:r>
    </w:p>
    <w:p w14:paraId="333026E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4A82D54C">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三</w:t>
      </w:r>
      <w:r>
        <w:rPr>
          <w:rFonts w:hint="eastAsia" w:ascii="仿宋" w:hAnsi="仿宋" w:eastAsia="仿宋" w:cs="仿宋"/>
          <w:b/>
          <w:bCs/>
          <w:color w:val="auto"/>
        </w:rPr>
        <w:t>、知识产权</w:t>
      </w:r>
    </w:p>
    <w:p w14:paraId="53A2893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9ADD0B5">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四</w:t>
      </w:r>
      <w:r>
        <w:rPr>
          <w:rFonts w:hint="eastAsia" w:ascii="仿宋" w:hAnsi="仿宋" w:eastAsia="仿宋" w:cs="仿宋"/>
          <w:b/>
          <w:bCs/>
          <w:color w:val="auto"/>
        </w:rPr>
        <w:t>、合同争议的解决</w:t>
      </w:r>
    </w:p>
    <w:p w14:paraId="4224327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22FE89DD">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五</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19C5C04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721C046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39B8B0B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、违约责任</w:t>
      </w:r>
    </w:p>
    <w:p w14:paraId="59AF8D8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1.按《中华人民共和国民法典》中的相关条款和本合同的约定执行。2.未按合同或磋商文件要求提供服务质量不能满足甲方技术要求，甲方有权终止合同，甚至对乙方违约行为进行追究。</w:t>
      </w:r>
    </w:p>
    <w:p w14:paraId="0D5751F4">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0E1304E0">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九</w:t>
      </w:r>
      <w:r>
        <w:rPr>
          <w:rFonts w:hint="eastAsia" w:ascii="仿宋" w:hAnsi="仿宋" w:eastAsia="仿宋" w:cs="仿宋"/>
          <w:b/>
          <w:bCs/>
          <w:color w:val="auto"/>
        </w:rPr>
        <w:t>、合同订立</w:t>
      </w:r>
    </w:p>
    <w:p w14:paraId="7DE6586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       月      日。</w:t>
      </w:r>
    </w:p>
    <w:p w14:paraId="6BAE0E4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0B7AAF9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7CA5C6AA">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3A7E35FD">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279F8806">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204757FA">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5B88E6DE">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28FBE8D3">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0AAC03F4">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6B838CF0">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4C1D4590">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7282DA6E">
      <w:r>
        <w:rPr>
          <w:rFonts w:hint="eastAsia" w:ascii="仿宋" w:hAnsi="仿宋" w:eastAsia="仿宋" w:cs="仿宋"/>
          <w:color w:val="auto"/>
        </w:rPr>
        <w:t xml:space="preserve">电子邮箱：                               电子邮箱：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665FA8"/>
    <w:rsid w:val="05665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lock Text"/>
    <w:basedOn w:val="1"/>
    <w:unhideWhenUsed/>
    <w:qFormat/>
    <w:uiPriority w:val="99"/>
    <w:pPr>
      <w:spacing w:line="360" w:lineRule="auto"/>
      <w:ind w:left="-420" w:leftChars="-200" w:right="210" w:rightChars="100" w:firstLine="480" w:firstLineChars="200"/>
    </w:pPr>
    <w:rPr>
      <w:rFonts w:ascii="宋体" w:hAnsi="宋体"/>
    </w:rPr>
  </w:style>
  <w:style w:type="table" w:styleId="5">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2026-04-13T10:00:00Z</dcterms:created>
  <dc:creator>苍白假面</dc:creator>
  <cp:lastModifiedBy>苍白假面</cp:lastModifiedBy>
  <dcterms:modified xsi:type="dcterms:W3CDTF">2026-04-13T10:00:40Z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2A88799322FD4DB98E7F85A4C1773D06_11</vt:lpwstr>
  </property>
  <property fmtid="{D5CDD505-2E9C-101B-9397-08002B2CF9AE}" pid="4" name="KSOTemplateDocerSaveRecord">
    <vt:lpwstr>eyJoZGlkIjoiY2U1ZTlkNThkYmUxMjkwM2M5Y2E1YWM0NWQ1ZjUwMDUiLCJ1c2VySWQiOiIyNzI4NDY5MDUifQ==</vt:lpwstr>
  </property>
</Properties>
</file>