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2024年春节街景美化亮化项目</w:t>
      </w:r>
    </w:p>
    <w:p>
      <w:pPr>
        <w:pStyle w:val="null3"/>
        <w:jc w:val="center"/>
        <w:outlineLvl w:val="2"/>
      </w:pPr>
      <w:r>
        <w:rPr>
          <w:b/>
          <w:sz w:val="28"/>
        </w:rPr>
        <w:t>采购项目编号：</w:t>
      </w:r>
      <w:r>
        <w:rPr>
          <w:b/>
          <w:sz w:val="28"/>
        </w:rPr>
        <w:t>YZZB-24007</w:t>
      </w:r>
      <w:r>
        <w:br/>
      </w:r>
      <w:r>
        <w:br/>
      </w:r>
      <w:r>
        <w:br/>
      </w:r>
    </w:p>
    <w:p>
      <w:pPr>
        <w:pStyle w:val="null3"/>
        <w:jc w:val="center"/>
        <w:outlineLvl w:val="2"/>
      </w:pPr>
      <w:r>
        <w:rPr>
          <w:b/>
          <w:sz w:val="28"/>
        </w:rPr>
        <w:t>西安市灞桥区城市管理和综合执法局</w:t>
      </w:r>
    </w:p>
    <w:p>
      <w:pPr>
        <w:pStyle w:val="null3"/>
        <w:jc w:val="center"/>
        <w:outlineLvl w:val="2"/>
      </w:pPr>
      <w:r>
        <w:rPr>
          <w:b/>
          <w:sz w:val="28"/>
        </w:rPr>
        <w:t>易臻项目管理有限公司</w:t>
      </w:r>
      <w:r>
        <w:rPr>
          <w:b/>
          <w:sz w:val="28"/>
        </w:rPr>
        <w:t>共同编制</w:t>
      </w:r>
    </w:p>
    <w:p>
      <w:pPr>
        <w:pStyle w:val="null3"/>
        <w:jc w:val="center"/>
        <w:outlineLvl w:val="2"/>
      </w:pPr>
      <w:r>
        <w:rPr>
          <w:b/>
          <w:sz w:val="28"/>
        </w:rPr>
        <w:t>2024年01月18日</w:t>
      </w:r>
    </w:p>
    <w:p>
      <w:pPr>
        <w:pStyle w:val="null3"/>
      </w:pPr>
      <w:r>
        <w:rPr/>
        <w:t xml:space="preserve"> </w:t>
      </w:r>
    </w:p>
    <w:p>
      <w:pPr>
        <w:pStyle w:val="null3"/>
        <w:jc w:val="center"/>
        <w:outlineLvl w:val="1"/>
      </w:pPr>
      <w:r>
        <w:rPr>
          <w:b/>
          <w:sz w:val="36"/>
        </w:rPr>
        <w:t>第一章 竞争性磋商邀请</w:t>
      </w:r>
    </w:p>
    <w:p>
      <w:pPr>
        <w:pStyle w:val="null3"/>
        <w:ind w:firstLine="480"/>
      </w:pPr>
      <w:r>
        <w:rPr/>
        <w:t>易臻项目管理有限公司</w:t>
      </w:r>
      <w:r>
        <w:rPr/>
        <w:t>（以下简称“代理机构”）受</w:t>
      </w:r>
      <w:r>
        <w:rPr/>
        <w:t>西安市灞桥区城市管理和综合执法局</w:t>
      </w:r>
      <w:r>
        <w:rPr/>
        <w:t>委托，拟对</w:t>
      </w:r>
      <w:r>
        <w:rPr/>
        <w:t>2024年春节街景美化亮化项目</w:t>
      </w:r>
      <w:r>
        <w:rPr/>
        <w:t>采用竞争性磋商采购方式进行采购，兹邀请供应商参加本项目的竞争性磋商。</w:t>
      </w:r>
    </w:p>
    <w:p>
      <w:pPr>
        <w:pStyle w:val="null3"/>
        <w:outlineLvl w:val="2"/>
      </w:pPr>
      <w:r>
        <w:rPr>
          <w:b/>
          <w:sz w:val="28"/>
        </w:rPr>
        <w:t>一、项目编号：</w:t>
      </w:r>
      <w:r>
        <w:rPr>
          <w:b/>
          <w:sz w:val="28"/>
        </w:rPr>
        <w:t>YZZB-24007</w:t>
      </w:r>
    </w:p>
    <w:p>
      <w:pPr>
        <w:pStyle w:val="null3"/>
        <w:outlineLvl w:val="2"/>
      </w:pPr>
      <w:r>
        <w:rPr>
          <w:b/>
          <w:sz w:val="28"/>
        </w:rPr>
        <w:t>二、项目名称：</w:t>
      </w:r>
      <w:r>
        <w:rPr>
          <w:b/>
          <w:sz w:val="28"/>
        </w:rPr>
        <w:t>2024年春节街景美化亮化项目</w:t>
      </w:r>
    </w:p>
    <w:p>
      <w:pPr>
        <w:pStyle w:val="null3"/>
        <w:outlineLvl w:val="2"/>
      </w:pPr>
      <w:r>
        <w:rPr>
          <w:b/>
          <w:sz w:val="28"/>
        </w:rPr>
        <w:t>三、磋商项目简介</w:t>
      </w:r>
    </w:p>
    <w:p>
      <w:pPr>
        <w:pStyle w:val="null3"/>
        <w:ind w:firstLine="480"/>
      </w:pPr>
      <w:r>
        <w:rPr/>
        <w:t>为进一步规范做好我区2024年春节街景布置美化亮化工作，营造欢乐祥和的节日氛围。拟在2022年度、2023年度春节街景美化亮化建设区域内包括纺一路、纺西街等道路及堡子村周边、城东客运站、绕城高速香王收费站和纺织城收费站等重要道路节点，利用现有市政路灯电源，开展节日街景美化亮化工作。</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采购包1（2024年春节街景美化亮化项目）：属于专门面向中小企业采购。</w:t>
      </w:r>
    </w:p>
    <w:p>
      <w:pPr>
        <w:pStyle w:val="null3"/>
        <w:ind w:firstLine="480"/>
      </w:pPr>
      <w:r>
        <w:rPr/>
        <w:t>（三）本项目的特定资格要求：</w:t>
      </w:r>
    </w:p>
    <w:p>
      <w:pPr>
        <w:pStyle w:val="null3"/>
      </w:pPr>
      <w:r>
        <w:rPr/>
        <w:t>采购包1：</w:t>
      </w:r>
    </w:p>
    <w:p>
      <w:pPr>
        <w:pStyle w:val="null3"/>
      </w:pPr>
      <w:r>
        <w:rPr/>
        <w:t>1、响应供应商需提供合法有效的统一社会信用代码营业执照：响应供应商需提供合法有效的统一社会信用代码营业执照</w:t>
      </w:r>
    </w:p>
    <w:p>
      <w:pPr>
        <w:pStyle w:val="null3"/>
      </w:pPr>
      <w:r>
        <w:rPr/>
        <w:t>2、法定代表人参加投标的，须提供本人身份证加盖公章的复印件；法定代表人授权他人参加投标的，须提供法定代表人授权委托书及被授权代表的身份证复印件。：法定代表人参加投标的，须提供本人身份证加盖公章的复印件；法定代表人授权他人参加投标的，须提供法定代表人授权委托书及被授权代表的身份证复印件。</w:t>
      </w:r>
    </w:p>
    <w:p>
      <w:pPr>
        <w:pStyle w:val="null3"/>
      </w:pPr>
      <w:r>
        <w:rPr/>
        <w:t>3、财务状况报告：提供2022年度经审计的财务审计报告或投标截止时间前三个月内银行出具的资信证明文件或信用担保机构出具的投标担保函。：财务状况报告：提供2022年度经审计的财务审计报告或投标截止时间前三个月内银行出具的资信证明文件或信用担保机构出具的投标担保函。</w:t>
      </w:r>
    </w:p>
    <w:p>
      <w:pPr>
        <w:pStyle w:val="null3"/>
      </w:pPr>
      <w:r>
        <w:rPr/>
        <w:t>4、社会保障资金缴纳证明：提供供应商2023年1月1日以来至少一个月已缴纳的社会保障资金缴存单据或社保机构开具的社会保险参保缴费情况证明；依法不需要缴纳社会保障资金的供应商应提供加盖公章的相关证明文件：社会保障资金缴纳证明：提供供应商2023年1月1日以来至少一个月已缴纳的社会保障资金缴存单据或社保机构开具的社会保险参保缴费情况证明；依法不需要缴纳社会保障资金的供应商应提供加盖公章的相关证明文件</w:t>
      </w:r>
    </w:p>
    <w:p>
      <w:pPr>
        <w:pStyle w:val="null3"/>
      </w:pPr>
      <w:r>
        <w:rPr/>
        <w:t>5、税收缴纳证明：提供供应商2023年1月1日以来至少一个月已缴纳的增值税纳税证明或完税证明，依法免税的供应商应提供加盖公章的相关证明文件：税收缴纳证明：提供供应商2023年1月1日以来至少一个月已缴纳的增值税纳税证明或完税证明，依法免税的供应商应提供加盖公章的相关证明文件</w:t>
      </w:r>
    </w:p>
    <w:p>
      <w:pPr>
        <w:pStyle w:val="null3"/>
      </w:pPr>
      <w:r>
        <w:rPr/>
        <w:t>6、具备履行合同所必需的设备和专业技术能力的证明材料(由供应商根据项目需求提供说明材料或者承诺)；：具备履行合同所必需的设备和专业技术能力的证明材料(由供应商根据项目需求提供说明材料或者承诺)；</w:t>
      </w:r>
    </w:p>
    <w:p>
      <w:pPr>
        <w:pStyle w:val="null3"/>
      </w:pPr>
      <w:r>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t>8、单位负责人为同一人或者存在控股、管理关系的不同单位不得同时参加同一项目投标。：单位负责人为同一人或者存在控股、管理关系的不同单位不得同时参加同一项目投标。</w:t>
      </w:r>
    </w:p>
    <w:p>
      <w:pPr>
        <w:pStyle w:val="null3"/>
      </w:pPr>
      <w:r>
        <w:rPr/>
        <w:t>9、中小企业声明函 ：提供中小企业声明函</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西安市灞桥区城市管理和综合执法局</w:t>
      </w:r>
    </w:p>
    <w:p>
      <w:pPr>
        <w:pStyle w:val="null3"/>
      </w:pPr>
      <w:r>
        <w:rPr/>
        <w:t xml:space="preserve"> 地址： </w:t>
      </w:r>
      <w:r>
        <w:rPr/>
        <w:t>陕西省西安市灞桥区纺一路809号</w:t>
      </w:r>
    </w:p>
    <w:p>
      <w:pPr>
        <w:pStyle w:val="null3"/>
      </w:pPr>
      <w:r>
        <w:rPr/>
        <w:t xml:space="preserve"> 邮编： </w:t>
      </w:r>
      <w:r>
        <w:rPr/>
        <w:t>710000</w:t>
      </w:r>
    </w:p>
    <w:p>
      <w:pPr>
        <w:pStyle w:val="null3"/>
      </w:pPr>
      <w:r>
        <w:rPr/>
        <w:t xml:space="preserve"> 联系人： </w:t>
      </w:r>
      <w:r>
        <w:rPr/>
        <w:t>寇工</w:t>
      </w:r>
    </w:p>
    <w:p>
      <w:pPr>
        <w:pStyle w:val="null3"/>
      </w:pPr>
      <w:r>
        <w:rPr/>
        <w:t xml:space="preserve"> 联系电话： </w:t>
      </w:r>
      <w:r>
        <w:rPr/>
        <w:t>029-89512242</w:t>
      </w:r>
    </w:p>
    <w:p>
      <w:pPr>
        <w:pStyle w:val="null3"/>
        <w:outlineLvl w:val="3"/>
      </w:pPr>
      <w:r>
        <w:rPr>
          <w:b/>
          <w:sz w:val="24"/>
        </w:rPr>
        <w:t>代理机构：</w:t>
      </w:r>
      <w:r>
        <w:rPr>
          <w:b/>
          <w:sz w:val="24"/>
        </w:rPr>
        <w:t>易臻项目管理有限公司</w:t>
      </w:r>
    </w:p>
    <w:p>
      <w:pPr>
        <w:pStyle w:val="null3"/>
      </w:pPr>
      <w:r>
        <w:rPr/>
        <w:t xml:space="preserve"> 地址： </w:t>
      </w:r>
      <w:r>
        <w:rPr/>
        <w:t>陕西省西安市雁塔区天地源悦熙广场2#楼10楼</w:t>
      </w:r>
    </w:p>
    <w:p>
      <w:pPr>
        <w:pStyle w:val="null3"/>
      </w:pPr>
      <w:r>
        <w:rPr/>
        <w:t xml:space="preserve"> 邮编： </w:t>
      </w:r>
      <w:r>
        <w:rPr/>
        <w:t>710065</w:t>
      </w:r>
    </w:p>
    <w:p>
      <w:pPr>
        <w:pStyle w:val="null3"/>
      </w:pPr>
      <w:r>
        <w:rPr/>
        <w:t xml:space="preserve"> 联系人： </w:t>
      </w:r>
      <w:r>
        <w:rPr/>
        <w:t>董工、潘工</w:t>
      </w:r>
    </w:p>
    <w:p>
      <w:pPr>
        <w:pStyle w:val="null3"/>
      </w:pPr>
      <w:r>
        <w:rPr/>
        <w:t xml:space="preserve"> 联系电话： </w:t>
      </w:r>
      <w:r>
        <w:rPr/>
        <w:t>029-89198908-8001</w:t>
      </w:r>
    </w:p>
    <w:p>
      <w:pPr>
        <w:pStyle w:val="null3"/>
        <w:outlineLvl w:val="3"/>
      </w:pPr>
      <w:r>
        <w:rPr>
          <w:b/>
          <w:sz w:val="24"/>
        </w:rPr>
        <w:t>采购监督机构：</w:t>
      </w:r>
      <w:r>
        <w:rPr>
          <w:b/>
          <w:sz w:val="24"/>
        </w:rPr>
        <w:t>西安市灞桥区政府采购管理股</w:t>
      </w:r>
    </w:p>
    <w:p>
      <w:pPr>
        <w:pStyle w:val="null3"/>
        <w:ind w:firstLine="480"/>
      </w:pPr>
      <w:r>
        <w:rPr/>
        <w:t>联系人：</w:t>
      </w:r>
      <w:r>
        <w:rPr/>
        <w:t>唐鹏翙</w:t>
      </w:r>
    </w:p>
    <w:p>
      <w:pPr>
        <w:pStyle w:val="null3"/>
        <w:ind w:firstLine="480"/>
      </w:pPr>
      <w:r>
        <w:rPr/>
        <w:t>联系电话：</w:t>
      </w:r>
      <w:r>
        <w:rPr/>
        <w:t>83519160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清单内的所有产品</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清单内的所有产品</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代理服务费收费标准：按国家发展改革委发布的《关于进一步放开建设项目专业服务价格的通知》(发改价格 (2015) 299 号) 计取，计算方法参照原国家计委颁布的《招标代理服务收费管理暂行办法》(计价格[2002]1980 号)标准。服务类规定收取。 代理报酬的支付方式：成交单位在领取成交通知书前，须向采购代理机构一次性支付。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西安市灞桥区城市管理和综合执法局</w:t>
      </w:r>
      <w:r>
        <w:rPr/>
        <w:t>和</w:t>
      </w:r>
      <w:r>
        <w:rPr/>
        <w:t>易臻项目管理有限公司</w:t>
      </w:r>
      <w:r>
        <w:rPr/>
        <w:t>享有。对磋商文件中供应商参加本次政府采购活动应当具备的条件，磋商项目技术、服务、商务及其他要求，评审细则及标准由</w:t>
      </w:r>
      <w:r>
        <w:rPr/>
        <w:t>西安市灞桥区城市管理和综合执法局</w:t>
      </w:r>
      <w:r>
        <w:rPr/>
        <w:t>负责解释。除上述磋商文件内容，其他内容由</w:t>
      </w:r>
      <w:r>
        <w:rPr/>
        <w:t>易臻项目管理有限公司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西安市灞桥区城市管理和综合执法局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易臻项目管理有限公司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易臻项目管理有限公司</w:t>
      </w:r>
      <w:r>
        <w:rPr/>
        <w:t xml:space="preserve"> 负责答复；供应商对除采购需求外的采购文件的询问、质疑由</w:t>
      </w:r>
      <w:r>
        <w:rPr/>
        <w:t>易臻项目管理有限公司</w:t>
      </w:r>
      <w:r>
        <w:rPr/>
        <w:t xml:space="preserve"> 负责答复；供应商对采购过程、采购结果的询问、质疑由 </w:t>
      </w:r>
      <w:r>
        <w:rPr/>
        <w:t>易臻项目管理有限公司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联系人：董工</w:t>
      </w:r>
    </w:p>
    <w:p>
      <w:pPr>
        <w:pStyle w:val="null3"/>
      </w:pPr>
      <w:r>
        <w:rPr/>
        <w:t>联系电话：029-89198908-8001</w:t>
      </w:r>
    </w:p>
    <w:p>
      <w:pPr>
        <w:pStyle w:val="null3"/>
      </w:pPr>
      <w:r>
        <w:rPr/>
        <w:t>地址：陕西省西安市雁塔区太白南路天地源悦熙广场2#楼10楼</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为进一步规范做好我区2024年春节街景布置美化亮化工作，营造欢乐祥和的节日氛围。拟在2022年度、2023年度春节街景美化亮化建设区域内包括纺一路、纺西街等道路及堡子村周边、城东客运站、绕城高速香王收费站和纺织城收费站等重要道路节点，利用现有市政路灯电源，开展节日街景美化亮化工作。</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2024年春节街景美化亮化项目</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标的名称：2024年春节街景美化亮化项目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详见附件-2024 年 西 安 灞 桥 区 春 节 氛 围 营 造 设 计 方 案 清 单</w:t>
            </w:r>
          </w:p>
        </w:tc>
      </w:tr>
    </w:tbl>
    <w:p>
      <w:pPr>
        <w:pStyle w:val="null3"/>
        <w:outlineLvl w:val="2"/>
      </w:pPr>
      <w:r>
        <w:rPr>
          <w:b/>
          <w:sz w:val="28"/>
        </w:rPr>
        <w:t>3.2.3人员配置要求</w:t>
      </w:r>
    </w:p>
    <w:p>
      <w:pPr>
        <w:pStyle w:val="null3"/>
      </w:pPr>
      <w:r>
        <w:rPr/>
        <w:t>采购包1：</w:t>
      </w:r>
    </w:p>
    <w:p>
      <w:pPr>
        <w:pStyle w:val="null3"/>
      </w:pPr>
      <w:r>
        <w:rPr/>
        <w:t>符合本项目采购需求的专业人员 详见采购文件评审标准</w:t>
      </w:r>
    </w:p>
    <w:p>
      <w:pPr>
        <w:pStyle w:val="null3"/>
        <w:outlineLvl w:val="2"/>
      </w:pPr>
      <w:r>
        <w:rPr>
          <w:b/>
          <w:sz w:val="28"/>
        </w:rPr>
        <w:t>3.2.4设施设备要求</w:t>
      </w:r>
    </w:p>
    <w:p>
      <w:pPr>
        <w:pStyle w:val="null3"/>
      </w:pPr>
      <w:r>
        <w:rPr/>
        <w:t>采购包1：</w:t>
      </w:r>
    </w:p>
    <w:p>
      <w:pPr>
        <w:pStyle w:val="null3"/>
      </w:pPr>
      <w:r>
        <w:rPr/>
        <w:t>符合本项目采购需求的设施设备 详见采购文件</w:t>
      </w:r>
    </w:p>
    <w:p>
      <w:pPr>
        <w:pStyle w:val="null3"/>
        <w:outlineLvl w:val="2"/>
      </w:pPr>
      <w:r>
        <w:rPr>
          <w:b/>
          <w:sz w:val="28"/>
        </w:rPr>
        <w:t>3.2.5其他要求</w:t>
      </w:r>
    </w:p>
    <w:p>
      <w:pPr>
        <w:pStyle w:val="null3"/>
      </w:pPr>
      <w:r>
        <w:rPr/>
        <w:t>采购包1：</w:t>
      </w:r>
    </w:p>
    <w:p>
      <w:pPr>
        <w:pStyle w:val="null3"/>
      </w:pPr>
      <w:r>
        <w:rPr/>
        <w:t>服务内容： （1）、服务商要严格遵守《中华人民共和国电信条例》和信息产业部颁布的《电信服务标准（试行）》、《电信服务规范》的线路质量要求，保障租用线路畅通。 （2）、遇线路升速时，应采取安全、合理的技术方案,完善的协调保障措施，并提前通知采购方，经采购方确认后实施，实施过程中确保平滑过渡。 （3）、服务商施工、网络割接等原因影响租用线路正常使用的，服务商应当提前通知采购方，采购人同意后，服务商应尽快消除故障，恢复通信线路。 （4）、服务商提供VIP等级的优质售后服务，内容包括但不限于：网络监测服务、故障处理服务、每季度网络运行报告服务、割接调试服务、一站式受理业务和故障申告服务等。 （5）、提供专门的VIP技术服务负责人作为线路故障处理协调人。 质量标准：执行国家标准及地方标准 1、 服务方案和方式科学、可行，人员配置合理，全面满足要求。 2、 符合国家有关服务规范要求，确保工程达到合格标准。 3、成交人在服务期间应严格遵守国家、省、市有关防火、爆破和环卫、城管等规定，建立规章制度和防护措施，采取严格科学的安全措施，确保项目实施期间的安全和第三者的安全，确保服务质量和安全。否则，由此造成的经济和法律责任均由成交人负责。 4、成交人应配合项目进度，向采购人提供服务计划、进 划和实施计划，并签订安全责任书。 5、成交人在服务期间不得破坏原有建筑。</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签订合同后7个工作日内安装完毕，3月31日之前拆除完毕，服务期60日历日。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1、 线路故障和资费结算：自甲方送达线路故障报修单之日起，超过15个日历日未修复，当月不予支付故障线路费用；大于5个日历日小于15个日历日未修复，当月免予支付50%故障线路费用； 2、 乙方向甲方提供服务过程中的所有资料，以便釆购人日后管理和维护。 3、 验收依据 （1）竞争性磋商文件、竞争性磋商响应文件、澄清表（函）； （2）合同及附件文本； （3）国家相应的标准、规范。</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项目结束并经终验合格后30天内，乙方持《终验合格单》原件在甲方处办理百分之七十(70%)款项的支付手续；审计后在甲方处办理百分之二十七(27%)款项的支付手续，;剩余合同总金额百分之三(3%)作为质保金，自终验结束之日起6个月内，在无索赔争议的情况下，在甲方处办理百分之三(3%)款项的支付手续。</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1、乙方若未能在按照项目实际工作时间完成规定的义务，由此对釆购单位造成的延误和一切损失，由乙方承担和赔偿。 2、由于乙方原因而导致本项目不能按合同规定期限竣工或不能通过验收的，服务商每延期一天应支付釆购人合同价款千分之一的违约金;延期超过30天的，釆购人有权解除合同，并要求服务商承担合同总价款30%的违约金。对釆购人造成损失的，应承担全部赔偿责任（包括实际损失、可期待利益及律师费）。违约终止合同：未按合同要求提供服务和货物或成果不能满足技术要求，甲方会同监督机构有权终止合同，对乙方违约行为进行追究，同时按政府采购法的有关规定进行相应的处罚。 3、乙方因服务质量不符合合同规定的，负责无偿维护包括重新施工接通线 路等，若乙方未能提供无偿维护包括重新施工接通线路等，甲方有权委托第三方 进行维护包括重新施工接通线路等，因此产生的费用由成交乙方承担。 4、施工期间，因施工造成成交乙方自身人员损害、第三人损害或釆购人人 员损害的，由乙方自行承担全部赔偿责任（包括实际损失、可期待利益及律师费）。 5、因乙方提供服务时造成第三人损害或釆购人人员损害的，由乙方自行承 担全部赔偿责任（包括实际损失、可期待利益及律师费）。 6、未按合同要求提供服务或服务质量不能满足合同要求，甲方应当将乙方 违约的情况以及拟釆取的措施以书面形式报政府采购监管部门，根据政府采购监 管部门的处理意见，甲方有权依据《民法典》有关条款及合同约定终止合同，并 要求乙方承担违约责任。同时，政府釆购监管部门有权依据《政府釆购法》及相 关法律法规对乙方的违法行为进行相应的处罚。</w:t>
      </w:r>
    </w:p>
    <w:p>
      <w:pPr>
        <w:pStyle w:val="null3"/>
        <w:outlineLvl w:val="2"/>
      </w:pPr>
      <w:r>
        <w:rPr>
          <w:b/>
          <w:sz w:val="28"/>
        </w:rPr>
        <w:t>3.4其他要求</w:t>
      </w:r>
    </w:p>
    <w:p>
      <w:pPr>
        <w:pStyle w:val="null3"/>
      </w:pPr>
      <w:r>
        <w:rPr/>
        <w:t>1、具体参数与要求详见附件 2、开标结束后三日内，成交单位提供两套纸质版投标文件，与电子上传文件一致，加盖公章，送 至代理公司，地址：陕西省西安市雁塔区太白南路天地源悦熙广场2#楼10楼 电话：029-89198908-8001/13484613855</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响应供应商具有履行本合同所必需的专业技术能力的说明及承诺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提供2022年度经审计的财务审计报告或投标截止时间前三个月内银行出具的资信证明文件或信用担保机构出具的投标担保函。 供应商需在项目电子化交易系统中按要求上传相应证明文件并进行电子签章。</w:t>
            </w:r>
          </w:p>
        </w:tc>
        <w:tc>
          <w:tcPr>
            <w:tcW w:type="dxa" w:w="1661"/>
          </w:tcPr>
          <w:p>
            <w:pPr>
              <w:pStyle w:val="null3"/>
            </w:pPr>
            <w:r>
              <w:rPr/>
              <w:t>资格证明文件 响应供应商具有履行本合同所必需的专业技术能力的说明及承诺</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按磋商文件格式提供</w:t>
            </w:r>
          </w:p>
        </w:tc>
        <w:tc>
          <w:tcPr>
            <w:tcW w:type="dxa" w:w="1661"/>
          </w:tcPr>
          <w:p>
            <w:pPr>
              <w:pStyle w:val="null3"/>
            </w:pPr>
            <w:r>
              <w:rPr/>
              <w:t>资格证明文件 节能产品 响应供应商具有履行本合同所必需的专业技术能力的说明及承诺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 xml:space="preserve"> （1）《财政部国家发展改革委关于印发〈节能产品政府采购实施意见〉的通知》（财库〔2004〕185号）；（2）《国务院办公厅关于建立政府强制节能产品制度的通知》（国办发〔2007〕51号）；（3）《财政部环保总局关于环境标志产品政府采购实施的意见》（财库〔2006〕90号）；（4）《财政部司法部关于政府采购支持监狱企业发展有关问题的通知》（财库〔2014〕68号）；（5）《政府采购促进中小企业发展管理办法》（财库〔2020〕46 号）；（6）《关于在政府采购活动中查询及使用信用记录有关问题的通知》（财库〔2016〕125 号）；（7）《三部门联合发布关于促进残疾人就业政府采购政策的通知》（财库〔2017〕141号）；（8）《财政部 发展改革委 生态环境部 市场监管总局 关于调整优化节能产品、环境标志产品政府采购执行机制的通知》（财库〔2019〕9号）；（9）《关于运用政府采购政策支持脱贫攻坚的通知》（财库〔2019〕27号）；（10）陕西省财政厅关于印发《陕西省中小企业政府采购信用融资办法》（陕财办采〔2018〕23号）。（11）《陕西省财政厅关于加快推进我省中小企业政府采购信用融资工作的通知》（陕财办采[2020]15号）（12）《政府采购进口产品管理办法》（财库〔2007〕119号）（13）《关于政府采购进口产品管理有关问题的通知》（财办库〔2008〕248号）；（14）国务院办公厅《关于加快推进重要产品追溯体系建设的意见》（国办发〔2015〕95号）；（15）《关于印发政府采购贫困地区农副产品实施方案的通知》财库（〔2019〕41号）；（16）《陕西省财政厅关于落实政府采购支持中小企业政策有关事项的通知》（陕财办采函〔2022〕10 号）；（17）《财政部关于进一步加大政府采购支持中小企业力度的通知》（财库〔2022〕19号）。如有最新颁发的政府采购政策，按最新的文件执行。</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响应供应商需提供合法有效的统一社会信用代码营业执照</w:t>
            </w:r>
          </w:p>
        </w:tc>
        <w:tc>
          <w:tcPr>
            <w:tcW w:type="dxa" w:w="3322"/>
          </w:tcPr>
          <w:p>
            <w:pPr>
              <w:pStyle w:val="null3"/>
            </w:pPr>
            <w:r>
              <w:rPr/>
              <w:t>响应供应商需提供合法有效的统一社会信用代码营业执照</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法定代表人参加投标的，须提供本人身份证加盖公章的复印件；法定代表人授权他人参加投标的，须提供法定代表人授权委托书及被授权代表的身份证复印件。</w:t>
            </w:r>
          </w:p>
        </w:tc>
        <w:tc>
          <w:tcPr>
            <w:tcW w:type="dxa" w:w="3322"/>
          </w:tcPr>
          <w:p>
            <w:pPr>
              <w:pStyle w:val="null3"/>
            </w:pPr>
            <w:r>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t>资格证明文件 法定代表人身份证明及法定代表人授权委托书</w:t>
            </w:r>
          </w:p>
        </w:tc>
      </w:tr>
      <w:tr>
        <w:tc>
          <w:tcPr>
            <w:tcW w:type="dxa" w:w="831"/>
          </w:tcPr>
          <w:p>
            <w:pPr>
              <w:pStyle w:val="null3"/>
            </w:pPr>
            <w:r>
              <w:rPr/>
              <w:t>3</w:t>
            </w:r>
          </w:p>
        </w:tc>
        <w:tc>
          <w:tcPr>
            <w:tcW w:type="dxa" w:w="2492"/>
          </w:tcPr>
          <w:p>
            <w:pPr>
              <w:pStyle w:val="null3"/>
            </w:pPr>
            <w:r>
              <w:rPr/>
              <w:t>财务状况报告：提供2022年度经审计的财务审计报告或投标截止时间前三个月内银行出具的资信证明文件或信用担保机构出具的投标担保函。</w:t>
            </w:r>
          </w:p>
        </w:tc>
        <w:tc>
          <w:tcPr>
            <w:tcW w:type="dxa" w:w="3322"/>
          </w:tcPr>
          <w:p>
            <w:pPr>
              <w:pStyle w:val="null3"/>
            </w:pPr>
            <w:r>
              <w:rPr/>
              <w:t>财务状况报告：提供2022年度经审计的财务审计报告或投标截止时间前三个月内银行出具的资信证明文件或信用担保机构出具的投标担保函。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提供供应商2023年1月1日以来至少一个月已缴纳的社会保障资金缴存单据或社保机构开具的社会保险参保缴费情况证明；依法不需要缴纳社会保障资金的供应商应提供加盖公章的相关证明文件</w:t>
            </w:r>
          </w:p>
        </w:tc>
        <w:tc>
          <w:tcPr>
            <w:tcW w:type="dxa" w:w="3322"/>
          </w:tcPr>
          <w:p>
            <w:pPr>
              <w:pStyle w:val="null3"/>
            </w:pPr>
            <w:r>
              <w:rPr/>
              <w:t>社会保障资金缴纳证明：提供供应商2023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税收缴纳证明：提供供应商2023年1月1日以来至少一个月已缴纳的增值税纳税证明或完税证明，依法免税的供应商应提供加盖公章的相关证明文件</w:t>
            </w:r>
          </w:p>
        </w:tc>
        <w:tc>
          <w:tcPr>
            <w:tcW w:type="dxa" w:w="3322"/>
          </w:tcPr>
          <w:p>
            <w:pPr>
              <w:pStyle w:val="null3"/>
            </w:pPr>
            <w:r>
              <w:rPr/>
              <w:t>税收缴纳证明：提供供应商2023年1月1日以来至少一个月已缴纳的增值税纳税证明或完税证明，依法免税的供应商应提供加盖公章的相关证明文件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具备履行合同所必需的设备和专业技术能力的证明材料(由供应商根据项目需求提供说明材料或者承诺)；</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 响应供应商具有履行本合同所必需的专业技术能力的说明及承诺</w:t>
            </w:r>
          </w:p>
        </w:tc>
      </w:tr>
      <w:tr>
        <w:tc>
          <w:tcPr>
            <w:tcW w:type="dxa" w:w="831"/>
          </w:tcPr>
          <w:p>
            <w:pPr>
              <w:pStyle w:val="null3"/>
            </w:pPr>
            <w:r>
              <w:rPr/>
              <w:t>7</w:t>
            </w:r>
          </w:p>
        </w:tc>
        <w:tc>
          <w:tcPr>
            <w:tcW w:type="dxa" w:w="2492"/>
          </w:tcPr>
          <w:p>
            <w:pPr>
              <w:pStyle w:val="null3"/>
            </w:pPr>
            <w:r>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3322"/>
          </w:tcPr>
          <w:p>
            <w:pPr>
              <w:pStyle w:val="null3"/>
            </w:pPr>
            <w:r>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单位负责人为同一人或者存在控股、管理关系的不同单位不得同时参加同一项目投标。</w:t>
            </w:r>
          </w:p>
        </w:tc>
        <w:tc>
          <w:tcPr>
            <w:tcW w:type="dxa" w:w="3322"/>
          </w:tcPr>
          <w:p>
            <w:pPr>
              <w:pStyle w:val="null3"/>
            </w:pPr>
            <w:r>
              <w:rPr/>
              <w:t>单位负责人为同一人或者存在控股、管理关系的不同单位不得同时参加同一项目投标。</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w:t>
            </w:r>
          </w:p>
        </w:tc>
        <w:tc>
          <w:tcPr>
            <w:tcW w:type="dxa" w:w="1661"/>
          </w:tcPr>
          <w:p>
            <w:pPr>
              <w:pStyle w:val="null3"/>
            </w:pPr>
            <w:r>
              <w:rPr/>
              <w:t>中小企业声明函</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响应文件上法定代表人（负责人）或其授权代表人的签字齐全并加盖公章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应符合“响应文件格式”和磋商文件要求</w:t>
            </w:r>
          </w:p>
        </w:tc>
        <w:tc>
          <w:tcPr>
            <w:tcW w:type="dxa" w:w="1661"/>
          </w:tcPr>
          <w:p>
            <w:pPr>
              <w:pStyle w:val="null3"/>
            </w:pPr>
            <w:r>
              <w:rPr/>
              <w:t>响应文件封面 响应供应商基本情况表 标的清单 报价表 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不能有任何采购人不能接受的附加条件</w:t>
            </w:r>
          </w:p>
        </w:tc>
        <w:tc>
          <w:tcPr>
            <w:tcW w:type="dxa" w:w="1661"/>
          </w:tcPr>
          <w:p>
            <w:pPr>
              <w:pStyle w:val="null3"/>
            </w:pPr>
            <w:r>
              <w:rPr/>
              <w:t>商务应答表 报价表 响应供应商具有履行本合同所必需的专业技术能力的说明及承诺 服务保障措施 响应文件封面 响应供应商企业关系关联承诺书 其它资料 履约能力 节能产品 服务方案 标的清单 供应商承诺书 响应函</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w:t>
            </w:r>
          </w:p>
        </w:tc>
        <w:tc>
          <w:tcPr>
            <w:tcW w:type="dxa" w:w="1661"/>
          </w:tcPr>
          <w:p>
            <w:pPr>
              <w:pStyle w:val="null3"/>
            </w:pPr>
            <w:r>
              <w:rPr/>
              <w:t>标的清单 报价表 响应函</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价格</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tc>
      </w:tr>
      <w:tr>
        <w:tc>
          <w:tcPr>
            <w:tcW w:type="dxa" w:w="831"/>
            <w:vMerge/>
          </w:tcPr>
          <w:p/>
        </w:tc>
        <w:tc>
          <w:tcPr>
            <w:tcW w:type="dxa" w:w="1661"/>
          </w:tcPr>
          <w:p>
            <w:pPr>
              <w:pStyle w:val="null3"/>
            </w:pPr>
            <w:r>
              <w:rPr/>
              <w:t>合同主要条款</w:t>
            </w:r>
          </w:p>
        </w:tc>
        <w:tc>
          <w:tcPr>
            <w:tcW w:type="dxa" w:w="2492"/>
          </w:tcPr>
          <w:p>
            <w:pPr>
              <w:pStyle w:val="null3"/>
            </w:pPr>
            <w:r>
              <w:rPr/>
              <w:t>经过资格审查合格的供应商，磋商响应文件中对交货（服务）地点、交货期、质保等方面进行响应说明，按其响应程度计0～6分。无响应说明的不计分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响应函</w:t>
            </w:r>
          </w:p>
          <w:p>
            <w:pPr>
              <w:pStyle w:val="null3"/>
            </w:pPr>
            <w:r>
              <w:rPr/>
              <w:t>服务方案</w:t>
            </w:r>
          </w:p>
        </w:tc>
      </w:tr>
      <w:tr>
        <w:tc>
          <w:tcPr>
            <w:tcW w:type="dxa" w:w="831"/>
            <w:vMerge/>
          </w:tcPr>
          <w:p/>
        </w:tc>
        <w:tc>
          <w:tcPr>
            <w:tcW w:type="dxa" w:w="1661"/>
          </w:tcPr>
          <w:p>
            <w:pPr>
              <w:pStyle w:val="null3"/>
            </w:pPr>
            <w:r>
              <w:rPr/>
              <w:t>服务 方案及技术要求</w:t>
            </w:r>
          </w:p>
        </w:tc>
        <w:tc>
          <w:tcPr>
            <w:tcW w:type="dxa" w:w="2492"/>
          </w:tcPr>
          <w:p>
            <w:pPr>
              <w:pStyle w:val="null3"/>
            </w:pPr>
            <w:r>
              <w:rPr/>
              <w:t>1.响应产品服务内容齐全 ，产品选型符合磋商文件要求 ，软硬件产品数量、规格符 合要求无缺漏项 ，配置完整 ，满足采购需求，根据响应情况进行综合评审计0～15分。 2.响应内容能逐条响应技术要求中的系统要求、功能要求、性能要求 ，产品技术要求清楚、明确 ，技术资料齐全 ，满足磋商文件要求，根据响应情况综合评审计0～15分。 3.投标人根据服务要求的内容 ，确保所投产品（含硬件和软件） 在安全性、 易用性 、 易维性、容灾备份与恢复等方面满足磋商 文件要求 ，符合国内相关标准 ，提供相关证明文件，根据响应情况综合评审计0～10分。</w:t>
            </w:r>
          </w:p>
        </w:tc>
        <w:tc>
          <w:tcPr>
            <w:tcW w:type="dxa" w:w="831"/>
          </w:tcPr>
          <w:p>
            <w:pPr>
              <w:pStyle w:val="null3"/>
              <w:jc w:val="right"/>
            </w:pPr>
            <w:r>
              <w:rPr/>
              <w:t>40.00</w:t>
            </w:r>
          </w:p>
        </w:tc>
        <w:tc>
          <w:tcPr>
            <w:tcW w:type="dxa" w:w="831"/>
          </w:tcPr>
          <w:p>
            <w:pPr>
              <w:pStyle w:val="null3"/>
            </w:pPr>
            <w:r>
              <w:rPr/>
              <w:t>主观</w:t>
            </w:r>
          </w:p>
        </w:tc>
        <w:tc>
          <w:tcPr>
            <w:tcW w:type="dxa" w:w="1661"/>
          </w:tcPr>
          <w:p>
            <w:pPr>
              <w:pStyle w:val="null3"/>
            </w:pPr>
            <w:r>
              <w:rPr/>
              <w:t>服务方案</w:t>
            </w:r>
          </w:p>
          <w:p>
            <w:pPr>
              <w:pStyle w:val="null3"/>
            </w:pPr>
            <w:r>
              <w:rPr/>
              <w:t>服务保障措施</w:t>
            </w:r>
          </w:p>
        </w:tc>
      </w:tr>
      <w:tr>
        <w:tc>
          <w:tcPr>
            <w:tcW w:type="dxa" w:w="831"/>
            <w:vMerge/>
          </w:tcPr>
          <w:p/>
        </w:tc>
        <w:tc>
          <w:tcPr>
            <w:tcW w:type="dxa" w:w="1661"/>
          </w:tcPr>
          <w:p>
            <w:pPr>
              <w:pStyle w:val="null3"/>
            </w:pPr>
            <w:r>
              <w:rPr/>
              <w:t>人员 配备</w:t>
            </w:r>
          </w:p>
        </w:tc>
        <w:tc>
          <w:tcPr>
            <w:tcW w:type="dxa" w:w="2492"/>
          </w:tcPr>
          <w:p>
            <w:pPr>
              <w:pStyle w:val="null3"/>
            </w:pPr>
            <w:r>
              <w:rPr/>
              <w:t>服务团队配备齐全、经验丰富，磋商响应文件中附有拟投入本项目人员简历、毕业证书、职称证书、资格证书及荣誉等证明资料，能清楚、明确反应配备人员情况，按其团队成员的整体素质、技术水平、工作经验计0～5分（需提供其所在单位缴纳社保证明或用工合同、未提供或提供不全得0分）； 2、项目组主要人员具有类似项目经验，提供相关证明材料，按其响应程度计0～5分；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其它资料</w:t>
            </w:r>
          </w:p>
        </w:tc>
      </w:tr>
      <w:tr>
        <w:tc>
          <w:tcPr>
            <w:tcW w:type="dxa" w:w="831"/>
            <w:vMerge/>
          </w:tcPr>
          <w:p/>
        </w:tc>
        <w:tc>
          <w:tcPr>
            <w:tcW w:type="dxa" w:w="1661"/>
          </w:tcPr>
          <w:p>
            <w:pPr>
              <w:pStyle w:val="null3"/>
            </w:pPr>
            <w:r>
              <w:rPr/>
              <w:t>售后 服务</w:t>
            </w:r>
          </w:p>
        </w:tc>
        <w:tc>
          <w:tcPr>
            <w:tcW w:type="dxa" w:w="2492"/>
          </w:tcPr>
          <w:p>
            <w:pPr>
              <w:pStyle w:val="null3"/>
            </w:pPr>
            <w:r>
              <w:rPr/>
              <w:t>1.投标人针对本项目及采购人实际需求提供详细具体可行的售后服务方案，包括但不限于拟投入售后服务人员配置情况、响应产品的保修、运维时间、质保期内的保修内容与范围、项目交付采购人后出现故障的响应时间、解决故障时间、补救措施等，同时具有明确的售后服务承诺且符合采购人实际需求，根据响应情况进行综合评审计0～10分。 2.提供详尽的培训方案及培训计划 ，并列出培训的具体内容及方式（包括：培训人数、培训时间、培训内容等） ，保证使用单 位能熟练操作维护和正常使用 ，并进行简单故障排查处理 ，对比各投标人的具体措施及方案，根据响应情况综合评审计0～10分。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履约能力</w:t>
            </w:r>
          </w:p>
        </w:tc>
      </w:tr>
      <w:tr>
        <w:tc>
          <w:tcPr>
            <w:tcW w:type="dxa" w:w="831"/>
            <w:vMerge/>
          </w:tcPr>
          <w:p/>
        </w:tc>
        <w:tc>
          <w:tcPr>
            <w:tcW w:type="dxa" w:w="1661"/>
          </w:tcPr>
          <w:p>
            <w:pPr>
              <w:pStyle w:val="null3"/>
            </w:pPr>
            <w:r>
              <w:rPr/>
              <w:t>合理化 建议</w:t>
            </w:r>
          </w:p>
        </w:tc>
        <w:tc>
          <w:tcPr>
            <w:tcW w:type="dxa" w:w="2492"/>
          </w:tcPr>
          <w:p>
            <w:pPr>
              <w:pStyle w:val="null3"/>
            </w:pPr>
            <w:r>
              <w:rPr/>
              <w:t>针对服务要求中的保密加固等关键性工作 , 重点、难点工作等可能影响项目实施进度的 情况提出的合理化建议及解决方案，根据响应情况综合评审计1-6分。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其它资料</w:t>
            </w:r>
          </w:p>
        </w:tc>
      </w:tr>
      <w:tr>
        <w:tc>
          <w:tcPr>
            <w:tcW w:type="dxa" w:w="831"/>
            <w:vMerge/>
          </w:tcPr>
          <w:p/>
        </w:tc>
        <w:tc>
          <w:tcPr>
            <w:tcW w:type="dxa" w:w="1661"/>
          </w:tcPr>
          <w:p>
            <w:pPr>
              <w:pStyle w:val="null3"/>
            </w:pPr>
            <w:r>
              <w:rPr/>
              <w:t>业 绩</w:t>
            </w:r>
          </w:p>
        </w:tc>
        <w:tc>
          <w:tcPr>
            <w:tcW w:type="dxa" w:w="2492"/>
          </w:tcPr>
          <w:p>
            <w:pPr>
              <w:pStyle w:val="null3"/>
            </w:pPr>
            <w:r>
              <w:rPr/>
              <w:t>提供2021年1月1日至今类似项目业绩，以合同作为证明文件（以签订时间为准），每提供一个业绩证明材料计1分，满分3分。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类似项目和相关项目一览表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详见附件：响应供应商基本情况表</w:t>
      </w:r>
    </w:p>
    <w:p>
      <w:pPr>
        <w:pStyle w:val="null3"/>
        <w:ind w:firstLine="960"/>
      </w:pPr>
      <w:r>
        <w:rPr/>
        <w:t>详见附件：法定代表人身份证明及法定代表人授权委托书</w:t>
      </w:r>
    </w:p>
    <w:p>
      <w:pPr>
        <w:pStyle w:val="null3"/>
        <w:ind w:firstLine="960"/>
      </w:pPr>
      <w:r>
        <w:rPr/>
        <w:t>详见附件：资格证明文件</w:t>
      </w:r>
    </w:p>
    <w:p>
      <w:pPr>
        <w:pStyle w:val="null3"/>
        <w:ind w:firstLine="960"/>
      </w:pPr>
      <w:r>
        <w:rPr/>
        <w:t>详见附件：响应供应商具有履行本合同所必需的专业技术能力的说明及承诺</w:t>
      </w:r>
    </w:p>
    <w:p>
      <w:pPr>
        <w:pStyle w:val="null3"/>
        <w:ind w:firstLine="960"/>
      </w:pPr>
      <w:r>
        <w:rPr/>
        <w:t>详见附件：供应商承诺书</w:t>
      </w:r>
    </w:p>
    <w:p>
      <w:pPr>
        <w:pStyle w:val="null3"/>
        <w:ind w:firstLine="960"/>
      </w:pPr>
      <w:r>
        <w:rPr/>
        <w:t>详见附件：响应供应商企业关系关联承诺书</w:t>
      </w:r>
    </w:p>
    <w:p>
      <w:pPr>
        <w:pStyle w:val="null3"/>
        <w:ind w:firstLine="960"/>
      </w:pPr>
      <w:r>
        <w:rPr/>
        <w:t>详见附件：服务方案</w:t>
      </w:r>
    </w:p>
    <w:p>
      <w:pPr>
        <w:pStyle w:val="null3"/>
        <w:ind w:firstLine="960"/>
      </w:pPr>
      <w:r>
        <w:rPr/>
        <w:t>详见附件：履约能力</w:t>
      </w:r>
    </w:p>
    <w:p>
      <w:pPr>
        <w:pStyle w:val="null3"/>
        <w:ind w:firstLine="960"/>
      </w:pPr>
      <w:r>
        <w:rPr/>
        <w:t>详见附件：服务保障措施</w:t>
      </w:r>
    </w:p>
    <w:p>
      <w:pPr>
        <w:pStyle w:val="null3"/>
        <w:ind w:firstLine="960"/>
      </w:pPr>
      <w:r>
        <w:rPr/>
        <w:t>详见附件：类似项目和相关项目一览表</w:t>
      </w:r>
    </w:p>
    <w:p>
      <w:pPr>
        <w:pStyle w:val="null3"/>
        <w:ind w:firstLine="960"/>
      </w:pPr>
      <w:r>
        <w:rPr/>
        <w:t>详见附件：其它资料</w:t>
      </w:r>
    </w:p>
    <w:p>
      <w:pPr>
        <w:pStyle w:val="null3"/>
        <w:ind w:firstLine="960"/>
      </w:pPr>
      <w:r>
        <w:rPr/>
        <w:t>详见附件：节能产品</w:t>
      </w:r>
    </w:p>
    <w:p>
      <w:pPr>
        <w:pStyle w:val="null3"/>
      </w:pPr>
      <w:r>
        <w:rPr/>
        <w:t xml:space="preserve"> </w:t>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