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新媒体服务项目</w:t>
      </w:r>
    </w:p>
    <w:p>
      <w:pPr>
        <w:pStyle w:val="null3"/>
        <w:jc w:val="center"/>
        <w:outlineLvl w:val="2"/>
      </w:pPr>
      <w:r>
        <w:rPr>
          <w:sz w:val="28"/>
          <w:b/>
        </w:rPr>
        <w:t>采购项目编号：</w:t>
      </w:r>
      <w:r>
        <w:rPr>
          <w:sz w:val="28"/>
          <w:b/>
        </w:rPr>
        <w:t>ZYZB-CG2024-165</w:t>
      </w:r>
      <w:r>
        <w:br/>
      </w:r>
      <w:r>
        <w:br/>
      </w:r>
      <w:r>
        <w:br/>
      </w:r>
    </w:p>
    <w:p>
      <w:pPr>
        <w:pStyle w:val="null3"/>
        <w:jc w:val="center"/>
        <w:outlineLvl w:val="2"/>
      </w:pPr>
      <w:r>
        <w:rPr>
          <w:sz w:val="28"/>
          <w:b/>
        </w:rPr>
        <w:t>中共西安市灞桥区委网络安全和信息化委员会办公室</w:t>
      </w:r>
    </w:p>
    <w:p>
      <w:pPr>
        <w:pStyle w:val="null3"/>
        <w:jc w:val="center"/>
        <w:outlineLvl w:val="2"/>
      </w:pPr>
      <w:r>
        <w:rPr>
          <w:sz w:val="28"/>
          <w:b/>
        </w:rPr>
        <w:t>陕西中远招标咨询有限公司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陕西中远招标咨询有限公司</w:t>
      </w:r>
      <w:r>
        <w:rPr/>
        <w:t>（以下简称“代理机构”）受</w:t>
      </w:r>
      <w:r>
        <w:rPr/>
        <w:t>中共西安市灞桥区委网络安全和信息化委员会办公室</w:t>
      </w:r>
      <w:r>
        <w:rPr/>
        <w:t>委托，拟对</w:t>
      </w:r>
      <w:r>
        <w:rPr/>
        <w:t>新媒体服务项目</w:t>
      </w:r>
      <w:r>
        <w:rPr/>
        <w:t>采用竞争性磋商采购方式进行采购，兹邀请供应商参加本项目的竞争性磋商。</w:t>
      </w:r>
    </w:p>
    <w:p>
      <w:pPr>
        <w:pStyle w:val="null3"/>
        <w:outlineLvl w:val="2"/>
      </w:pPr>
      <w:r>
        <w:rPr>
          <w:sz w:val="28"/>
          <w:b/>
        </w:rPr>
        <w:t>一、项目编号：</w:t>
      </w:r>
      <w:r>
        <w:rPr>
          <w:sz w:val="28"/>
          <w:b/>
        </w:rPr>
        <w:t>ZYZB-CG2024-165</w:t>
      </w:r>
    </w:p>
    <w:p>
      <w:pPr>
        <w:pStyle w:val="null3"/>
        <w:outlineLvl w:val="2"/>
      </w:pPr>
      <w:r>
        <w:rPr>
          <w:sz w:val="28"/>
          <w:b/>
        </w:rPr>
        <w:t>二、项目名称：</w:t>
      </w:r>
      <w:r>
        <w:rPr>
          <w:sz w:val="28"/>
          <w:b/>
        </w:rPr>
        <w:t>新媒体服务项目</w:t>
      </w:r>
    </w:p>
    <w:p>
      <w:pPr>
        <w:pStyle w:val="null3"/>
        <w:outlineLvl w:val="2"/>
      </w:pPr>
      <w:r>
        <w:rPr>
          <w:sz w:val="28"/>
          <w:b/>
        </w:rPr>
        <w:t>三、磋商项目简介</w:t>
      </w:r>
    </w:p>
    <w:p>
      <w:pPr>
        <w:pStyle w:val="null3"/>
        <w:ind w:firstLine="480"/>
      </w:pPr>
      <w:r>
        <w:rPr/>
        <w:t>采购具有新媒体从业经验的专业团队，参与区融媒体中心的日常工作,具体详情见采购文件。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采购包1（新媒体服务项目）：属于专门面向中小企业采购。</w:t>
      </w:r>
    </w:p>
    <w:p>
      <w:pPr>
        <w:pStyle w:val="null3"/>
        <w:ind w:firstLine="480"/>
      </w:pPr>
      <w:r>
        <w:rPr/>
        <w:t>（三）本项目的特定资格要求：</w:t>
      </w:r>
    </w:p>
    <w:p>
      <w:pPr>
        <w:pStyle w:val="null3"/>
      </w:pPr>
      <w:r>
        <w:rPr/>
        <w:t>采购包1：</w:t>
      </w:r>
    </w:p>
    <w:p>
      <w:pPr>
        <w:pStyle w:val="null3"/>
      </w:pPr>
      <w:r>
        <w:rPr/>
        <w:t>1、营业执照等主体证明：具有独立承担民事责任能力的法人、其他组织或自然人，并出具合法有效的统一社会信用代码的营业执照或事业单位法人证书等国家规定的相关证明，自然人参与的提供其身份证明。供应商是法人或其他组织的应提供营业执照等证明文件，供应商是自然人的应提供有效的自然人身份证复印件并进行电子签章。</w:t>
      </w:r>
    </w:p>
    <w:p>
      <w:pPr>
        <w:pStyle w:val="null3"/>
      </w:pPr>
      <w:r>
        <w:rPr/>
        <w:t>2、身份证明：法定代表人直接参加投标的，须提供法定代表人身份证明及身份证扫描件；法定代表人授权他人参加投标的，须提供法定代表人授权委托书及法定代表人、被授权人身份证扫描件。供应商需在项目电子化交易系统中按要求上传材料并进行电子签章。</w:t>
      </w:r>
    </w:p>
    <w:p>
      <w:pPr>
        <w:pStyle w:val="null3"/>
      </w:pPr>
      <w:r>
        <w:rPr/>
        <w:t>3、完税证明：提供2023年10月1日至今已缴纳的至少一个月的纳税证明或完税证明，依法免税的单位应提供相关证明材料。供应商需在项目电子化交易系统中按要求上传材料并进行电子签章。</w:t>
      </w:r>
    </w:p>
    <w:p>
      <w:pPr>
        <w:pStyle w:val="null3"/>
      </w:pPr>
      <w:r>
        <w:rPr/>
        <w:t>4、社保证明：提供2023年10月1日至今已缴存的至少一个月的社会保障资金缴存单据或社保机构开具的社会保险参保缴费情况证明，依法不需要缴纳社会保障资金的单位应提供相关证明材料。供应商需在项目电子化交易系统中按要求上传材料并进行电子签章。</w:t>
      </w:r>
    </w:p>
    <w:p>
      <w:pPr>
        <w:pStyle w:val="null3"/>
      </w:pPr>
      <w:r>
        <w:rPr/>
        <w:t>5、违法记录：参加本次政府采购活动前三年内在经营活动中没有重大违纪，以及未被列入失信被执行人、重大税收违法案件当事人名单、政府采购严重违法失信行为记录名单的书面声明。供应商需在项目电子化交易系统中按要求上传材料并进行电子签章。</w:t>
      </w:r>
    </w:p>
    <w:p>
      <w:pPr>
        <w:pStyle w:val="null3"/>
      </w:pPr>
      <w:r>
        <w:rPr/>
        <w:t>6、履约能力：提供具有履行合同所必需的设备和专业技术能力的承诺函。供应商需在项目电子化交易系统中按要求上传承诺函并进行电子签章。</w:t>
      </w:r>
    </w:p>
    <w:p>
      <w:pPr>
        <w:pStyle w:val="null3"/>
      </w:pPr>
      <w:r>
        <w:rPr/>
        <w:t>7、信用要求：供应商不得在“中国执行信息公开网”网站（http://zxgk.court.gov.cn/）中被列入失信被执行人、不得在“信用中国”网站（www.creditchina.gov.cn）被列为重大税收违法案件当事人，不得为“中国政府采购网”（www.ccgp.gov.cn）政府采购严重违法失信行为记录名单中被财政部门禁止参加政府采购活动的供应商。供应商需在项目电子化交易系统中按要求上传电子签章的证明材料或现场网查信息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中共西安市灞桥区委网络安全和信息化委员会办公室</w:t>
      </w:r>
    </w:p>
    <w:p>
      <w:pPr>
        <w:pStyle w:val="null3"/>
      </w:pPr>
      <w:r>
        <w:rPr/>
        <w:t xml:space="preserve"> 地址： </w:t>
      </w:r>
      <w:r>
        <w:rPr/>
        <w:t>西安市灞桥区纺一路809号区政府</w:t>
      </w:r>
    </w:p>
    <w:p>
      <w:pPr>
        <w:pStyle w:val="null3"/>
      </w:pPr>
      <w:r>
        <w:rPr/>
        <w:t xml:space="preserve"> 邮编： </w:t>
      </w:r>
      <w:r>
        <w:rPr/>
        <w:t>710038</w:t>
      </w:r>
    </w:p>
    <w:p>
      <w:pPr>
        <w:pStyle w:val="null3"/>
      </w:pPr>
      <w:r>
        <w:rPr/>
        <w:t xml:space="preserve"> 联系人： </w:t>
      </w:r>
      <w:r>
        <w:rPr/>
        <w:t>赵涛</w:t>
      </w:r>
    </w:p>
    <w:p>
      <w:pPr>
        <w:pStyle w:val="null3"/>
      </w:pPr>
      <w:r>
        <w:rPr/>
        <w:t xml:space="preserve"> 联系电话： </w:t>
      </w:r>
      <w:r>
        <w:rPr/>
        <w:t>029-83525958</w:t>
      </w:r>
    </w:p>
    <w:p>
      <w:pPr>
        <w:pStyle w:val="null3"/>
        <w:outlineLvl w:val="3"/>
      </w:pPr>
      <w:r>
        <w:rPr>
          <w:sz w:val="24"/>
          <w:b/>
        </w:rPr>
        <w:t>代理机构：</w:t>
      </w:r>
      <w:r>
        <w:rPr>
          <w:sz w:val="24"/>
          <w:b/>
        </w:rPr>
        <w:t>陕西中远招标咨询有限公司</w:t>
      </w:r>
    </w:p>
    <w:p>
      <w:pPr>
        <w:pStyle w:val="null3"/>
      </w:pPr>
      <w:r>
        <w:rPr/>
        <w:t xml:space="preserve"> 地址： </w:t>
      </w:r>
      <w:r>
        <w:rPr/>
        <w:t>陕西省西安市碑林区和平路71号综合楼6楼</w:t>
      </w:r>
    </w:p>
    <w:p>
      <w:pPr>
        <w:pStyle w:val="null3"/>
      </w:pPr>
      <w:r>
        <w:rPr/>
        <w:t xml:space="preserve"> 邮编： </w:t>
      </w:r>
      <w:r>
        <w:rPr/>
        <w:t>710001</w:t>
      </w:r>
    </w:p>
    <w:p>
      <w:pPr>
        <w:pStyle w:val="null3"/>
      </w:pPr>
      <w:r>
        <w:rPr/>
        <w:t xml:space="preserve"> 联系人： </w:t>
      </w:r>
      <w:r>
        <w:rPr/>
        <w:t>侯晓娜</w:t>
      </w:r>
    </w:p>
    <w:p>
      <w:pPr>
        <w:pStyle w:val="null3"/>
      </w:pPr>
      <w:r>
        <w:rPr/>
        <w:t xml:space="preserve"> 联系电话： </w:t>
      </w:r>
      <w:r>
        <w:rPr/>
        <w:t>15134969185</w:t>
      </w:r>
    </w:p>
    <w:p>
      <w:pPr>
        <w:pStyle w:val="null3"/>
        <w:outlineLvl w:val="3"/>
      </w:pPr>
      <w:r>
        <w:rPr>
          <w:sz w:val="24"/>
          <w:b/>
        </w:rPr>
        <w:t>采购监督机构：</w:t>
      </w:r>
      <w:r>
        <w:rPr>
          <w:sz w:val="24"/>
          <w:b/>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中标金额为基数，依据国家计委颁布《招标代理服务收费管理暂行办法》（计价格[2002]1980号）和国家发展改革委员会办公厅颁发的《关于招标代理服务收费有关问题的通知》（发改办价格[2003]857号）文件规定执行。不足八千元按照八千元收取。 2、招标代理服务费由中标人支付，在领取《中标通知书》前，由中标人一次性支付给陕西中远招标咨询有限公司。 3、招标代理服务费缴纳账户： 开户名称：陕西中远招标咨询有限公司 开户银行：长安银行股份有限公司西安西大街支行 账号：8060 1060 1421 0045 86</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中共西安市灞桥区委网络安全和信息化委员会办公室</w:t>
      </w:r>
      <w:r>
        <w:rPr/>
        <w:t>和</w:t>
      </w:r>
      <w:r>
        <w:rPr/>
        <w:t>陕西中远招标咨询有限公司</w:t>
      </w:r>
      <w:r>
        <w:rPr/>
        <w:t>享有。对磋商文件中供应商参加本次政府采购活动应当具备的条件，磋商项目技术、服务、商务及其他要求，评审细则及标准由</w:t>
      </w:r>
      <w:r>
        <w:rPr/>
        <w:t>中共西安市灞桥区委网络安全和信息化委员会办公室</w:t>
      </w:r>
      <w:r>
        <w:rPr/>
        <w:t>负责解释。除上述磋商文件内容，其他内容由</w:t>
      </w:r>
      <w:r>
        <w:rPr/>
        <w:t>陕西中远招标咨询有限公司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中共西安市灞桥区委网络安全和信息化委员会办公室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陕西中远招标咨询有限公司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按照采购文件要求、国家及相关行业标准执行。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陕西中远招标咨询有限公司</w:t>
      </w:r>
      <w:r>
        <w:rPr/>
        <w:t xml:space="preserve"> 负责答复；供应商对除采购需求外的采购文件的询问、质疑由</w:t>
      </w:r>
      <w:r>
        <w:rPr/>
        <w:t>陕西中远招标咨询有限公司</w:t>
      </w:r>
      <w:r>
        <w:rPr/>
        <w:t xml:space="preserve"> 负责答复；供应商对采购过程、采购结果的询问、质疑由 </w:t>
      </w:r>
      <w:r>
        <w:rPr/>
        <w:t>陕西中远招标咨询有限公司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联系人：侯晓娜</w:t>
      </w:r>
    </w:p>
    <w:p>
      <w:pPr>
        <w:pStyle w:val="null3"/>
      </w:pPr>
      <w:r>
        <w:rPr/>
        <w:t>联系电话：15134969185</w:t>
      </w:r>
    </w:p>
    <w:p>
      <w:pPr>
        <w:pStyle w:val="null3"/>
      </w:pPr>
      <w:r>
        <w:rPr/>
        <w:t>地址：陕西省西安市碑林区和平路71号综合楼6楼</w:t>
      </w:r>
    </w:p>
    <w:p>
      <w:pPr>
        <w:pStyle w:val="null3"/>
      </w:pPr>
      <w:r>
        <w:rPr/>
        <w:t>邮编：710001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采购具有新媒体从业经验的专业团队，参与区融媒体中心的日常工作,具体详情见采购文件。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400000</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7"/>
            </w:pPr>
            <w:r>
              <w:rPr>
                <w:rFonts w:ascii="simsun" w:hAnsi="simsun" w:cs="simsun" w:eastAsia="simsun"/>
                <w:sz w:val="24"/>
              </w:rPr>
              <w:t>采购内容：采购具有新媒体从业经验的专业团队，参与区融媒体中心日常工作。</w:t>
            </w:r>
          </w:p>
        </w:tc>
      </w:tr>
      <w:tr>
        <w:tc>
          <w:tcPr>
            <w:tcW w:type="dxa" w:w="2769"/>
          </w:tcPr>
          <w:p/>
        </w:tc>
        <w:tc>
          <w:tcPr>
            <w:tcW w:type="dxa" w:w="2769"/>
          </w:tcPr>
          <w:p>
            <w:pPr>
              <w:pStyle w:val="null3"/>
            </w:pPr>
            <w:r>
              <w:rPr/>
              <w:t>2</w:t>
            </w:r>
          </w:p>
        </w:tc>
        <w:tc>
          <w:tcPr>
            <w:tcW w:type="dxa" w:w="2769"/>
          </w:tcPr>
          <w:p>
            <w:pPr>
              <w:pStyle w:val="null3"/>
              <w:ind w:firstLine="487"/>
            </w:pPr>
            <w:r>
              <w:rPr>
                <w:rFonts w:ascii="simsun" w:hAnsi="simsun" w:cs="simsun" w:eastAsia="simsun"/>
                <w:sz w:val="24"/>
              </w:rPr>
              <w:t>服务内容：</w:t>
            </w:r>
            <w:r>
              <w:rPr>
                <w:rFonts w:ascii="simsun" w:hAnsi="simsun" w:cs="simsun" w:eastAsia="simsun"/>
                <w:sz w:val="24"/>
              </w:rPr>
              <w:t>参与信息编辑、活动拍摄、视频制作；配合线上线下主题宣传活动的策划、组织及落实；进行相关数据统计及内容报送工作；负责涉区文图、视频及其他新媒体信息的外发工作；配合开展有关技术支持和后台维护工作。</w:t>
            </w:r>
          </w:p>
        </w:tc>
      </w:tr>
      <w:tr>
        <w:tc>
          <w:tcPr>
            <w:tcW w:type="dxa" w:w="2769"/>
          </w:tcPr>
          <w:p/>
        </w:tc>
        <w:tc>
          <w:tcPr>
            <w:tcW w:type="dxa" w:w="2769"/>
          </w:tcPr>
          <w:p>
            <w:pPr>
              <w:pStyle w:val="null3"/>
            </w:pPr>
            <w:r>
              <w:rPr/>
              <w:t>3</w:t>
            </w:r>
          </w:p>
        </w:tc>
        <w:tc>
          <w:tcPr>
            <w:tcW w:type="dxa" w:w="2769"/>
          </w:tcPr>
          <w:p>
            <w:pPr>
              <w:pStyle w:val="null3"/>
            </w:pPr>
            <w:r>
              <w:rPr>
                <w:rFonts w:ascii="simsun" w:hAnsi="simsun" w:cs="simsun" w:eastAsia="simsun"/>
                <w:sz w:val="24"/>
              </w:rPr>
              <w:t xml:space="preserve">  </w:t>
            </w:r>
            <w:r>
              <w:rPr>
                <w:rFonts w:ascii="simsun" w:hAnsi="simsun" w:cs="simsun" w:eastAsia="simsun"/>
                <w:sz w:val="24"/>
              </w:rPr>
              <w:t>技术要求：拍摄、剪辑，有较强的文字编辑处理能力；活动策划组织执行力强、社会效果明显；能熟练掌握海报设计、小程序开发等新媒体技术。</w:t>
            </w:r>
          </w:p>
        </w:tc>
      </w:tr>
      <w:tr>
        <w:tc>
          <w:tcPr>
            <w:tcW w:type="dxa" w:w="2769"/>
          </w:tcPr>
          <w:p/>
        </w:tc>
        <w:tc>
          <w:tcPr>
            <w:tcW w:type="dxa" w:w="2769"/>
          </w:tcPr>
          <w:p>
            <w:pPr>
              <w:pStyle w:val="null3"/>
            </w:pPr>
            <w:r>
              <w:rPr/>
              <w:t>4</w:t>
            </w:r>
          </w:p>
        </w:tc>
        <w:tc>
          <w:tcPr>
            <w:tcW w:type="dxa" w:w="2769"/>
          </w:tcPr>
          <w:p>
            <w:pPr>
              <w:pStyle w:val="null3"/>
            </w:pPr>
            <w:r>
              <w:rPr>
                <w:rFonts w:ascii="simsun" w:hAnsi="simsun" w:cs="simsun" w:eastAsia="simsun"/>
                <w:sz w:val="24"/>
              </w:rPr>
              <w:t xml:space="preserve">  服务要求：在合同执行过程中需要服务商应执行的相关服务标准和应当履行的相关义务。</w:t>
            </w:r>
          </w:p>
          <w:p>
            <w:pPr>
              <w:pStyle w:val="null3"/>
            </w:pPr>
            <w:r>
              <w:rPr>
                <w:rFonts w:ascii="simsun" w:hAnsi="simsun" w:cs="simsun" w:eastAsia="simsun"/>
                <w:sz w:val="24"/>
              </w:rPr>
              <w:t xml:space="preserve"> （1）专人负责全区重要会议、重大活动、重点工作的资料留存。</w:t>
            </w:r>
          </w:p>
          <w:p>
            <w:pPr>
              <w:pStyle w:val="null3"/>
            </w:pPr>
            <w:r>
              <w:rPr>
                <w:rFonts w:ascii="simsun" w:hAnsi="simsun" w:cs="simsun" w:eastAsia="simsun"/>
                <w:sz w:val="24"/>
              </w:rPr>
              <w:t xml:space="preserve"> （2）制作品质好、传播力强的新媒体作品。</w:t>
            </w:r>
          </w:p>
          <w:p>
            <w:pPr>
              <w:pStyle w:val="null3"/>
            </w:pPr>
            <w:r>
              <w:rPr>
                <w:rFonts w:ascii="simsun" w:hAnsi="simsun" w:cs="simsun" w:eastAsia="simsun"/>
                <w:sz w:val="24"/>
              </w:rPr>
              <w:t xml:space="preserve"> （3）推广宣传新媒体账号，提升粉丝量。</w:t>
            </w:r>
          </w:p>
          <w:p>
            <w:pPr>
              <w:pStyle w:val="null3"/>
            </w:pPr>
            <w:r>
              <w:rPr>
                <w:rFonts w:ascii="simsun" w:hAnsi="simsun" w:cs="simsun" w:eastAsia="simsun"/>
                <w:sz w:val="24"/>
              </w:rPr>
              <w:t xml:space="preserve"> （4）开展数据分析、起草相关报告及融媒体中心其它有关工作。</w:t>
            </w:r>
          </w:p>
        </w:tc>
      </w:tr>
    </w:tbl>
    <w:p>
      <w:pPr>
        <w:pStyle w:val="null3"/>
        <w:outlineLvl w:val="2"/>
      </w:pPr>
      <w:r>
        <w:rPr>
          <w:sz w:val="28"/>
          <w:b/>
        </w:rPr>
        <w:t>3.2.3人员配置要求</w:t>
      </w:r>
    </w:p>
    <w:p>
      <w:pPr>
        <w:pStyle w:val="null3"/>
      </w:pPr>
      <w:r>
        <w:rPr/>
        <w:t>采购包1：</w:t>
      </w:r>
    </w:p>
    <w:p>
      <w:pPr>
        <w:pStyle w:val="null3"/>
      </w:pPr>
      <w:r>
        <w:rPr/>
        <w:t>根据采购人需求配置</w:t>
      </w:r>
    </w:p>
    <w:p>
      <w:pPr>
        <w:pStyle w:val="null3"/>
        <w:outlineLvl w:val="2"/>
      </w:pPr>
      <w:r>
        <w:rPr>
          <w:sz w:val="28"/>
          <w:b/>
        </w:rPr>
        <w:t>3.2.4设施设备要求</w:t>
      </w:r>
    </w:p>
    <w:p>
      <w:pPr>
        <w:pStyle w:val="null3"/>
      </w:pPr>
      <w:r>
        <w:rPr/>
        <w:t>采购包1：</w:t>
      </w:r>
    </w:p>
    <w:p>
      <w:pPr>
        <w:pStyle w:val="null3"/>
      </w:pPr>
      <w:r>
        <w:rPr/>
        <w:t>根据采购人需求配置</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现行的国家标准或者国家行政部门颁布的法律法规、规章制度等，是项目验收的一个重要依据。没有国家标准的，可以参考行业标准。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60.00</w:t>
      </w:r>
      <w:r>
        <w:rPr/>
        <w:t>%。</w:t>
      </w:r>
    </w:p>
    <w:p>
      <w:pPr>
        <w:pStyle w:val="null3"/>
      </w:pPr>
      <w:r>
        <w:rPr/>
        <w:t>采购包1：</w:t>
      </w:r>
      <w:r>
        <w:rPr/>
        <w:t xml:space="preserve"> 付款条件说明： </w:t>
      </w:r>
      <w:r>
        <w:rPr/>
        <w:t>项目进行5个月后</w:t>
      </w:r>
      <w:r>
        <w:rPr/>
        <w:t xml:space="preserve"> ，达到付款条件起 </w:t>
      </w:r>
      <w:r>
        <w:rPr/>
        <w:t>5</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乙方如迟延交付合格的产品和服务，每迟延一日，按总费用的0.3%向甲方支付违约金，迟延超过15日，甲方有权选择单方解除合同，乙方应全额退还已收取款项，并赔偿因此给甲方造成的损失。</w:t>
      </w:r>
    </w:p>
    <w:p>
      <w:pPr>
        <w:pStyle w:val="null3"/>
        <w:outlineLvl w:val="2"/>
      </w:pPr>
      <w:r>
        <w:rPr>
          <w:sz w:val="28"/>
          <w:b/>
        </w:rPr>
        <w:t>3.4其他要求</w:t>
      </w:r>
    </w:p>
    <w:p>
      <w:pPr>
        <w:pStyle w:val="null3"/>
      </w:pPr>
      <w:r>
        <w:rPr/>
        <w:t>1、结算方式：银行转账，乙方持发票（按合同总金额开给甲方） 2、结算单位：由采购人负责结算，乙方开具合同总价数的全额发票交采购人。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提供2023年度完整的财务审计报告，或开标时间前六个月内银行出具的资信证明。其他组织和自然人提供银行出具的资信证明。供应商需在项目电子化交易系统中按要求上传相应证明文件并进行电子签章。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营业执照等主体证明</w:t>
            </w:r>
          </w:p>
        </w:tc>
        <w:tc>
          <w:tcPr>
            <w:tcW w:type="dxa" w:w="3322"/>
          </w:tcPr>
          <w:p>
            <w:pPr>
              <w:pStyle w:val="null3"/>
            </w:pPr>
            <w:r>
              <w:rPr/>
              <w:t>具有独立承担民事责任能力的法人、其他组织或自然人，并出具合法有效的统一社会信用代码的营业执照或事业单位法人证书等国家规定的相关证明，自然人参与的提供其身份证明。供应商是法人或其他组织的应提供营业执照等证明文件，供应商是自然人的应提供有效的自然人身份证复印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身份证明</w:t>
            </w:r>
          </w:p>
        </w:tc>
        <w:tc>
          <w:tcPr>
            <w:tcW w:type="dxa" w:w="3322"/>
          </w:tcPr>
          <w:p>
            <w:pPr>
              <w:pStyle w:val="null3"/>
            </w:pPr>
            <w:r>
              <w:rPr/>
              <w:t>法定代表人直接参加投标的，须提供法定代表人身份证明及身份证扫描件；法定代表人授权他人参加投标的，须提供法定代表人授权委托书及法定代表人、被授权人身份证扫描件。供应商需在项目电子化交易系统中按要求上传材料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完税证明</w:t>
            </w:r>
          </w:p>
        </w:tc>
        <w:tc>
          <w:tcPr>
            <w:tcW w:type="dxa" w:w="3322"/>
          </w:tcPr>
          <w:p>
            <w:pPr>
              <w:pStyle w:val="null3"/>
            </w:pPr>
            <w:r>
              <w:rPr/>
              <w:t>提供2023年10月1日至今已缴纳的至少一个月的纳税证明或完税证明，依法免税的单位应提供相关证明材料。供应商需在项目电子化交易系统中按要求上传材料并进行电子签章。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社保证明</w:t>
            </w:r>
          </w:p>
        </w:tc>
        <w:tc>
          <w:tcPr>
            <w:tcW w:type="dxa" w:w="3322"/>
          </w:tcPr>
          <w:p>
            <w:pPr>
              <w:pStyle w:val="null3"/>
            </w:pPr>
            <w:r>
              <w:rPr/>
              <w:t>提供2023年10月1日至今已缴存的至少一个月的社会保障资金缴存单据或社保机构开具的社会保险参保缴费情况证明，依法不需要缴纳社会保障资金的单位应提供相关证明材料。供应商需在项目电子化交易系统中按要求上传材料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违法记录</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供应商需在项目电子化交易系统中按要求上传材料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提供具有履行合同所必需的设备和专业技术能力的承诺函。供应商需在项目电子化交易系统中按要求上传承诺函并进行电子签章。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信用要求</w:t>
            </w:r>
          </w:p>
        </w:tc>
        <w:tc>
          <w:tcPr>
            <w:tcW w:type="dxa" w:w="3322"/>
          </w:tcPr>
          <w:p>
            <w:pPr>
              <w:pStyle w:val="null3"/>
            </w:pPr>
            <w:r>
              <w:rPr/>
              <w:t>供应商不得在“中国执行信息公开网”网站（http://zxgk.court.gov.cn/）中被列入失信被执行人、不得在“信用中国”网站（www.creditchina.gov.cn）被列为重大税收违法案件当事人，不得为“中国政府采购网”（www.ccgp.gov.cn）政府采购严重违法失信行为记录名单中被财政部门禁止参加政府采购活动的供应商。供应商需在项目电子化交易系统中按要求上传电子签章的证明材料或现场网查信息为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磋商响应文件的完整性</w:t>
            </w:r>
          </w:p>
        </w:tc>
        <w:tc>
          <w:tcPr>
            <w:tcW w:type="dxa" w:w="3322"/>
          </w:tcPr>
          <w:p>
            <w:pPr>
              <w:pStyle w:val="null3"/>
            </w:pPr>
            <w:r>
              <w:rPr/>
              <w:t>磋商响应文件构成是否有重大缺项，是否按照磋商文件要求的格式编写磋商响应文件。</w:t>
            </w:r>
          </w:p>
        </w:tc>
        <w:tc>
          <w:tcPr>
            <w:tcW w:type="dxa" w:w="1661"/>
          </w:tcPr>
          <w:p>
            <w:pPr>
              <w:pStyle w:val="null3"/>
            </w:pPr>
            <w:r>
              <w:rPr/>
              <w:t>响应文件封面 服务内容及服务邀请应答表 残疾人福利性单位声明函 中小企业声明函 商务应答表 服务方案 供应商应提交的相关资格证明材料 标的清单 响应函 监狱企业的证明文件</w:t>
            </w:r>
          </w:p>
        </w:tc>
      </w:tr>
      <w:tr>
        <w:tc>
          <w:tcPr>
            <w:tcW w:type="dxa" w:w="831"/>
          </w:tcPr>
          <w:p>
            <w:pPr>
              <w:pStyle w:val="null3"/>
            </w:pPr>
            <w:r>
              <w:rPr/>
              <w:t>3</w:t>
            </w:r>
          </w:p>
        </w:tc>
        <w:tc>
          <w:tcPr>
            <w:tcW w:type="dxa" w:w="2492"/>
          </w:tcPr>
          <w:p>
            <w:pPr>
              <w:pStyle w:val="null3"/>
            </w:pPr>
            <w:r>
              <w:rPr/>
              <w:t>磋商响应文件的有效性</w:t>
            </w:r>
          </w:p>
        </w:tc>
        <w:tc>
          <w:tcPr>
            <w:tcW w:type="dxa" w:w="3322"/>
          </w:tcPr>
          <w:p>
            <w:pPr>
              <w:pStyle w:val="null3"/>
            </w:pPr>
            <w:r>
              <w:rPr/>
              <w:t>磋商响应文件的签署、加盖印章是否合格、有效；提供的各种证明文件、数据、资料是否真实、有效。</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w:t>
            </w:r>
          </w:p>
        </w:tc>
      </w:tr>
      <w:tr>
        <w:tc>
          <w:tcPr>
            <w:tcW w:type="dxa" w:w="831"/>
          </w:tcPr>
          <w:p>
            <w:pPr>
              <w:pStyle w:val="null3"/>
            </w:pPr>
            <w:r>
              <w:rPr/>
              <w:t>4</w:t>
            </w:r>
          </w:p>
        </w:tc>
        <w:tc>
          <w:tcPr>
            <w:tcW w:type="dxa" w:w="2492"/>
          </w:tcPr>
          <w:p>
            <w:pPr>
              <w:pStyle w:val="null3"/>
            </w:pPr>
            <w:r>
              <w:rPr/>
              <w:t>磋商响应文件的响应性</w:t>
            </w:r>
          </w:p>
        </w:tc>
        <w:tc>
          <w:tcPr>
            <w:tcW w:type="dxa" w:w="3322"/>
          </w:tcPr>
          <w:p>
            <w:pPr>
              <w:pStyle w:val="null3"/>
            </w:pPr>
            <w:r>
              <w:rPr/>
              <w:t>磋商有效期是否符合磋商文件要求；磋商响应技术方案是否有重大缺漏项、偏离；磋商响应商务条款是否有重大偏离；技术指标是否出现虚假响应；对合同中规定的双方的权利和义务是否做出了实质性修改。</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磋商报价是否超过项目采购预算。磋商小组发现供应商的报价明显低于其他磋商报价、或明显低于市场价格，使得其磋商报价可能低于其成本的，应当要求该供应商作出书面说明并提供相应的证明材料。供应商不能合理说明或者不能提供相应证明材料的，由磋商小组认定该供应商以低于成本报价竞标，其磋商作无效磋商处理。</w:t>
            </w:r>
          </w:p>
        </w:tc>
        <w:tc>
          <w:tcPr>
            <w:tcW w:type="dxa" w:w="1661"/>
          </w:tcPr>
          <w:p>
            <w:pPr>
              <w:pStyle w:val="null3"/>
            </w:pPr>
            <w:r>
              <w:rPr/>
              <w:t>标的清单</w:t>
            </w:r>
          </w:p>
        </w:tc>
      </w:tr>
      <w:tr>
        <w:tc>
          <w:tcPr>
            <w:tcW w:type="dxa" w:w="831"/>
          </w:tcPr>
          <w:p>
            <w:pPr>
              <w:pStyle w:val="null3"/>
            </w:pPr>
            <w:r>
              <w:rPr/>
              <w:t>6</w:t>
            </w:r>
          </w:p>
        </w:tc>
        <w:tc>
          <w:tcPr>
            <w:tcW w:type="dxa" w:w="2492"/>
          </w:tcPr>
          <w:p>
            <w:pPr>
              <w:pStyle w:val="null3"/>
            </w:pPr>
            <w:r>
              <w:rPr/>
              <w:t>其他规定</w:t>
            </w:r>
          </w:p>
        </w:tc>
        <w:tc>
          <w:tcPr>
            <w:tcW w:type="dxa" w:w="3322"/>
          </w:tcPr>
          <w:p>
            <w:pPr>
              <w:pStyle w:val="null3"/>
            </w:pPr>
            <w:r>
              <w:rPr/>
              <w:t>磋商文件其他章节中对无效磋商的规定。</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运营服务方案</w:t>
            </w:r>
          </w:p>
        </w:tc>
        <w:tc>
          <w:tcPr>
            <w:tcW w:type="dxa" w:w="2492"/>
          </w:tcPr>
          <w:p>
            <w:pPr>
              <w:pStyle w:val="null3"/>
            </w:pPr>
            <w:r>
              <w:rPr/>
              <w:t>运营服务方案需合理、可行，满足采购人需求，不能延误采购人的日常宣传需求。根据方案的详细和可操作程度进行赋分。 1.方案全面具体、针对性强，且具有较强可操作性与可行性的计（14-20]分; 2.方案内容较完整，描述简单，可行性一般，基本满足项目需要的计（7-14]分; 3.方案内容笼统、粗略，针对性差，可行性较差的计[0-7]分。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运营流程方案</w:t>
            </w:r>
          </w:p>
        </w:tc>
        <w:tc>
          <w:tcPr>
            <w:tcW w:type="dxa" w:w="2492"/>
          </w:tcPr>
          <w:p>
            <w:pPr>
              <w:pStyle w:val="null3"/>
            </w:pPr>
            <w:r>
              <w:rPr/>
              <w:t>提供视频新闻拍摄、剪辑及宣传稿件的整体策划及制作全流程。根据方案的详细和可操作程度进行赋分。 1.方案全面具体、针对性强，且具有较强可操作性与可行性的计（10-15]分; 2.方案内容较完整，描述简单，可行性一般，基本满足项目需要的计（5-10]分; 3.方案内容笼统、粗略，针对性差，可行性较差的计[0-5]分。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运营管理制度</w:t>
            </w:r>
          </w:p>
        </w:tc>
        <w:tc>
          <w:tcPr>
            <w:tcW w:type="dxa" w:w="2492"/>
          </w:tcPr>
          <w:p>
            <w:pPr>
              <w:pStyle w:val="null3"/>
            </w:pPr>
            <w:r>
              <w:rPr/>
              <w:t>具有完善的内部管理制度，在服务质量、服务周期、职业道德、廉洁从业和保密等主要方面具有明确的措施。根据管理措施条理清晰、合理、切实可行优劣程度赋分。 1.管理制度、措施条理清晰、合理、切实可行计（10-15]分； 2.管理制度、措施条理一般、可行性一般计（5-10]分； 3.管理制度、措施条理不清晰、缺乏可行性计[0-5]分。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项目人员配置</w:t>
            </w:r>
          </w:p>
        </w:tc>
        <w:tc>
          <w:tcPr>
            <w:tcW w:type="dxa" w:w="2492"/>
          </w:tcPr>
          <w:p>
            <w:pPr>
              <w:pStyle w:val="null3"/>
            </w:pPr>
            <w:r>
              <w:rPr/>
              <w:t>提供项目人员配置，包括采编、制作、运营及策划团队等组成情况。人员配置合理、职责分工明确，团队经验丰富。 1.人员配备合理、职责分工明确、团队经验丰富全面的计（7-10]分； 2.人员配备较合理、职责分工较明确、团队经验较丰富的计（3-7]分； 3.人员配备不合理、职责分工简单粗略、团队经验不足的计[0-3]分。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具有明确的服务承诺和合理化建议，在服务过程中符合国家及采购人要求，并提供服务承诺和保证措施，按管理要求完成各项服务，并承担相应法律责任，根据供应商提供承诺计[0-5]分。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提供2021年10月1日至今的类似项目业绩，每提供一个得2分，满分5分（业绩以加盖公章的中标通知书或合同复印件为准，时间以中标通知书落款日期或合同签订时间为准）。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p>
            <w:pPr>
              <w:pStyle w:val="null3"/>
            </w:pPr>
            <w:r>
              <w:rPr/>
              <w:t>供应商提供的其他补充材料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价格分统一采用低价优先法计算，即满足磋商文件要求且磋商价格最低的磋商报价为评审基准价，其价格分为满分。其他磋商人的价格分统一按照下列公式计算： 磋商报价得分=(评审基准价／磋商报价)×价格权值×100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详见附件：供应商提供的其他补充材料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详见附件：合同条款及格式前附表.docx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