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B0011">
      <w:pPr>
        <w:pageBreakBefore w:val="0"/>
        <w:topLinePunct w:val="0"/>
        <w:bidi w:val="0"/>
        <w:spacing w:line="500" w:lineRule="exact"/>
        <w:jc w:val="center"/>
        <w:rPr>
          <w:rFonts w:hint="eastAsia" w:ascii="宋体" w:hAnsi="宋体" w:eastAsia="宋体" w:cs="宋体"/>
          <w:b/>
          <w:bCs/>
          <w:sz w:val="28"/>
          <w:szCs w:val="28"/>
        </w:rPr>
      </w:pPr>
      <w:r>
        <w:rPr>
          <w:rFonts w:hint="eastAsia" w:ascii="宋体" w:hAnsi="宋体" w:eastAsia="宋体" w:cs="宋体"/>
          <w:b/>
          <w:bCs/>
          <w:sz w:val="28"/>
          <w:szCs w:val="28"/>
          <w:lang w:bidi="ar"/>
        </w:rPr>
        <w:t>合同条款及格式</w:t>
      </w:r>
    </w:p>
    <w:p w14:paraId="52D5E685">
      <w:pPr>
        <w:pageBreakBefore w:val="0"/>
        <w:topLinePunct w:val="0"/>
        <w:autoSpaceDE w:val="0"/>
        <w:autoSpaceDN w:val="0"/>
        <w:bidi w:val="0"/>
        <w:adjustRightInd w:val="0"/>
        <w:spacing w:line="500" w:lineRule="exact"/>
        <w:ind w:firstLine="480" w:firstLineChars="200"/>
        <w:rPr>
          <w:rFonts w:hint="eastAsia" w:ascii="宋体" w:hAnsi="宋体" w:eastAsia="宋体" w:cs="宋体"/>
          <w:bCs/>
          <w:sz w:val="24"/>
          <w:lang w:bidi="ar"/>
        </w:rPr>
      </w:pPr>
    </w:p>
    <w:p w14:paraId="192DFC63">
      <w:pPr>
        <w:pageBreakBefore w:val="0"/>
        <w:topLinePunct w:val="0"/>
        <w:autoSpaceDE w:val="0"/>
        <w:autoSpaceDN w:val="0"/>
        <w:bidi w:val="0"/>
        <w:adjustRightInd w:val="0"/>
        <w:spacing w:line="500" w:lineRule="exact"/>
        <w:ind w:firstLine="480" w:firstLineChars="200"/>
        <w:rPr>
          <w:rFonts w:hint="eastAsia" w:ascii="宋体" w:hAnsi="宋体" w:eastAsia="宋体" w:cs="宋体"/>
          <w:bCs/>
          <w:color w:val="auto"/>
          <w:sz w:val="24"/>
        </w:rPr>
      </w:pPr>
      <w:r>
        <w:rPr>
          <w:rFonts w:hint="eastAsia" w:ascii="宋体" w:hAnsi="宋体" w:eastAsia="宋体" w:cs="宋体"/>
          <w:bCs/>
          <w:color w:val="auto"/>
          <w:sz w:val="24"/>
          <w:lang w:bidi="ar"/>
        </w:rPr>
        <w:t>甲方（采购人）：</w:t>
      </w:r>
    </w:p>
    <w:p w14:paraId="7CAADED5">
      <w:pPr>
        <w:pageBreakBefore w:val="0"/>
        <w:topLinePunct w:val="0"/>
        <w:autoSpaceDE w:val="0"/>
        <w:autoSpaceDN w:val="0"/>
        <w:bidi w:val="0"/>
        <w:adjustRightInd w:val="0"/>
        <w:spacing w:line="500" w:lineRule="exact"/>
        <w:ind w:firstLine="480" w:firstLineChars="200"/>
        <w:rPr>
          <w:rFonts w:hint="eastAsia" w:ascii="宋体" w:hAnsi="宋体" w:eastAsia="宋体" w:cs="宋体"/>
          <w:bCs/>
          <w:color w:val="auto"/>
          <w:sz w:val="24"/>
        </w:rPr>
      </w:pPr>
      <w:r>
        <w:rPr>
          <w:rFonts w:hint="eastAsia" w:ascii="宋体" w:hAnsi="宋体" w:eastAsia="宋体" w:cs="宋体"/>
          <w:bCs/>
          <w:color w:val="auto"/>
          <w:sz w:val="24"/>
          <w:lang w:bidi="ar"/>
        </w:rPr>
        <w:t xml:space="preserve">乙方（成交供应商）： </w:t>
      </w:r>
    </w:p>
    <w:p w14:paraId="4F165765">
      <w:pPr>
        <w:pageBreakBefore w:val="0"/>
        <w:topLinePunct w:val="0"/>
        <w:autoSpaceDE w:val="0"/>
        <w:autoSpaceDN w:val="0"/>
        <w:bidi w:val="0"/>
        <w:adjustRightInd w:val="0"/>
        <w:spacing w:line="500" w:lineRule="exact"/>
        <w:ind w:firstLine="480" w:firstLineChars="200"/>
        <w:rPr>
          <w:rFonts w:hint="eastAsia" w:ascii="宋体" w:hAnsi="宋体" w:eastAsia="宋体" w:cs="宋体"/>
          <w:bCs/>
          <w:color w:val="auto"/>
          <w:sz w:val="24"/>
        </w:rPr>
      </w:pPr>
      <w:r>
        <w:rPr>
          <w:rFonts w:hint="eastAsia" w:ascii="宋体" w:hAnsi="宋体" w:eastAsia="宋体" w:cs="宋体"/>
          <w:bCs/>
          <w:color w:val="auto"/>
          <w:sz w:val="24"/>
          <w:lang w:eastAsia="zh-CN" w:bidi="ar"/>
        </w:rPr>
        <w:t>白鹿原示范区绿化景观工程养护（东月路全段）</w:t>
      </w:r>
      <w:r>
        <w:rPr>
          <w:rFonts w:hint="eastAsia" w:ascii="宋体" w:hAnsi="宋体" w:eastAsia="宋体" w:cs="宋体"/>
          <w:bCs/>
          <w:color w:val="auto"/>
          <w:sz w:val="24"/>
          <w:lang w:val="en-US" w:eastAsia="zh-CN" w:bidi="ar"/>
        </w:rPr>
        <w:t>项目</w:t>
      </w:r>
      <w:r>
        <w:rPr>
          <w:rFonts w:hint="eastAsia" w:ascii="宋体" w:hAnsi="宋体" w:eastAsia="宋体" w:cs="宋体"/>
          <w:bCs/>
          <w:color w:val="auto"/>
          <w:sz w:val="24"/>
          <w:lang w:bidi="ar"/>
        </w:rPr>
        <w:t>(项目编号：</w:t>
      </w:r>
      <w:r>
        <w:rPr>
          <w:rFonts w:hint="eastAsia" w:ascii="宋体" w:hAnsi="宋体" w:eastAsia="宋体" w:cs="宋体"/>
          <w:bCs/>
          <w:color w:val="auto"/>
          <w:sz w:val="24"/>
          <w:u w:val="single"/>
          <w:lang w:bidi="ar"/>
        </w:rPr>
        <w:t xml:space="preserve">   </w:t>
      </w:r>
      <w:r>
        <w:rPr>
          <w:rFonts w:hint="eastAsia" w:ascii="宋体" w:hAnsi="宋体" w:eastAsia="宋体" w:cs="宋体"/>
          <w:bCs/>
          <w:color w:val="auto"/>
          <w:sz w:val="24"/>
          <w:u w:val="single"/>
          <w:lang w:val="en-US" w:eastAsia="zh-CN" w:bidi="ar"/>
        </w:rPr>
        <w:t xml:space="preserve">   </w:t>
      </w:r>
      <w:r>
        <w:rPr>
          <w:rFonts w:hint="eastAsia" w:ascii="宋体" w:hAnsi="宋体" w:eastAsia="宋体" w:cs="宋体"/>
          <w:bCs/>
          <w:color w:val="auto"/>
          <w:sz w:val="24"/>
          <w:u w:val="single"/>
          <w:lang w:bidi="ar"/>
        </w:rPr>
        <w:t xml:space="preserve">   </w:t>
      </w:r>
      <w:r>
        <w:rPr>
          <w:rFonts w:hint="eastAsia" w:ascii="宋体" w:hAnsi="宋体" w:eastAsia="宋体" w:cs="宋体"/>
          <w:bCs/>
          <w:color w:val="auto"/>
          <w:sz w:val="24"/>
          <w:lang w:bidi="ar"/>
        </w:rPr>
        <w:t>)由</w:t>
      </w:r>
      <w:r>
        <w:rPr>
          <w:rFonts w:hint="eastAsia" w:ascii="宋体" w:hAnsi="宋体" w:eastAsia="宋体" w:cs="宋体"/>
          <w:bCs/>
          <w:color w:val="auto"/>
          <w:sz w:val="24"/>
          <w:lang w:val="en-US" w:eastAsia="zh-CN" w:bidi="ar"/>
        </w:rPr>
        <w:t>同昌成</w:t>
      </w:r>
      <w:r>
        <w:rPr>
          <w:rFonts w:hint="eastAsia" w:ascii="宋体" w:hAnsi="宋体" w:eastAsia="宋体" w:cs="宋体"/>
          <w:bCs/>
          <w:color w:val="auto"/>
          <w:sz w:val="24"/>
          <w:lang w:eastAsia="zh-CN" w:bidi="ar"/>
        </w:rPr>
        <w:t>项目管理有限公司</w:t>
      </w:r>
      <w:r>
        <w:rPr>
          <w:rFonts w:hint="eastAsia" w:ascii="宋体" w:hAnsi="宋体" w:eastAsia="宋体" w:cs="宋体"/>
          <w:bCs/>
          <w:color w:val="auto"/>
          <w:sz w:val="24"/>
          <w:lang w:bidi="ar"/>
        </w:rPr>
        <w:t>组织采购</w:t>
      </w:r>
      <w:r>
        <w:rPr>
          <w:rFonts w:hint="eastAsia" w:ascii="宋体" w:hAnsi="宋体" w:eastAsia="宋体" w:cs="宋体"/>
          <w:bCs/>
          <w:color w:val="auto"/>
          <w:sz w:val="24"/>
          <w:lang w:eastAsia="zh-CN" w:bidi="ar"/>
        </w:rPr>
        <w:t>，</w:t>
      </w:r>
      <w:r>
        <w:rPr>
          <w:rFonts w:hint="eastAsia" w:ascii="宋体" w:hAnsi="宋体" w:eastAsia="宋体" w:cs="宋体"/>
          <w:bCs/>
          <w:color w:val="auto"/>
          <w:sz w:val="24"/>
          <w:u w:val="single"/>
          <w:lang w:bidi="ar"/>
        </w:rPr>
        <w:t xml:space="preserve">      </w:t>
      </w:r>
      <w:r>
        <w:rPr>
          <w:rFonts w:hint="eastAsia" w:ascii="宋体" w:hAnsi="宋体" w:eastAsia="宋体" w:cs="宋体"/>
          <w:bCs/>
          <w:color w:val="auto"/>
          <w:sz w:val="24"/>
          <w:lang w:bidi="ar"/>
        </w:rPr>
        <w:t>(以下简称“甲方”)确定</w:t>
      </w:r>
      <w:r>
        <w:rPr>
          <w:rFonts w:hint="eastAsia" w:ascii="宋体" w:hAnsi="宋体" w:eastAsia="宋体" w:cs="宋体"/>
          <w:bCs/>
          <w:color w:val="auto"/>
          <w:sz w:val="24"/>
          <w:u w:val="single"/>
          <w:lang w:bidi="ar"/>
        </w:rPr>
        <w:t xml:space="preserve">        </w:t>
      </w:r>
      <w:r>
        <w:rPr>
          <w:rFonts w:hint="eastAsia" w:ascii="宋体" w:hAnsi="宋体" w:eastAsia="宋体" w:cs="宋体"/>
          <w:bCs/>
          <w:color w:val="auto"/>
          <w:sz w:val="24"/>
          <w:lang w:bidi="ar"/>
        </w:rPr>
        <w:t>（以下简称“乙方”）为的成交供应商。</w:t>
      </w:r>
    </w:p>
    <w:p w14:paraId="03D7604D">
      <w:pPr>
        <w:pageBreakBefore w:val="0"/>
        <w:topLinePunct w:val="0"/>
        <w:autoSpaceDE w:val="0"/>
        <w:autoSpaceDN w:val="0"/>
        <w:bidi w:val="0"/>
        <w:adjustRightInd w:val="0"/>
        <w:spacing w:line="500" w:lineRule="exact"/>
        <w:ind w:firstLine="480" w:firstLineChars="200"/>
        <w:rPr>
          <w:rFonts w:hint="eastAsia" w:ascii="宋体" w:hAnsi="宋体" w:eastAsia="宋体" w:cs="宋体"/>
          <w:bCs/>
          <w:color w:val="auto"/>
          <w:sz w:val="24"/>
        </w:rPr>
      </w:pPr>
      <w:r>
        <w:rPr>
          <w:rFonts w:hint="eastAsia" w:ascii="宋体" w:hAnsi="宋体" w:eastAsia="宋体" w:cs="宋体"/>
          <w:bCs/>
          <w:color w:val="auto"/>
          <w:sz w:val="24"/>
          <w:lang w:bidi="ar"/>
        </w:rPr>
        <w:t>依据《</w:t>
      </w:r>
      <w:r>
        <w:rPr>
          <w:rFonts w:hint="eastAsia" w:ascii="宋体" w:hAnsi="宋体" w:eastAsia="宋体" w:cs="宋体"/>
          <w:color w:val="auto"/>
          <w:sz w:val="24"/>
          <w:lang w:bidi="ar"/>
        </w:rPr>
        <w:t>中华人民共和国民法典</w:t>
      </w:r>
      <w:r>
        <w:rPr>
          <w:rFonts w:hint="eastAsia" w:ascii="宋体" w:hAnsi="宋体" w:eastAsia="宋体" w:cs="宋体"/>
          <w:bCs/>
          <w:color w:val="auto"/>
          <w:sz w:val="24"/>
          <w:lang w:bidi="ar"/>
        </w:rPr>
        <w:t>》和《中华人民共和国政府采购法》，经双方协商按下述条款和条件签署本合同。</w:t>
      </w:r>
    </w:p>
    <w:p w14:paraId="6307DFC5">
      <w:pPr>
        <w:pageBreakBefore w:val="0"/>
        <w:topLinePunct w:val="0"/>
        <w:bidi w:val="0"/>
        <w:adjustRightInd w:val="0"/>
        <w:snapToGrid w:val="0"/>
        <w:spacing w:line="500" w:lineRule="exact"/>
        <w:ind w:firstLine="482" w:firstLineChars="200"/>
        <w:rPr>
          <w:rFonts w:hint="eastAsia" w:ascii="宋体" w:hAnsi="宋体" w:eastAsia="宋体" w:cs="宋体"/>
          <w:b/>
          <w:color w:val="auto"/>
          <w:sz w:val="24"/>
        </w:rPr>
      </w:pPr>
      <w:bookmarkStart w:id="0" w:name="_Toc26598"/>
      <w:bookmarkEnd w:id="0"/>
      <w:bookmarkStart w:id="1" w:name="_Toc17135"/>
      <w:r>
        <w:rPr>
          <w:rFonts w:hint="eastAsia" w:ascii="宋体" w:hAnsi="宋体" w:eastAsia="宋体" w:cs="宋体"/>
          <w:b/>
          <w:color w:val="auto"/>
          <w:sz w:val="24"/>
          <w:lang w:bidi="ar"/>
        </w:rPr>
        <w:t>一、合同价款</w:t>
      </w:r>
      <w:bookmarkEnd w:id="1"/>
    </w:p>
    <w:p w14:paraId="789B0F0A">
      <w:pPr>
        <w:pageBreakBefore w:val="0"/>
        <w:topLinePunct w:val="0"/>
        <w:bidi w:val="0"/>
        <w:adjustRightInd w:val="0"/>
        <w:snapToGrid w:val="0"/>
        <w:spacing w:line="500" w:lineRule="exact"/>
        <w:ind w:firstLine="480" w:firstLineChars="200"/>
        <w:rPr>
          <w:rFonts w:hint="eastAsia" w:ascii="宋体" w:hAnsi="宋体" w:eastAsia="宋体" w:cs="宋体"/>
          <w:bCs/>
          <w:color w:val="auto"/>
          <w:sz w:val="24"/>
        </w:rPr>
      </w:pPr>
      <w:bookmarkStart w:id="2" w:name="_Toc22277"/>
      <w:bookmarkEnd w:id="2"/>
      <w:bookmarkStart w:id="3" w:name="_Toc1340"/>
      <w:r>
        <w:rPr>
          <w:rFonts w:hint="eastAsia" w:ascii="宋体" w:hAnsi="宋体" w:eastAsia="宋体" w:cs="宋体"/>
          <w:bCs/>
          <w:color w:val="auto"/>
          <w:sz w:val="24"/>
          <w:lang w:bidi="ar"/>
        </w:rPr>
        <w:t>（一）合同总价款为人民币（大写）</w:t>
      </w:r>
      <w:bookmarkEnd w:id="3"/>
      <w:r>
        <w:rPr>
          <w:rFonts w:hint="eastAsia" w:ascii="宋体" w:hAnsi="宋体" w:eastAsia="宋体" w:cs="宋体"/>
          <w:bCs/>
          <w:color w:val="auto"/>
          <w:sz w:val="24"/>
          <w:u w:val="single"/>
          <w:lang w:bidi="ar"/>
        </w:rPr>
        <w:t xml:space="preserve">        </w:t>
      </w:r>
      <w:r>
        <w:rPr>
          <w:rFonts w:hint="eastAsia" w:ascii="宋体" w:hAnsi="宋体" w:eastAsia="宋体" w:cs="宋体"/>
          <w:bCs/>
          <w:color w:val="auto"/>
          <w:sz w:val="24"/>
          <w:lang w:bidi="ar"/>
        </w:rPr>
        <w:t>（￥</w:t>
      </w:r>
      <w:r>
        <w:rPr>
          <w:rFonts w:hint="eastAsia" w:ascii="宋体" w:hAnsi="宋体" w:eastAsia="宋体" w:cs="宋体"/>
          <w:bCs/>
          <w:color w:val="auto"/>
          <w:sz w:val="24"/>
          <w:u w:val="single"/>
          <w:lang w:bidi="ar"/>
        </w:rPr>
        <w:t xml:space="preserve">      </w:t>
      </w:r>
      <w:r>
        <w:rPr>
          <w:rFonts w:hint="eastAsia" w:ascii="宋体" w:hAnsi="宋体" w:eastAsia="宋体" w:cs="宋体"/>
          <w:bCs/>
          <w:color w:val="auto"/>
          <w:sz w:val="24"/>
          <w:lang w:bidi="ar"/>
        </w:rPr>
        <w:t>）。</w:t>
      </w:r>
    </w:p>
    <w:p w14:paraId="4C013A3E">
      <w:pPr>
        <w:pageBreakBefore w:val="0"/>
        <w:topLinePunct w:val="0"/>
        <w:bidi w:val="0"/>
        <w:adjustRightInd w:val="0"/>
        <w:snapToGrid w:val="0"/>
        <w:spacing w:line="500" w:lineRule="exact"/>
        <w:ind w:firstLine="480" w:firstLineChars="200"/>
        <w:rPr>
          <w:rFonts w:hint="eastAsia" w:ascii="宋体" w:hAnsi="宋体" w:eastAsia="宋体" w:cs="宋体"/>
          <w:bCs/>
          <w:color w:val="auto"/>
          <w:sz w:val="24"/>
        </w:rPr>
      </w:pPr>
      <w:r>
        <w:rPr>
          <w:rFonts w:hint="eastAsia" w:ascii="宋体" w:hAnsi="宋体" w:eastAsia="宋体" w:cs="宋体"/>
          <w:bCs/>
          <w:color w:val="auto"/>
          <w:sz w:val="24"/>
          <w:lang w:bidi="ar"/>
        </w:rPr>
        <w:t>（二）合同总价包括：包括但不限于完成本次招标所要求的服务至验收合格的其他一切相关费用。</w:t>
      </w:r>
    </w:p>
    <w:p w14:paraId="553A9ACF">
      <w:pPr>
        <w:pageBreakBefore w:val="0"/>
        <w:topLinePunct w:val="0"/>
        <w:bidi w:val="0"/>
        <w:adjustRightInd w:val="0"/>
        <w:snapToGrid w:val="0"/>
        <w:spacing w:line="500" w:lineRule="exact"/>
        <w:ind w:firstLine="480" w:firstLineChars="200"/>
        <w:rPr>
          <w:rFonts w:hint="eastAsia" w:ascii="宋体" w:hAnsi="宋体" w:eastAsia="宋体" w:cs="宋体"/>
          <w:bCs/>
          <w:color w:val="auto"/>
          <w:sz w:val="24"/>
        </w:rPr>
      </w:pPr>
      <w:r>
        <w:rPr>
          <w:rFonts w:hint="eastAsia" w:ascii="宋体" w:hAnsi="宋体" w:eastAsia="宋体" w:cs="宋体"/>
          <w:bCs/>
          <w:color w:val="auto"/>
          <w:sz w:val="24"/>
          <w:lang w:bidi="ar"/>
        </w:rPr>
        <w:t>（三）合同总价为固定总价，不受市场价格变化因素的影响。</w:t>
      </w:r>
    </w:p>
    <w:p w14:paraId="6D4D89CB">
      <w:pPr>
        <w:pageBreakBefore w:val="0"/>
        <w:topLinePunct w:val="0"/>
        <w:bidi w:val="0"/>
        <w:adjustRightInd w:val="0"/>
        <w:snapToGrid w:val="0"/>
        <w:spacing w:line="500" w:lineRule="exact"/>
        <w:ind w:firstLine="482" w:firstLineChars="200"/>
        <w:rPr>
          <w:rFonts w:hint="eastAsia" w:ascii="宋体" w:hAnsi="宋体" w:eastAsia="宋体" w:cs="宋体"/>
          <w:b/>
          <w:color w:val="auto"/>
          <w:sz w:val="24"/>
        </w:rPr>
      </w:pPr>
      <w:r>
        <w:rPr>
          <w:rFonts w:hint="eastAsia" w:ascii="宋体" w:hAnsi="宋体" w:eastAsia="宋体" w:cs="宋体"/>
          <w:b/>
          <w:color w:val="auto"/>
          <w:sz w:val="24"/>
          <w:lang w:bidi="ar"/>
        </w:rPr>
        <w:t>二、款项结算</w:t>
      </w:r>
    </w:p>
    <w:p w14:paraId="35D41555">
      <w:pPr>
        <w:pageBreakBefore w:val="0"/>
        <w:topLinePunct w:val="0"/>
        <w:bidi w:val="0"/>
        <w:adjustRightInd w:val="0"/>
        <w:snapToGrid w:val="0"/>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lang w:bidi="ar"/>
        </w:rPr>
        <w:t>（一）支付方式：银行转账。</w:t>
      </w:r>
    </w:p>
    <w:p w14:paraId="14952F58">
      <w:pPr>
        <w:pageBreakBefore w:val="0"/>
        <w:topLinePunct w:val="0"/>
        <w:autoSpaceDE w:val="0"/>
        <w:autoSpaceDN w:val="0"/>
        <w:bidi w:val="0"/>
        <w:adjustRightInd w:val="0"/>
        <w:snapToGrid w:val="0"/>
        <w:spacing w:line="500" w:lineRule="exact"/>
        <w:ind w:firstLine="480" w:firstLineChars="200"/>
        <w:rPr>
          <w:rFonts w:hint="eastAsia" w:ascii="宋体" w:hAnsi="宋体" w:eastAsia="宋体" w:cs="宋体"/>
          <w:color w:val="auto"/>
          <w:sz w:val="24"/>
          <w:lang w:bidi="ar"/>
        </w:rPr>
      </w:pPr>
      <w:r>
        <w:rPr>
          <w:rFonts w:hint="eastAsia" w:ascii="宋体" w:hAnsi="宋体" w:eastAsia="宋体" w:cs="宋体"/>
          <w:color w:val="auto"/>
          <w:sz w:val="24"/>
          <w:lang w:bidi="ar"/>
        </w:rPr>
        <w:t>（二）</w:t>
      </w:r>
      <w:r>
        <w:rPr>
          <w:rFonts w:hint="eastAsia" w:ascii="宋体" w:hAnsi="宋体" w:eastAsia="宋体" w:cs="宋体"/>
          <w:color w:val="auto"/>
          <w:sz w:val="24"/>
          <w:lang w:val="en-US" w:eastAsia="zh-CN" w:bidi="ar"/>
        </w:rPr>
        <w:t>款项结算</w:t>
      </w:r>
      <w:r>
        <w:rPr>
          <w:rFonts w:hint="eastAsia" w:ascii="宋体" w:hAnsi="宋体" w:eastAsia="宋体" w:cs="宋体"/>
          <w:color w:val="auto"/>
          <w:sz w:val="24"/>
          <w:lang w:bidi="ar"/>
        </w:rPr>
        <w:t>：合同签订后按季度共分为四次付款。由白鹿原现代农业示范区管委会每月实施一次不定期集中检查，检查扣分由记录累加计算月考核分。考核分数得85分（含85）以上，按照①-④执行款项结算。</w:t>
      </w:r>
    </w:p>
    <w:p w14:paraId="2E6653B7">
      <w:pPr>
        <w:pageBreakBefore w:val="0"/>
        <w:topLinePunct w:val="0"/>
        <w:autoSpaceDE w:val="0"/>
        <w:autoSpaceDN w:val="0"/>
        <w:bidi w:val="0"/>
        <w:adjustRightInd w:val="0"/>
        <w:snapToGrid w:val="0"/>
        <w:spacing w:line="500" w:lineRule="exact"/>
        <w:ind w:firstLine="480" w:firstLineChars="200"/>
        <w:rPr>
          <w:rFonts w:hint="eastAsia" w:ascii="宋体" w:hAnsi="宋体" w:eastAsia="宋体" w:cs="宋体"/>
          <w:color w:val="auto"/>
          <w:sz w:val="24"/>
          <w:lang w:bidi="ar"/>
        </w:rPr>
      </w:pPr>
      <w:r>
        <w:rPr>
          <w:rFonts w:hint="eastAsia" w:ascii="宋体" w:hAnsi="宋体" w:eastAsia="宋体" w:cs="宋体"/>
          <w:color w:val="auto"/>
          <w:sz w:val="24"/>
          <w:lang w:bidi="ar"/>
        </w:rPr>
        <w:t>①合同签订满三个月后在10个工作日内支付至合同价的25%。</w:t>
      </w:r>
    </w:p>
    <w:p w14:paraId="2FCD571C">
      <w:pPr>
        <w:pageBreakBefore w:val="0"/>
        <w:topLinePunct w:val="0"/>
        <w:autoSpaceDE w:val="0"/>
        <w:autoSpaceDN w:val="0"/>
        <w:bidi w:val="0"/>
        <w:adjustRightInd w:val="0"/>
        <w:snapToGrid w:val="0"/>
        <w:spacing w:line="500" w:lineRule="exact"/>
        <w:ind w:firstLine="480" w:firstLineChars="200"/>
        <w:rPr>
          <w:rFonts w:hint="eastAsia" w:ascii="宋体" w:hAnsi="宋体" w:eastAsia="宋体" w:cs="宋体"/>
          <w:color w:val="auto"/>
          <w:sz w:val="24"/>
          <w:lang w:bidi="ar"/>
        </w:rPr>
      </w:pPr>
      <w:r>
        <w:rPr>
          <w:rFonts w:hint="eastAsia" w:ascii="宋体" w:hAnsi="宋体" w:eastAsia="宋体" w:cs="宋体"/>
          <w:color w:val="auto"/>
          <w:sz w:val="24"/>
          <w:lang w:bidi="ar"/>
        </w:rPr>
        <w:t>②合同签订满六个月后在10个工作日内支付至合同价的50%。</w:t>
      </w:r>
    </w:p>
    <w:p w14:paraId="6C701924">
      <w:pPr>
        <w:pageBreakBefore w:val="0"/>
        <w:topLinePunct w:val="0"/>
        <w:autoSpaceDE w:val="0"/>
        <w:autoSpaceDN w:val="0"/>
        <w:bidi w:val="0"/>
        <w:adjustRightInd w:val="0"/>
        <w:snapToGrid w:val="0"/>
        <w:spacing w:line="500" w:lineRule="exact"/>
        <w:ind w:firstLine="480" w:firstLineChars="200"/>
        <w:rPr>
          <w:rFonts w:hint="eastAsia" w:ascii="宋体" w:hAnsi="宋体" w:eastAsia="宋体" w:cs="宋体"/>
          <w:color w:val="auto"/>
          <w:sz w:val="24"/>
          <w:lang w:bidi="ar"/>
        </w:rPr>
      </w:pPr>
      <w:r>
        <w:rPr>
          <w:rFonts w:hint="eastAsia" w:ascii="宋体" w:hAnsi="宋体" w:eastAsia="宋体" w:cs="宋体"/>
          <w:color w:val="auto"/>
          <w:sz w:val="24"/>
          <w:lang w:bidi="ar"/>
        </w:rPr>
        <w:t>③合同签订满九个月后在10个工作日内支付至合同价的75%。</w:t>
      </w:r>
    </w:p>
    <w:p w14:paraId="1C2C557E">
      <w:pPr>
        <w:pageBreakBefore w:val="0"/>
        <w:topLinePunct w:val="0"/>
        <w:autoSpaceDE w:val="0"/>
        <w:autoSpaceDN w:val="0"/>
        <w:bidi w:val="0"/>
        <w:adjustRightInd w:val="0"/>
        <w:snapToGrid w:val="0"/>
        <w:spacing w:line="500" w:lineRule="exact"/>
        <w:ind w:firstLine="480" w:firstLineChars="200"/>
        <w:rPr>
          <w:rFonts w:hint="eastAsia" w:ascii="宋体" w:hAnsi="宋体" w:eastAsia="宋体" w:cs="宋体"/>
          <w:color w:val="auto"/>
          <w:sz w:val="24"/>
          <w:lang w:bidi="ar"/>
        </w:rPr>
      </w:pPr>
      <w:r>
        <w:rPr>
          <w:rFonts w:hint="eastAsia" w:ascii="宋体" w:hAnsi="宋体" w:eastAsia="宋体" w:cs="宋体"/>
          <w:color w:val="auto"/>
          <w:sz w:val="24"/>
          <w:lang w:bidi="ar"/>
        </w:rPr>
        <w:t>④合同签订后满一年，经成果交付验收合格后10个工作日内支付至结算审核价的100%</w:t>
      </w:r>
      <w:r>
        <w:rPr>
          <w:rFonts w:hint="eastAsia" w:ascii="宋体" w:hAnsi="宋体" w:eastAsia="宋体" w:cs="宋体"/>
          <w:color w:val="auto"/>
          <w:sz w:val="24"/>
          <w:lang w:eastAsia="zh-CN" w:bidi="ar"/>
        </w:rPr>
        <w:t>。</w:t>
      </w:r>
    </w:p>
    <w:p w14:paraId="4FE80C06">
      <w:pPr>
        <w:pageBreakBefore w:val="0"/>
        <w:topLinePunct w:val="0"/>
        <w:autoSpaceDE w:val="0"/>
        <w:autoSpaceDN w:val="0"/>
        <w:bidi w:val="0"/>
        <w:adjustRightInd w:val="0"/>
        <w:snapToGrid w:val="0"/>
        <w:spacing w:line="500" w:lineRule="exact"/>
        <w:ind w:firstLine="480" w:firstLineChars="200"/>
        <w:rPr>
          <w:rFonts w:hint="eastAsia" w:ascii="宋体" w:hAnsi="宋体" w:eastAsia="宋体" w:cs="宋体"/>
          <w:color w:val="auto"/>
          <w:sz w:val="24"/>
          <w:lang w:bidi="ar"/>
        </w:rPr>
      </w:pPr>
      <w:r>
        <w:rPr>
          <w:rFonts w:hint="eastAsia" w:ascii="宋体" w:hAnsi="宋体" w:eastAsia="宋体" w:cs="宋体"/>
          <w:color w:val="auto"/>
          <w:sz w:val="24"/>
          <w:lang w:bidi="ar"/>
        </w:rPr>
        <w:t>取得85分以下，每低1分在当月养护费用结算中扣除1%作为处罚，并作为后期养护服务期满结算审核价款的考核结算依据。</w:t>
      </w:r>
    </w:p>
    <w:p w14:paraId="4F716C4D">
      <w:pPr>
        <w:pageBreakBefore w:val="0"/>
        <w:topLinePunct w:val="0"/>
        <w:autoSpaceDE w:val="0"/>
        <w:autoSpaceDN w:val="0"/>
        <w:bidi w:val="0"/>
        <w:adjustRightInd w:val="0"/>
        <w:snapToGrid w:val="0"/>
        <w:spacing w:line="500" w:lineRule="exact"/>
        <w:ind w:firstLine="480" w:firstLineChars="200"/>
        <w:rPr>
          <w:rFonts w:hint="eastAsia" w:ascii="宋体" w:hAnsi="宋体" w:eastAsia="宋体" w:cs="宋体"/>
          <w:color w:val="auto"/>
          <w:sz w:val="24"/>
        </w:rPr>
      </w:pPr>
    </w:p>
    <w:p w14:paraId="105B9D08">
      <w:pPr>
        <w:pageBreakBefore w:val="0"/>
        <w:topLinePunct w:val="0"/>
        <w:autoSpaceDE w:val="0"/>
        <w:autoSpaceDN w:val="0"/>
        <w:bidi w:val="0"/>
        <w:adjustRightInd w:val="0"/>
        <w:snapToGrid w:val="0"/>
        <w:spacing w:line="500" w:lineRule="exact"/>
        <w:ind w:firstLine="482" w:firstLineChars="200"/>
        <w:rPr>
          <w:rFonts w:hint="eastAsia" w:ascii="宋体" w:hAnsi="宋体" w:eastAsia="宋体" w:cs="宋体"/>
          <w:b/>
          <w:bCs/>
          <w:color w:val="auto"/>
          <w:sz w:val="24"/>
        </w:rPr>
      </w:pPr>
      <w:bookmarkStart w:id="4" w:name="_Toc19642"/>
      <w:bookmarkEnd w:id="4"/>
      <w:bookmarkStart w:id="5" w:name="_Toc20456"/>
      <w:r>
        <w:rPr>
          <w:rFonts w:hint="eastAsia" w:ascii="宋体" w:hAnsi="宋体" w:eastAsia="宋体" w:cs="宋体"/>
          <w:b/>
          <w:color w:val="auto"/>
          <w:sz w:val="24"/>
          <w:lang w:bidi="ar"/>
        </w:rPr>
        <w:t>三、</w:t>
      </w:r>
      <w:bookmarkEnd w:id="5"/>
      <w:r>
        <w:rPr>
          <w:rFonts w:hint="eastAsia" w:ascii="宋体" w:hAnsi="宋体" w:eastAsia="宋体" w:cs="宋体"/>
          <w:b/>
          <w:bCs/>
          <w:color w:val="auto"/>
          <w:sz w:val="24"/>
          <w:lang w:bidi="ar"/>
        </w:rPr>
        <w:t>实施地点与服务期</w:t>
      </w:r>
    </w:p>
    <w:p w14:paraId="465C0126">
      <w:pPr>
        <w:pageBreakBefore w:val="0"/>
        <w:topLinePunct w:val="0"/>
        <w:autoSpaceDE w:val="0"/>
        <w:autoSpaceDN w:val="0"/>
        <w:bidi w:val="0"/>
        <w:adjustRightInd w:val="0"/>
        <w:snapToGrid w:val="0"/>
        <w:spacing w:line="500" w:lineRule="exact"/>
        <w:ind w:firstLine="480" w:firstLineChars="200"/>
        <w:rPr>
          <w:rFonts w:hint="eastAsia" w:ascii="宋体" w:hAnsi="宋体" w:eastAsia="宋体" w:cs="宋体"/>
          <w:bCs/>
          <w:color w:val="auto"/>
          <w:sz w:val="24"/>
        </w:rPr>
      </w:pPr>
      <w:r>
        <w:rPr>
          <w:rFonts w:hint="eastAsia" w:ascii="宋体" w:hAnsi="宋体" w:eastAsia="宋体" w:cs="宋体"/>
          <w:bCs/>
          <w:color w:val="auto"/>
          <w:sz w:val="24"/>
          <w:lang w:bidi="ar"/>
        </w:rPr>
        <w:t>（一）实施地点：甲方指定地点。</w:t>
      </w:r>
    </w:p>
    <w:p w14:paraId="4496D473">
      <w:pPr>
        <w:pageBreakBefore w:val="0"/>
        <w:topLinePunct w:val="0"/>
        <w:autoSpaceDE w:val="0"/>
        <w:autoSpaceDN w:val="0"/>
        <w:bidi w:val="0"/>
        <w:adjustRightInd w:val="0"/>
        <w:snapToGrid w:val="0"/>
        <w:spacing w:line="500" w:lineRule="exact"/>
        <w:ind w:firstLine="480" w:firstLineChars="200"/>
        <w:rPr>
          <w:rFonts w:hint="eastAsia" w:ascii="宋体" w:hAnsi="宋体" w:eastAsia="宋体" w:cs="宋体"/>
          <w:bCs/>
          <w:color w:val="auto"/>
          <w:sz w:val="24"/>
          <w:lang w:bidi="ar"/>
        </w:rPr>
      </w:pPr>
      <w:r>
        <w:rPr>
          <w:rFonts w:hint="eastAsia" w:ascii="宋体" w:hAnsi="宋体" w:eastAsia="宋体" w:cs="宋体"/>
          <w:color w:val="auto"/>
          <w:sz w:val="24"/>
          <w:lang w:bidi="ar"/>
        </w:rPr>
        <w:t>（二）</w:t>
      </w:r>
      <w:r>
        <w:rPr>
          <w:rFonts w:hint="eastAsia" w:ascii="宋体" w:hAnsi="宋体" w:eastAsia="宋体" w:cs="宋体"/>
          <w:bCs/>
          <w:color w:val="auto"/>
          <w:sz w:val="24"/>
          <w:lang w:bidi="ar"/>
        </w:rPr>
        <w:t>服务期：</w:t>
      </w:r>
      <w:bookmarkStart w:id="6" w:name="_Toc5951"/>
      <w:bookmarkEnd w:id="6"/>
      <w:bookmarkStart w:id="7" w:name="_Toc13422"/>
      <w:r>
        <w:rPr>
          <w:rFonts w:hint="eastAsia" w:ascii="宋体" w:hAnsi="宋体" w:eastAsia="宋体" w:cs="宋体"/>
          <w:bCs/>
          <w:color w:val="auto"/>
          <w:sz w:val="24"/>
          <w:lang w:bidi="ar"/>
        </w:rPr>
        <w:t>本项目服务期限自合同签订之日起2年，服务合同一年一签，养护服务合同一年服务期满后，经考核合格，续签第二年合同。</w:t>
      </w:r>
    </w:p>
    <w:p w14:paraId="75D21CE9">
      <w:pPr>
        <w:pageBreakBefore w:val="0"/>
        <w:topLinePunct w:val="0"/>
        <w:autoSpaceDE w:val="0"/>
        <w:autoSpaceDN w:val="0"/>
        <w:bidi w:val="0"/>
        <w:adjustRightInd w:val="0"/>
        <w:snapToGrid w:val="0"/>
        <w:spacing w:line="500" w:lineRule="exact"/>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lang w:bidi="ar"/>
        </w:rPr>
        <w:t>四、技术服务</w:t>
      </w:r>
      <w:bookmarkEnd w:id="7"/>
    </w:p>
    <w:p w14:paraId="2A5A2E08">
      <w:pPr>
        <w:pageBreakBefore w:val="0"/>
        <w:topLinePunct w:val="0"/>
        <w:bidi w:val="0"/>
        <w:spacing w:line="500" w:lineRule="exact"/>
        <w:ind w:right="-168" w:rightChars="-80" w:firstLine="480" w:firstLineChars="200"/>
        <w:rPr>
          <w:rFonts w:hint="eastAsia" w:ascii="宋体" w:hAnsi="宋体" w:eastAsia="宋体" w:cs="宋体"/>
          <w:color w:val="auto"/>
          <w:sz w:val="24"/>
        </w:rPr>
      </w:pPr>
      <w:r>
        <w:rPr>
          <w:rFonts w:hint="eastAsia" w:ascii="宋体" w:hAnsi="宋体" w:eastAsia="宋体" w:cs="宋体"/>
          <w:color w:val="auto"/>
          <w:sz w:val="24"/>
          <w:lang w:bidi="ar"/>
        </w:rPr>
        <w:t>（一）技术资料：</w:t>
      </w:r>
    </w:p>
    <w:p w14:paraId="7AE4C814">
      <w:pPr>
        <w:pageBreakBefore w:val="0"/>
        <w:topLinePunct w:val="0"/>
        <w:bidi w:val="0"/>
        <w:spacing w:line="500" w:lineRule="exact"/>
        <w:ind w:right="-168" w:rightChars="-80" w:firstLine="480" w:firstLineChars="200"/>
        <w:rPr>
          <w:rFonts w:hint="eastAsia" w:ascii="宋体" w:hAnsi="宋体" w:eastAsia="宋体" w:cs="宋体"/>
          <w:color w:val="auto"/>
          <w:sz w:val="24"/>
        </w:rPr>
      </w:pPr>
      <w:r>
        <w:rPr>
          <w:rFonts w:hint="eastAsia" w:ascii="宋体" w:hAnsi="宋体" w:eastAsia="宋体" w:cs="宋体"/>
          <w:color w:val="auto"/>
          <w:sz w:val="24"/>
          <w:lang w:bidi="ar"/>
        </w:rPr>
        <w:t>1.实施方案。</w:t>
      </w:r>
    </w:p>
    <w:p w14:paraId="6243A492">
      <w:pPr>
        <w:pageBreakBefore w:val="0"/>
        <w:topLinePunct w:val="0"/>
        <w:bidi w:val="0"/>
        <w:spacing w:line="500" w:lineRule="exact"/>
        <w:ind w:right="-168" w:rightChars="-80" w:firstLine="480" w:firstLineChars="200"/>
        <w:rPr>
          <w:rFonts w:hint="eastAsia" w:ascii="宋体" w:hAnsi="宋体" w:eastAsia="宋体" w:cs="宋体"/>
          <w:color w:val="auto"/>
          <w:sz w:val="24"/>
        </w:rPr>
      </w:pPr>
      <w:r>
        <w:rPr>
          <w:rFonts w:hint="eastAsia" w:ascii="宋体" w:hAnsi="宋体" w:eastAsia="宋体" w:cs="宋体"/>
          <w:color w:val="auto"/>
          <w:sz w:val="24"/>
          <w:lang w:bidi="ar"/>
        </w:rPr>
        <w:t>2.其它资料。</w:t>
      </w:r>
    </w:p>
    <w:p w14:paraId="4E12554D">
      <w:pPr>
        <w:pageBreakBefore w:val="0"/>
        <w:topLinePunct w:val="0"/>
        <w:bidi w:val="0"/>
        <w:spacing w:line="500" w:lineRule="exact"/>
        <w:ind w:right="-168" w:rightChars="-80" w:firstLine="480" w:firstLineChars="200"/>
        <w:rPr>
          <w:rFonts w:hint="eastAsia" w:ascii="宋体" w:hAnsi="宋体" w:eastAsia="宋体" w:cs="宋体"/>
          <w:color w:val="auto"/>
          <w:sz w:val="24"/>
        </w:rPr>
      </w:pPr>
      <w:r>
        <w:rPr>
          <w:rFonts w:hint="eastAsia" w:ascii="宋体" w:hAnsi="宋体" w:eastAsia="宋体" w:cs="宋体"/>
          <w:color w:val="auto"/>
          <w:sz w:val="24"/>
          <w:lang w:bidi="ar"/>
        </w:rPr>
        <w:t>（二）服务承诺：响应文件有明确的服务承诺。</w:t>
      </w:r>
      <w:bookmarkStart w:id="8" w:name="_Toc29562"/>
      <w:bookmarkEnd w:id="8"/>
      <w:bookmarkStart w:id="9" w:name="_Toc10713"/>
      <w:bookmarkEnd w:id="9"/>
    </w:p>
    <w:p w14:paraId="43CF9460">
      <w:pPr>
        <w:pageBreakBefore w:val="0"/>
        <w:topLinePunct w:val="0"/>
        <w:autoSpaceDE w:val="0"/>
        <w:autoSpaceDN w:val="0"/>
        <w:bidi w:val="0"/>
        <w:snapToGrid w:val="0"/>
        <w:spacing w:line="500" w:lineRule="exact"/>
        <w:ind w:firstLine="640"/>
        <w:rPr>
          <w:rFonts w:hint="eastAsia" w:ascii="宋体" w:hAnsi="宋体" w:eastAsia="宋体" w:cs="宋体"/>
          <w:b/>
          <w:color w:val="auto"/>
          <w:sz w:val="24"/>
          <w:lang w:bidi="ar"/>
        </w:rPr>
      </w:pPr>
      <w:bookmarkStart w:id="10" w:name="_Toc9857"/>
      <w:bookmarkEnd w:id="10"/>
      <w:bookmarkStart w:id="11" w:name="_Toc3666"/>
      <w:bookmarkEnd w:id="11"/>
      <w:bookmarkStart w:id="12" w:name="_Toc26881"/>
      <w:r>
        <w:rPr>
          <w:rFonts w:hint="eastAsia" w:ascii="宋体" w:hAnsi="宋体" w:eastAsia="宋体" w:cs="宋体"/>
          <w:b/>
          <w:color w:val="auto"/>
          <w:sz w:val="24"/>
          <w:lang w:bidi="ar"/>
        </w:rPr>
        <w:t>五、</w:t>
      </w:r>
      <w:bookmarkEnd w:id="12"/>
      <w:r>
        <w:rPr>
          <w:rFonts w:hint="eastAsia" w:ascii="宋体" w:hAnsi="宋体" w:eastAsia="宋体" w:cs="宋体"/>
          <w:b/>
          <w:color w:val="auto"/>
          <w:sz w:val="24"/>
          <w:lang w:bidi="ar"/>
        </w:rPr>
        <w:t>质量保证</w:t>
      </w:r>
    </w:p>
    <w:p w14:paraId="4BB7FFBD">
      <w:pPr>
        <w:pageBreakBefore w:val="0"/>
        <w:topLinePunct w:val="0"/>
        <w:autoSpaceDE w:val="0"/>
        <w:autoSpaceDN w:val="0"/>
        <w:bidi w:val="0"/>
        <w:snapToGrid w:val="0"/>
        <w:spacing w:line="500" w:lineRule="exact"/>
        <w:ind w:firstLine="640"/>
        <w:rPr>
          <w:rFonts w:hint="eastAsia" w:ascii="宋体" w:hAnsi="宋体" w:eastAsia="宋体" w:cs="宋体"/>
          <w:color w:val="auto"/>
          <w:sz w:val="24"/>
        </w:rPr>
      </w:pPr>
      <w:r>
        <w:rPr>
          <w:rFonts w:hint="eastAsia" w:ascii="宋体" w:hAnsi="宋体" w:eastAsia="宋体" w:cs="宋体"/>
          <w:color w:val="auto"/>
          <w:sz w:val="24"/>
          <w:lang w:bidi="ar"/>
        </w:rPr>
        <w:t>供应商提供的产品及服务应全面满足磋商内容的要求，磋商文件未明确要求的内容，供应商须按国家最新发布的规范标准执行或以采购人的补充要求为准，如发生质量问题由供应商承担全部责任。</w:t>
      </w:r>
    </w:p>
    <w:p w14:paraId="2AD22A1A">
      <w:pPr>
        <w:pageBreakBefore w:val="0"/>
        <w:topLinePunct w:val="0"/>
        <w:autoSpaceDE w:val="0"/>
        <w:autoSpaceDN w:val="0"/>
        <w:bidi w:val="0"/>
        <w:snapToGrid w:val="0"/>
        <w:spacing w:line="500" w:lineRule="exact"/>
        <w:ind w:firstLine="640"/>
        <w:rPr>
          <w:rFonts w:hint="eastAsia" w:ascii="宋体" w:hAnsi="宋体" w:eastAsia="宋体" w:cs="宋体"/>
          <w:color w:val="auto"/>
          <w:sz w:val="24"/>
        </w:rPr>
      </w:pPr>
      <w:r>
        <w:rPr>
          <w:rFonts w:hint="eastAsia" w:ascii="宋体" w:hAnsi="宋体" w:eastAsia="宋体" w:cs="宋体"/>
          <w:color w:val="auto"/>
          <w:sz w:val="24"/>
          <w:lang w:bidi="ar"/>
        </w:rPr>
        <w:t>验收依据：</w:t>
      </w:r>
    </w:p>
    <w:p w14:paraId="24B4BE53">
      <w:pPr>
        <w:pageBreakBefore w:val="0"/>
        <w:topLinePunct w:val="0"/>
        <w:autoSpaceDE w:val="0"/>
        <w:autoSpaceDN w:val="0"/>
        <w:bidi w:val="0"/>
        <w:snapToGrid w:val="0"/>
        <w:spacing w:line="500" w:lineRule="exact"/>
        <w:ind w:firstLine="640"/>
        <w:rPr>
          <w:rFonts w:hint="eastAsia" w:ascii="宋体" w:hAnsi="宋体" w:eastAsia="宋体" w:cs="宋体"/>
          <w:color w:val="auto"/>
          <w:sz w:val="24"/>
        </w:rPr>
      </w:pPr>
      <w:r>
        <w:rPr>
          <w:rFonts w:hint="eastAsia" w:ascii="宋体" w:hAnsi="宋体" w:eastAsia="宋体" w:cs="宋体"/>
          <w:color w:val="auto"/>
          <w:sz w:val="24"/>
          <w:lang w:bidi="ar"/>
        </w:rPr>
        <w:t>1.本合同及附加文本；</w:t>
      </w:r>
    </w:p>
    <w:p w14:paraId="0D88F731">
      <w:pPr>
        <w:pageBreakBefore w:val="0"/>
        <w:topLinePunct w:val="0"/>
        <w:autoSpaceDE w:val="0"/>
        <w:autoSpaceDN w:val="0"/>
        <w:bidi w:val="0"/>
        <w:snapToGrid w:val="0"/>
        <w:spacing w:line="500" w:lineRule="exact"/>
        <w:ind w:firstLine="640"/>
        <w:rPr>
          <w:rFonts w:hint="eastAsia" w:ascii="宋体" w:hAnsi="宋体" w:eastAsia="宋体" w:cs="宋体"/>
          <w:color w:val="auto"/>
          <w:sz w:val="24"/>
        </w:rPr>
      </w:pPr>
      <w:r>
        <w:rPr>
          <w:rFonts w:hint="eastAsia" w:ascii="宋体" w:hAnsi="宋体" w:eastAsia="宋体" w:cs="宋体"/>
          <w:color w:val="auto"/>
          <w:sz w:val="24"/>
          <w:lang w:bidi="ar"/>
        </w:rPr>
        <w:t>2.磋商文件、成交供应商的响应文件及澄清函；</w:t>
      </w:r>
    </w:p>
    <w:p w14:paraId="64571C08">
      <w:pPr>
        <w:pageBreakBefore w:val="0"/>
        <w:topLinePunct w:val="0"/>
        <w:autoSpaceDE w:val="0"/>
        <w:autoSpaceDN w:val="0"/>
        <w:bidi w:val="0"/>
        <w:snapToGrid w:val="0"/>
        <w:spacing w:line="500" w:lineRule="exact"/>
        <w:ind w:firstLine="640"/>
        <w:rPr>
          <w:rFonts w:hint="eastAsia" w:ascii="宋体" w:hAnsi="宋体" w:eastAsia="宋体" w:cs="宋体"/>
          <w:color w:val="auto"/>
          <w:sz w:val="24"/>
        </w:rPr>
      </w:pPr>
      <w:r>
        <w:rPr>
          <w:rFonts w:hint="eastAsia" w:ascii="宋体" w:hAnsi="宋体" w:eastAsia="宋体" w:cs="宋体"/>
          <w:color w:val="auto"/>
          <w:sz w:val="24"/>
          <w:lang w:bidi="ar"/>
        </w:rPr>
        <w:t>3.国家相应的标准、规范。</w:t>
      </w:r>
      <w:bookmarkStart w:id="13" w:name="_Toc12051"/>
      <w:bookmarkEnd w:id="13"/>
    </w:p>
    <w:p w14:paraId="18DFD05E">
      <w:pPr>
        <w:pageBreakBefore w:val="0"/>
        <w:topLinePunct w:val="0"/>
        <w:autoSpaceDE w:val="0"/>
        <w:autoSpaceDN w:val="0"/>
        <w:bidi w:val="0"/>
        <w:snapToGrid w:val="0"/>
        <w:spacing w:line="500" w:lineRule="exact"/>
        <w:ind w:firstLine="640"/>
        <w:rPr>
          <w:rFonts w:hint="eastAsia" w:ascii="宋体" w:hAnsi="宋体" w:eastAsia="宋体" w:cs="宋体"/>
          <w:b/>
          <w:color w:val="auto"/>
          <w:sz w:val="24"/>
        </w:rPr>
      </w:pPr>
      <w:r>
        <w:rPr>
          <w:rFonts w:hint="eastAsia" w:ascii="宋体" w:hAnsi="宋体" w:eastAsia="宋体" w:cs="宋体"/>
          <w:b/>
          <w:color w:val="auto"/>
          <w:sz w:val="24"/>
          <w:lang w:bidi="ar"/>
        </w:rPr>
        <w:t>六、双方权利及义务</w:t>
      </w:r>
    </w:p>
    <w:p w14:paraId="69328276">
      <w:pPr>
        <w:pageBreakBefore w:val="0"/>
        <w:topLinePunct w:val="0"/>
        <w:autoSpaceDE w:val="0"/>
        <w:autoSpaceDN w:val="0"/>
        <w:bidi w:val="0"/>
        <w:snapToGrid w:val="0"/>
        <w:spacing w:line="500" w:lineRule="exact"/>
        <w:ind w:firstLine="640"/>
        <w:rPr>
          <w:rFonts w:hint="eastAsia" w:ascii="宋体" w:hAnsi="宋体" w:eastAsia="宋体" w:cs="宋体"/>
          <w:color w:val="auto"/>
          <w:sz w:val="24"/>
        </w:rPr>
      </w:pPr>
      <w:r>
        <w:rPr>
          <w:rFonts w:hint="eastAsia" w:ascii="宋体" w:hAnsi="宋体" w:eastAsia="宋体" w:cs="宋体"/>
          <w:color w:val="auto"/>
          <w:sz w:val="24"/>
          <w:lang w:bidi="ar"/>
        </w:rPr>
        <w:t>1.甲乙双方必须遵守本合同并执行合同中的各项规定，保证本合同的正常履行。</w:t>
      </w:r>
    </w:p>
    <w:p w14:paraId="5A599472">
      <w:pPr>
        <w:pageBreakBefore w:val="0"/>
        <w:topLinePunct w:val="0"/>
        <w:autoSpaceDE w:val="0"/>
        <w:autoSpaceDN w:val="0"/>
        <w:bidi w:val="0"/>
        <w:snapToGrid w:val="0"/>
        <w:spacing w:line="500" w:lineRule="exact"/>
        <w:ind w:firstLine="640"/>
        <w:rPr>
          <w:rFonts w:hint="eastAsia" w:ascii="宋体" w:hAnsi="宋体" w:eastAsia="宋体" w:cs="宋体"/>
          <w:color w:val="auto"/>
          <w:sz w:val="24"/>
        </w:rPr>
      </w:pPr>
      <w:r>
        <w:rPr>
          <w:rFonts w:hint="eastAsia" w:ascii="宋体" w:hAnsi="宋体" w:eastAsia="宋体" w:cs="宋体"/>
          <w:color w:val="auto"/>
          <w:sz w:val="24"/>
          <w:lang w:bidi="ar"/>
        </w:rPr>
        <w:t>2.本合同签订后甲乙双方不得单方终止合同，如乙方违约，应退还预付款，并赔偿给甲方实际造成的损失；如甲方违约，乙方收取的预付款不予退还。</w:t>
      </w:r>
    </w:p>
    <w:p w14:paraId="6D53AB8E">
      <w:pPr>
        <w:pageBreakBefore w:val="0"/>
        <w:topLinePunct w:val="0"/>
        <w:autoSpaceDE w:val="0"/>
        <w:autoSpaceDN w:val="0"/>
        <w:bidi w:val="0"/>
        <w:snapToGrid w:val="0"/>
        <w:spacing w:line="500" w:lineRule="exact"/>
        <w:ind w:firstLine="640"/>
        <w:rPr>
          <w:rFonts w:hint="eastAsia" w:ascii="宋体" w:hAnsi="宋体" w:eastAsia="宋体" w:cs="宋体"/>
          <w:color w:val="auto"/>
          <w:sz w:val="24"/>
        </w:rPr>
      </w:pPr>
      <w:r>
        <w:rPr>
          <w:rFonts w:hint="eastAsia" w:ascii="宋体" w:hAnsi="宋体" w:eastAsia="宋体" w:cs="宋体"/>
          <w:color w:val="auto"/>
          <w:sz w:val="24"/>
          <w:lang w:bidi="ar"/>
        </w:rPr>
        <w:t>3.如因乙方存在以下行为，甲方有权终止合同，依法向乙方进行经济索赔，并报请政府采购监督管理机关进行相应的行政处罚。</w:t>
      </w:r>
    </w:p>
    <w:p w14:paraId="53E19596">
      <w:pPr>
        <w:pageBreakBefore w:val="0"/>
        <w:topLinePunct w:val="0"/>
        <w:autoSpaceDE w:val="0"/>
        <w:autoSpaceDN w:val="0"/>
        <w:bidi w:val="0"/>
        <w:snapToGrid w:val="0"/>
        <w:spacing w:line="500" w:lineRule="exact"/>
        <w:ind w:firstLine="640"/>
        <w:rPr>
          <w:rFonts w:hint="eastAsia" w:ascii="宋体" w:hAnsi="宋体" w:eastAsia="宋体" w:cs="宋体"/>
          <w:color w:val="auto"/>
          <w:sz w:val="24"/>
        </w:rPr>
      </w:pPr>
      <w:r>
        <w:rPr>
          <w:rFonts w:hint="eastAsia" w:ascii="宋体" w:hAnsi="宋体" w:eastAsia="宋体" w:cs="宋体"/>
          <w:color w:val="auto"/>
          <w:sz w:val="24"/>
          <w:lang w:bidi="ar"/>
        </w:rPr>
        <w:t>4.甲方违约的，应当赔偿给乙方造成的直接经济损失。</w:t>
      </w:r>
    </w:p>
    <w:p w14:paraId="38CDA743">
      <w:pPr>
        <w:pageBreakBefore w:val="0"/>
        <w:topLinePunct w:val="0"/>
        <w:autoSpaceDE w:val="0"/>
        <w:autoSpaceDN w:val="0"/>
        <w:bidi w:val="0"/>
        <w:snapToGrid w:val="0"/>
        <w:spacing w:line="500" w:lineRule="exact"/>
        <w:ind w:firstLine="640"/>
        <w:rPr>
          <w:rFonts w:hint="eastAsia" w:ascii="宋体" w:hAnsi="宋体" w:eastAsia="宋体" w:cs="宋体"/>
          <w:color w:val="auto"/>
          <w:sz w:val="24"/>
        </w:rPr>
      </w:pPr>
      <w:r>
        <w:rPr>
          <w:rFonts w:hint="eastAsia" w:ascii="宋体" w:hAnsi="宋体" w:eastAsia="宋体" w:cs="宋体"/>
          <w:color w:val="auto"/>
          <w:sz w:val="24"/>
          <w:lang w:bidi="ar"/>
        </w:rPr>
        <w:t>5.本合同未经双方同意，任何一方不得以任何形式公开本合同及附件内容，以确保双方的商业机密。</w:t>
      </w:r>
    </w:p>
    <w:p w14:paraId="1599343A">
      <w:pPr>
        <w:pageBreakBefore w:val="0"/>
        <w:topLinePunct w:val="0"/>
        <w:autoSpaceDE w:val="0"/>
        <w:autoSpaceDN w:val="0"/>
        <w:bidi w:val="0"/>
        <w:snapToGrid w:val="0"/>
        <w:spacing w:line="500" w:lineRule="exact"/>
        <w:ind w:firstLine="640"/>
        <w:rPr>
          <w:rFonts w:hint="eastAsia" w:ascii="宋体" w:hAnsi="宋体" w:eastAsia="宋体" w:cs="宋体"/>
          <w:color w:val="auto"/>
          <w:sz w:val="24"/>
        </w:rPr>
      </w:pPr>
      <w:r>
        <w:rPr>
          <w:rFonts w:hint="eastAsia" w:ascii="宋体" w:hAnsi="宋体" w:eastAsia="宋体" w:cs="宋体"/>
          <w:color w:val="auto"/>
          <w:sz w:val="24"/>
          <w:lang w:bidi="ar"/>
        </w:rPr>
        <w:t>6.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278F1263">
      <w:pPr>
        <w:pageBreakBefore w:val="0"/>
        <w:topLinePunct w:val="0"/>
        <w:autoSpaceDE w:val="0"/>
        <w:autoSpaceDN w:val="0"/>
        <w:bidi w:val="0"/>
        <w:snapToGrid w:val="0"/>
        <w:spacing w:line="500" w:lineRule="exact"/>
        <w:ind w:firstLine="640"/>
        <w:rPr>
          <w:rFonts w:hint="eastAsia" w:ascii="宋体" w:hAnsi="宋体" w:eastAsia="宋体" w:cs="宋体"/>
          <w:b/>
          <w:color w:val="auto"/>
          <w:sz w:val="24"/>
        </w:rPr>
      </w:pPr>
      <w:r>
        <w:rPr>
          <w:rFonts w:hint="eastAsia" w:ascii="宋体" w:hAnsi="宋体" w:eastAsia="宋体" w:cs="宋体"/>
          <w:b/>
          <w:color w:val="auto"/>
          <w:sz w:val="24"/>
          <w:lang w:bidi="ar"/>
        </w:rPr>
        <w:t>七、保密</w:t>
      </w:r>
    </w:p>
    <w:p w14:paraId="1B52B6AB">
      <w:pPr>
        <w:pageBreakBefore w:val="0"/>
        <w:topLinePunct w:val="0"/>
        <w:autoSpaceDE w:val="0"/>
        <w:autoSpaceDN w:val="0"/>
        <w:bidi w:val="0"/>
        <w:snapToGrid w:val="0"/>
        <w:spacing w:line="500" w:lineRule="exact"/>
        <w:ind w:firstLine="640"/>
        <w:rPr>
          <w:rFonts w:hint="eastAsia" w:ascii="宋体" w:hAnsi="宋体" w:eastAsia="宋体" w:cs="宋体"/>
          <w:color w:val="auto"/>
          <w:sz w:val="24"/>
        </w:rPr>
      </w:pPr>
      <w:r>
        <w:rPr>
          <w:rFonts w:hint="eastAsia" w:ascii="宋体" w:hAnsi="宋体" w:eastAsia="宋体" w:cs="宋体"/>
          <w:color w:val="auto"/>
          <w:sz w:val="24"/>
          <w:lang w:bidi="ar"/>
        </w:rPr>
        <w:t>双方须对工作中了解到的技术、机密等进行严格保密，未经对方同意不得向他人泄漏。</w:t>
      </w:r>
    </w:p>
    <w:p w14:paraId="443D31A2">
      <w:pPr>
        <w:pageBreakBefore w:val="0"/>
        <w:topLinePunct w:val="0"/>
        <w:autoSpaceDE w:val="0"/>
        <w:autoSpaceDN w:val="0"/>
        <w:bidi w:val="0"/>
        <w:snapToGrid w:val="0"/>
        <w:spacing w:line="500" w:lineRule="exact"/>
        <w:ind w:firstLine="640"/>
        <w:rPr>
          <w:rFonts w:hint="eastAsia" w:ascii="宋体" w:hAnsi="宋体" w:eastAsia="宋体" w:cs="宋体"/>
          <w:b/>
          <w:color w:val="auto"/>
          <w:sz w:val="24"/>
        </w:rPr>
      </w:pPr>
      <w:r>
        <w:rPr>
          <w:rFonts w:hint="eastAsia" w:ascii="宋体" w:hAnsi="宋体" w:eastAsia="宋体" w:cs="宋体"/>
          <w:b/>
          <w:color w:val="auto"/>
          <w:sz w:val="24"/>
          <w:lang w:bidi="ar"/>
        </w:rPr>
        <w:t>八、知识产权</w:t>
      </w:r>
    </w:p>
    <w:p w14:paraId="37000BE3">
      <w:pPr>
        <w:pageBreakBefore w:val="0"/>
        <w:topLinePunct w:val="0"/>
        <w:autoSpaceDE w:val="0"/>
        <w:autoSpaceDN w:val="0"/>
        <w:bidi w:val="0"/>
        <w:snapToGrid w:val="0"/>
        <w:spacing w:line="500" w:lineRule="exact"/>
        <w:ind w:firstLine="640"/>
        <w:rPr>
          <w:rFonts w:hint="eastAsia" w:ascii="宋体" w:hAnsi="宋体" w:eastAsia="宋体" w:cs="宋体"/>
          <w:b/>
          <w:color w:val="auto"/>
          <w:sz w:val="24"/>
        </w:rPr>
      </w:pPr>
      <w:r>
        <w:rPr>
          <w:rFonts w:hint="eastAsia" w:ascii="宋体" w:hAnsi="宋体" w:eastAsia="宋体" w:cs="宋体"/>
          <w:color w:val="auto"/>
          <w:sz w:val="24"/>
          <w:lang w:bidi="ar"/>
        </w:rPr>
        <w:t>乙方应保证磋商产品及服务不会出现因第三方提出侵犯其专利权、商标权或其它知识产权而引发法律或经济纠纷，否则由乙方承担全部责任。任何被乙方用于未经授权的商业目的行为所造成的违约或侵权责任由乙方承但。</w:t>
      </w:r>
    </w:p>
    <w:p w14:paraId="53CDFB94">
      <w:pPr>
        <w:pageBreakBefore w:val="0"/>
        <w:topLinePunct w:val="0"/>
        <w:autoSpaceDE w:val="0"/>
        <w:autoSpaceDN w:val="0"/>
        <w:bidi w:val="0"/>
        <w:snapToGrid w:val="0"/>
        <w:spacing w:line="500" w:lineRule="exact"/>
        <w:ind w:firstLine="643"/>
        <w:rPr>
          <w:rFonts w:hint="eastAsia" w:ascii="宋体" w:hAnsi="宋体" w:eastAsia="宋体" w:cs="宋体"/>
          <w:b/>
          <w:color w:val="auto"/>
          <w:sz w:val="24"/>
        </w:rPr>
      </w:pPr>
      <w:bookmarkStart w:id="14" w:name="_Toc11251"/>
      <w:r>
        <w:rPr>
          <w:rFonts w:hint="eastAsia" w:ascii="宋体" w:hAnsi="宋体" w:eastAsia="宋体" w:cs="宋体"/>
          <w:b/>
          <w:color w:val="auto"/>
          <w:sz w:val="24"/>
          <w:lang w:bidi="ar"/>
        </w:rPr>
        <w:t>九、合同争议解决的方式</w:t>
      </w:r>
      <w:bookmarkEnd w:id="14"/>
    </w:p>
    <w:p w14:paraId="11BB2B65">
      <w:pPr>
        <w:pageBreakBefore w:val="0"/>
        <w:topLinePunct w:val="0"/>
        <w:autoSpaceDE w:val="0"/>
        <w:autoSpaceDN w:val="0"/>
        <w:bidi w:val="0"/>
        <w:snapToGrid w:val="0"/>
        <w:spacing w:line="500" w:lineRule="exact"/>
        <w:ind w:firstLine="640"/>
        <w:rPr>
          <w:rFonts w:hint="eastAsia" w:ascii="宋体" w:hAnsi="宋体" w:eastAsia="宋体" w:cs="宋体"/>
          <w:color w:val="auto"/>
          <w:sz w:val="24"/>
        </w:rPr>
      </w:pPr>
      <w:r>
        <w:rPr>
          <w:rFonts w:hint="eastAsia" w:ascii="宋体" w:hAnsi="宋体" w:eastAsia="宋体" w:cs="宋体"/>
          <w:color w:val="auto"/>
          <w:sz w:val="24"/>
          <w:lang w:bidi="ar"/>
        </w:rPr>
        <w:t>本合同在履行过程中发生的争议，由甲、乙双方当事人协商解决，协商不成的按下列</w:t>
      </w:r>
      <w:r>
        <w:rPr>
          <w:rFonts w:hint="eastAsia" w:ascii="宋体" w:hAnsi="宋体" w:eastAsia="宋体" w:cs="宋体"/>
          <w:color w:val="auto"/>
          <w:sz w:val="24"/>
          <w:u w:val="single"/>
          <w:lang w:bidi="ar"/>
        </w:rPr>
        <w:t>第（二）</w:t>
      </w:r>
      <w:r>
        <w:rPr>
          <w:rFonts w:hint="eastAsia" w:ascii="宋体" w:hAnsi="宋体" w:eastAsia="宋体" w:cs="宋体"/>
          <w:color w:val="auto"/>
          <w:sz w:val="24"/>
          <w:lang w:bidi="ar"/>
        </w:rPr>
        <w:t>种方式解决：</w:t>
      </w:r>
    </w:p>
    <w:p w14:paraId="7ECCDC71">
      <w:pPr>
        <w:pageBreakBefore w:val="0"/>
        <w:topLinePunct w:val="0"/>
        <w:autoSpaceDE w:val="0"/>
        <w:autoSpaceDN w:val="0"/>
        <w:bidi w:val="0"/>
        <w:snapToGrid w:val="0"/>
        <w:spacing w:line="500" w:lineRule="exact"/>
        <w:ind w:firstLine="640"/>
        <w:rPr>
          <w:rFonts w:hint="eastAsia" w:ascii="宋体" w:hAnsi="宋体" w:eastAsia="宋体" w:cs="宋体"/>
          <w:color w:val="auto"/>
          <w:sz w:val="24"/>
        </w:rPr>
      </w:pPr>
      <w:r>
        <w:rPr>
          <w:rFonts w:hint="eastAsia" w:ascii="宋体" w:hAnsi="宋体" w:eastAsia="宋体" w:cs="宋体"/>
          <w:color w:val="auto"/>
          <w:sz w:val="24"/>
          <w:lang w:bidi="ar"/>
        </w:rPr>
        <w:t>（一）向有管辖权的人民法院提起诉讼；</w:t>
      </w:r>
    </w:p>
    <w:p w14:paraId="53E5B3B4">
      <w:pPr>
        <w:pageBreakBefore w:val="0"/>
        <w:topLinePunct w:val="0"/>
        <w:autoSpaceDE w:val="0"/>
        <w:autoSpaceDN w:val="0"/>
        <w:bidi w:val="0"/>
        <w:snapToGrid w:val="0"/>
        <w:spacing w:line="500" w:lineRule="exact"/>
        <w:ind w:firstLine="640"/>
        <w:rPr>
          <w:rFonts w:hint="eastAsia" w:ascii="宋体" w:hAnsi="宋体" w:eastAsia="宋体" w:cs="宋体"/>
          <w:color w:val="auto"/>
          <w:sz w:val="24"/>
          <w:lang w:bidi="ar"/>
        </w:rPr>
      </w:pPr>
      <w:r>
        <w:rPr>
          <w:rFonts w:hint="eastAsia" w:ascii="宋体" w:hAnsi="宋体" w:eastAsia="宋体" w:cs="宋体"/>
          <w:color w:val="auto"/>
          <w:sz w:val="24"/>
          <w:lang w:bidi="ar"/>
        </w:rPr>
        <w:t>（二）向西安仲裁委员会提请仲裁；</w:t>
      </w:r>
    </w:p>
    <w:p w14:paraId="1F947EBD">
      <w:pPr>
        <w:pageBreakBefore w:val="0"/>
        <w:topLinePunct w:val="0"/>
        <w:autoSpaceDE w:val="0"/>
        <w:autoSpaceDN w:val="0"/>
        <w:bidi w:val="0"/>
        <w:snapToGrid w:val="0"/>
        <w:spacing w:line="500" w:lineRule="exact"/>
        <w:ind w:firstLine="640"/>
        <w:rPr>
          <w:rFonts w:hint="eastAsia" w:ascii="宋体" w:hAnsi="宋体" w:eastAsia="宋体" w:cs="宋体"/>
          <w:b/>
          <w:color w:val="auto"/>
          <w:sz w:val="24"/>
        </w:rPr>
      </w:pPr>
      <w:r>
        <w:rPr>
          <w:rFonts w:hint="eastAsia" w:ascii="宋体" w:hAnsi="宋体" w:eastAsia="宋体" w:cs="宋体"/>
          <w:b/>
          <w:color w:val="auto"/>
          <w:sz w:val="24"/>
          <w:lang w:bidi="ar"/>
        </w:rPr>
        <w:t>十、合同履行</w:t>
      </w:r>
    </w:p>
    <w:p w14:paraId="4563E965">
      <w:pPr>
        <w:pageBreakBefore w:val="0"/>
        <w:topLinePunct w:val="0"/>
        <w:autoSpaceDE w:val="0"/>
        <w:autoSpaceDN w:val="0"/>
        <w:bidi w:val="0"/>
        <w:snapToGrid w:val="0"/>
        <w:spacing w:line="500" w:lineRule="exact"/>
        <w:ind w:firstLine="480" w:firstLineChars="200"/>
        <w:rPr>
          <w:rFonts w:hint="eastAsia" w:ascii="宋体" w:hAnsi="宋体" w:eastAsia="宋体" w:cs="宋体"/>
          <w:b/>
          <w:color w:val="auto"/>
          <w:sz w:val="24"/>
        </w:rPr>
      </w:pPr>
      <w:r>
        <w:rPr>
          <w:rFonts w:hint="eastAsia" w:ascii="宋体" w:hAnsi="宋体" w:eastAsia="宋体" w:cs="宋体"/>
          <w:color w:val="auto"/>
          <w:sz w:val="24"/>
          <w:lang w:bidi="ar"/>
        </w:rPr>
        <w:t>合同一经签订，双方不得擅自变更、中止或者终止合同。对确需变更、调整或者中止、终止合同的，应按规定履行相应的手续。</w:t>
      </w:r>
    </w:p>
    <w:p w14:paraId="485E1FA9">
      <w:pPr>
        <w:pageBreakBefore w:val="0"/>
        <w:topLinePunct w:val="0"/>
        <w:autoSpaceDE w:val="0"/>
        <w:autoSpaceDN w:val="0"/>
        <w:bidi w:val="0"/>
        <w:snapToGrid w:val="0"/>
        <w:spacing w:line="500" w:lineRule="exact"/>
        <w:ind w:firstLine="640"/>
        <w:rPr>
          <w:rFonts w:hint="eastAsia" w:ascii="宋体" w:hAnsi="宋体" w:eastAsia="宋体" w:cs="宋体"/>
          <w:b/>
          <w:color w:val="auto"/>
          <w:sz w:val="24"/>
        </w:rPr>
      </w:pPr>
      <w:r>
        <w:rPr>
          <w:rFonts w:hint="eastAsia" w:ascii="宋体" w:hAnsi="宋体" w:eastAsia="宋体" w:cs="宋体"/>
          <w:b/>
          <w:color w:val="auto"/>
          <w:sz w:val="24"/>
          <w:lang w:bidi="ar"/>
        </w:rPr>
        <w:t>十二、违约责任</w:t>
      </w:r>
    </w:p>
    <w:p w14:paraId="24A7387B">
      <w:pPr>
        <w:pageBreakBefore w:val="0"/>
        <w:topLinePunct w:val="0"/>
        <w:autoSpaceDE w:val="0"/>
        <w:autoSpaceDN w:val="0"/>
        <w:bidi w:val="0"/>
        <w:snapToGrid w:val="0"/>
        <w:spacing w:line="500" w:lineRule="exact"/>
        <w:ind w:firstLine="640"/>
        <w:rPr>
          <w:rFonts w:hint="eastAsia" w:ascii="宋体" w:hAnsi="宋体" w:eastAsia="宋体" w:cs="宋体"/>
          <w:color w:val="auto"/>
          <w:sz w:val="24"/>
        </w:rPr>
      </w:pPr>
      <w:r>
        <w:rPr>
          <w:rFonts w:hint="eastAsia" w:ascii="宋体" w:hAnsi="宋体" w:eastAsia="宋体" w:cs="宋体"/>
          <w:color w:val="auto"/>
          <w:sz w:val="24"/>
          <w:lang w:bidi="ar"/>
        </w:rPr>
        <w:t>（一）按《中华人民共和国政府采购法》、《中华人民共和国民法典》中的相关条款执行。</w:t>
      </w:r>
    </w:p>
    <w:p w14:paraId="6CBAF97D">
      <w:pPr>
        <w:pageBreakBefore w:val="0"/>
        <w:topLinePunct w:val="0"/>
        <w:autoSpaceDE w:val="0"/>
        <w:autoSpaceDN w:val="0"/>
        <w:bidi w:val="0"/>
        <w:snapToGrid w:val="0"/>
        <w:spacing w:line="500" w:lineRule="exact"/>
        <w:ind w:firstLine="640"/>
        <w:rPr>
          <w:rFonts w:hint="eastAsia" w:ascii="宋体" w:hAnsi="宋体" w:eastAsia="宋体" w:cs="宋体"/>
          <w:b/>
          <w:color w:val="auto"/>
          <w:sz w:val="24"/>
        </w:rPr>
      </w:pPr>
      <w:r>
        <w:rPr>
          <w:rFonts w:hint="eastAsia" w:ascii="宋体" w:hAnsi="宋体" w:eastAsia="宋体" w:cs="宋体"/>
          <w:color w:val="auto"/>
          <w:sz w:val="24"/>
          <w:lang w:bidi="ar"/>
        </w:rPr>
        <w:t>（二）未按合同要求提供服务或服务质量不能满足本次采购要求，采购人会同监督机构、采购代理机构有权终止合同和对中标人违约行为进行追究，同时按政府采购法的有关规定进行相应的处罚。</w:t>
      </w:r>
    </w:p>
    <w:p w14:paraId="45CE7B14">
      <w:pPr>
        <w:pageBreakBefore w:val="0"/>
        <w:topLinePunct w:val="0"/>
        <w:autoSpaceDE w:val="0"/>
        <w:autoSpaceDN w:val="0"/>
        <w:bidi w:val="0"/>
        <w:snapToGrid w:val="0"/>
        <w:spacing w:line="500" w:lineRule="exact"/>
        <w:ind w:firstLine="640"/>
        <w:rPr>
          <w:rFonts w:hint="eastAsia" w:ascii="宋体" w:hAnsi="宋体" w:eastAsia="宋体" w:cs="宋体"/>
          <w:b/>
          <w:color w:val="auto"/>
          <w:sz w:val="24"/>
        </w:rPr>
      </w:pPr>
      <w:bookmarkStart w:id="15" w:name="_Toc31089"/>
      <w:bookmarkEnd w:id="15"/>
      <w:bookmarkStart w:id="16" w:name="_Toc18561"/>
      <w:r>
        <w:rPr>
          <w:rFonts w:hint="eastAsia" w:ascii="宋体" w:hAnsi="宋体" w:eastAsia="宋体" w:cs="宋体"/>
          <w:b/>
          <w:color w:val="auto"/>
          <w:sz w:val="24"/>
          <w:lang w:bidi="ar"/>
        </w:rPr>
        <w:t>十一、合同生效</w:t>
      </w:r>
      <w:bookmarkEnd w:id="16"/>
    </w:p>
    <w:p w14:paraId="711C3F6F">
      <w:pPr>
        <w:pageBreakBefore w:val="0"/>
        <w:topLinePunct w:val="0"/>
        <w:autoSpaceDE w:val="0"/>
        <w:autoSpaceDN w:val="0"/>
        <w:bidi w:val="0"/>
        <w:snapToGrid w:val="0"/>
        <w:spacing w:line="500" w:lineRule="exact"/>
        <w:ind w:firstLine="640"/>
        <w:rPr>
          <w:rFonts w:hint="eastAsia" w:ascii="宋体" w:hAnsi="宋体" w:eastAsia="宋体" w:cs="宋体"/>
          <w:color w:val="auto"/>
          <w:sz w:val="24"/>
        </w:rPr>
      </w:pPr>
      <w:r>
        <w:rPr>
          <w:rFonts w:hint="eastAsia" w:ascii="宋体" w:hAnsi="宋体" w:eastAsia="宋体" w:cs="宋体"/>
          <w:color w:val="auto"/>
          <w:sz w:val="24"/>
          <w:lang w:bidi="ar"/>
        </w:rPr>
        <w:t>（一）本合同须经甲、乙双方的法定代表人（被授权人）在合同书上签字并加盖本单位公章后正式生效。</w:t>
      </w:r>
    </w:p>
    <w:p w14:paraId="0754F9C6">
      <w:pPr>
        <w:pageBreakBefore w:val="0"/>
        <w:topLinePunct w:val="0"/>
        <w:autoSpaceDE w:val="0"/>
        <w:autoSpaceDN w:val="0"/>
        <w:bidi w:val="0"/>
        <w:snapToGrid w:val="0"/>
        <w:spacing w:line="500" w:lineRule="exact"/>
        <w:ind w:firstLine="640"/>
        <w:rPr>
          <w:rFonts w:hint="eastAsia" w:ascii="宋体" w:hAnsi="宋体" w:eastAsia="宋体" w:cs="宋体"/>
          <w:color w:val="auto"/>
          <w:sz w:val="24"/>
        </w:rPr>
      </w:pPr>
      <w:r>
        <w:rPr>
          <w:rFonts w:hint="eastAsia" w:ascii="宋体" w:hAnsi="宋体" w:eastAsia="宋体" w:cs="宋体"/>
          <w:color w:val="auto"/>
          <w:sz w:val="24"/>
          <w:lang w:bidi="ar"/>
        </w:rPr>
        <w:t>（二）合同生效后，甲、乙双方须严格执行本合同条款的规定，全面履行合同，违者按《中华人民共和国民法典》的有关规定承担相应责任。</w:t>
      </w:r>
    </w:p>
    <w:p w14:paraId="16082B52">
      <w:pPr>
        <w:pageBreakBefore w:val="0"/>
        <w:topLinePunct w:val="0"/>
        <w:autoSpaceDE w:val="0"/>
        <w:autoSpaceDN w:val="0"/>
        <w:bidi w:val="0"/>
        <w:snapToGrid w:val="0"/>
        <w:spacing w:line="500" w:lineRule="exact"/>
        <w:ind w:firstLine="640"/>
        <w:rPr>
          <w:rFonts w:hint="eastAsia" w:ascii="宋体" w:hAnsi="宋体" w:eastAsia="宋体" w:cs="宋体"/>
          <w:color w:val="auto"/>
          <w:sz w:val="24"/>
        </w:rPr>
      </w:pPr>
      <w:r>
        <w:rPr>
          <w:rFonts w:hint="eastAsia" w:ascii="宋体" w:hAnsi="宋体" w:eastAsia="宋体" w:cs="宋体"/>
          <w:color w:val="auto"/>
          <w:sz w:val="24"/>
          <w:lang w:bidi="ar"/>
        </w:rPr>
        <w:t>（三）本合同一式</w:t>
      </w:r>
      <w:r>
        <w:rPr>
          <w:rFonts w:hint="eastAsia" w:ascii="宋体" w:hAnsi="宋体" w:eastAsia="宋体" w:cs="宋体"/>
          <w:color w:val="auto"/>
          <w:sz w:val="24"/>
          <w:u w:val="single"/>
          <w:lang w:bidi="ar"/>
        </w:rPr>
        <w:t xml:space="preserve">   </w:t>
      </w:r>
      <w:r>
        <w:rPr>
          <w:rFonts w:hint="eastAsia" w:ascii="宋体" w:hAnsi="宋体" w:eastAsia="宋体" w:cs="宋体"/>
          <w:color w:val="auto"/>
          <w:sz w:val="24"/>
          <w:lang w:bidi="ar"/>
        </w:rPr>
        <w:t>份，甲乙双方各执</w:t>
      </w:r>
      <w:r>
        <w:rPr>
          <w:rFonts w:hint="eastAsia" w:ascii="宋体" w:hAnsi="宋体" w:eastAsia="宋体" w:cs="宋体"/>
          <w:color w:val="auto"/>
          <w:sz w:val="24"/>
          <w:u w:val="single"/>
          <w:lang w:bidi="ar"/>
        </w:rPr>
        <w:t xml:space="preserve">    </w:t>
      </w:r>
      <w:r>
        <w:rPr>
          <w:rFonts w:hint="eastAsia" w:ascii="宋体" w:hAnsi="宋体" w:eastAsia="宋体" w:cs="宋体"/>
          <w:color w:val="auto"/>
          <w:sz w:val="24"/>
          <w:lang w:bidi="ar"/>
        </w:rPr>
        <w:t>份。</w:t>
      </w:r>
    </w:p>
    <w:p w14:paraId="3CCB3C86">
      <w:pPr>
        <w:pageBreakBefore w:val="0"/>
        <w:topLinePunct w:val="0"/>
        <w:bidi w:val="0"/>
        <w:snapToGrid w:val="0"/>
        <w:spacing w:line="500" w:lineRule="exact"/>
        <w:ind w:firstLine="640"/>
        <w:rPr>
          <w:rFonts w:hint="eastAsia" w:ascii="宋体" w:hAnsi="宋体" w:eastAsia="宋体" w:cs="宋体"/>
          <w:color w:val="auto"/>
          <w:sz w:val="24"/>
        </w:rPr>
      </w:pPr>
      <w:r>
        <w:rPr>
          <w:rFonts w:hint="eastAsia" w:ascii="宋体" w:hAnsi="宋体" w:eastAsia="宋体" w:cs="宋体"/>
          <w:color w:val="auto"/>
          <w:sz w:val="24"/>
          <w:lang w:bidi="ar"/>
        </w:rPr>
        <w:t>（四）本合同如有未尽事宜，甲、乙双方协商解决。</w:t>
      </w:r>
    </w:p>
    <w:tbl>
      <w:tblPr>
        <w:tblStyle w:val="16"/>
        <w:tblW w:w="0" w:type="auto"/>
        <w:tblInd w:w="135" w:type="dxa"/>
        <w:tblLayout w:type="fixed"/>
        <w:tblCellMar>
          <w:top w:w="0" w:type="dxa"/>
          <w:left w:w="108" w:type="dxa"/>
          <w:bottom w:w="0" w:type="dxa"/>
          <w:right w:w="108" w:type="dxa"/>
        </w:tblCellMar>
      </w:tblPr>
      <w:tblGrid>
        <w:gridCol w:w="4229"/>
        <w:gridCol w:w="4850"/>
      </w:tblGrid>
      <w:tr w14:paraId="340D5DDC">
        <w:tblPrEx>
          <w:tblCellMar>
            <w:top w:w="0" w:type="dxa"/>
            <w:left w:w="108" w:type="dxa"/>
            <w:bottom w:w="0" w:type="dxa"/>
            <w:right w:w="108" w:type="dxa"/>
          </w:tblCellMar>
        </w:tblPrEx>
        <w:trPr>
          <w:trHeight w:val="707" w:hRule="atLeast"/>
        </w:trPr>
        <w:tc>
          <w:tcPr>
            <w:tcW w:w="4229" w:type="dxa"/>
            <w:shd w:val="clear" w:color="auto" w:fill="auto"/>
            <w:vAlign w:val="center"/>
          </w:tcPr>
          <w:p w14:paraId="5E333B85">
            <w:pPr>
              <w:pageBreakBefore w:val="0"/>
              <w:topLinePunct w:val="0"/>
              <w:bidi w:val="0"/>
              <w:spacing w:line="500" w:lineRule="exact"/>
              <w:rPr>
                <w:rFonts w:hint="eastAsia" w:ascii="宋体" w:hAnsi="宋体" w:eastAsia="宋体" w:cs="宋体"/>
                <w:bCs/>
                <w:color w:val="auto"/>
                <w:sz w:val="24"/>
              </w:rPr>
            </w:pPr>
            <w:r>
              <w:rPr>
                <w:rFonts w:hint="eastAsia" w:ascii="宋体" w:hAnsi="宋体" w:eastAsia="宋体" w:cs="宋体"/>
                <w:bCs/>
                <w:color w:val="auto"/>
                <w:sz w:val="24"/>
                <w:lang w:bidi="ar"/>
              </w:rPr>
              <w:t>甲  方：</w:t>
            </w:r>
            <w:r>
              <w:rPr>
                <w:rFonts w:hint="eastAsia" w:ascii="宋体" w:hAnsi="宋体" w:eastAsia="宋体" w:cs="宋体"/>
                <w:bCs/>
                <w:color w:val="auto"/>
                <w:sz w:val="24"/>
                <w:u w:val="single"/>
                <w:lang w:bidi="ar"/>
              </w:rPr>
              <w:t xml:space="preserve">         </w:t>
            </w:r>
            <w:r>
              <w:rPr>
                <w:rFonts w:hint="eastAsia" w:ascii="宋体" w:hAnsi="宋体" w:eastAsia="宋体" w:cs="宋体"/>
                <w:bCs/>
                <w:color w:val="auto"/>
                <w:sz w:val="24"/>
                <w:lang w:bidi="ar"/>
              </w:rPr>
              <w:t>（盖章）</w:t>
            </w:r>
          </w:p>
        </w:tc>
        <w:tc>
          <w:tcPr>
            <w:tcW w:w="4850" w:type="dxa"/>
            <w:shd w:val="clear" w:color="auto" w:fill="auto"/>
            <w:vAlign w:val="center"/>
          </w:tcPr>
          <w:p w14:paraId="67742798">
            <w:pPr>
              <w:pageBreakBefore w:val="0"/>
              <w:topLinePunct w:val="0"/>
              <w:bidi w:val="0"/>
              <w:spacing w:line="500" w:lineRule="exact"/>
              <w:ind w:firstLine="960" w:firstLineChars="400"/>
              <w:rPr>
                <w:rFonts w:hint="eastAsia" w:ascii="宋体" w:hAnsi="宋体" w:eastAsia="宋体" w:cs="宋体"/>
                <w:bCs/>
                <w:color w:val="auto"/>
                <w:sz w:val="24"/>
              </w:rPr>
            </w:pPr>
            <w:r>
              <w:rPr>
                <w:rFonts w:hint="eastAsia" w:ascii="宋体" w:hAnsi="宋体" w:eastAsia="宋体" w:cs="宋体"/>
                <w:bCs/>
                <w:color w:val="auto"/>
                <w:sz w:val="24"/>
                <w:lang w:bidi="ar"/>
              </w:rPr>
              <w:t>乙  方：</w:t>
            </w:r>
            <w:r>
              <w:rPr>
                <w:rFonts w:hint="eastAsia" w:ascii="宋体" w:hAnsi="宋体" w:eastAsia="宋体" w:cs="宋体"/>
                <w:bCs/>
                <w:color w:val="auto"/>
                <w:sz w:val="24"/>
                <w:u w:val="single"/>
                <w:lang w:bidi="ar"/>
              </w:rPr>
              <w:t xml:space="preserve">           </w:t>
            </w:r>
            <w:r>
              <w:rPr>
                <w:rFonts w:hint="eastAsia" w:ascii="宋体" w:hAnsi="宋体" w:eastAsia="宋体" w:cs="宋体"/>
                <w:bCs/>
                <w:color w:val="auto"/>
                <w:sz w:val="24"/>
                <w:lang w:bidi="ar"/>
              </w:rPr>
              <w:t>（盖章）</w:t>
            </w:r>
          </w:p>
        </w:tc>
      </w:tr>
      <w:tr w14:paraId="6AE58FD5">
        <w:tblPrEx>
          <w:tblCellMar>
            <w:top w:w="0" w:type="dxa"/>
            <w:left w:w="108" w:type="dxa"/>
            <w:bottom w:w="0" w:type="dxa"/>
            <w:right w:w="108" w:type="dxa"/>
          </w:tblCellMar>
        </w:tblPrEx>
        <w:trPr>
          <w:trHeight w:val="707" w:hRule="atLeast"/>
        </w:trPr>
        <w:tc>
          <w:tcPr>
            <w:tcW w:w="4229" w:type="dxa"/>
            <w:shd w:val="clear" w:color="auto" w:fill="auto"/>
            <w:vAlign w:val="center"/>
          </w:tcPr>
          <w:p w14:paraId="4C5F71AD">
            <w:pPr>
              <w:pageBreakBefore w:val="0"/>
              <w:topLinePunct w:val="0"/>
              <w:bidi w:val="0"/>
              <w:spacing w:line="500" w:lineRule="exact"/>
              <w:rPr>
                <w:rFonts w:hint="eastAsia" w:ascii="宋体" w:hAnsi="宋体" w:eastAsia="宋体" w:cs="宋体"/>
                <w:bCs/>
                <w:color w:val="auto"/>
                <w:sz w:val="24"/>
              </w:rPr>
            </w:pPr>
            <w:r>
              <w:rPr>
                <w:rFonts w:hint="eastAsia" w:ascii="宋体" w:hAnsi="宋体" w:eastAsia="宋体" w:cs="宋体"/>
                <w:bCs/>
                <w:color w:val="auto"/>
                <w:sz w:val="24"/>
                <w:lang w:bidi="ar"/>
              </w:rPr>
              <w:t xml:space="preserve">地址： </w:t>
            </w:r>
          </w:p>
        </w:tc>
        <w:tc>
          <w:tcPr>
            <w:tcW w:w="4850" w:type="dxa"/>
            <w:shd w:val="clear" w:color="auto" w:fill="auto"/>
            <w:vAlign w:val="center"/>
          </w:tcPr>
          <w:p w14:paraId="1A8A607C">
            <w:pPr>
              <w:pageBreakBefore w:val="0"/>
              <w:topLinePunct w:val="0"/>
              <w:bidi w:val="0"/>
              <w:spacing w:line="500" w:lineRule="exact"/>
              <w:ind w:firstLine="960" w:firstLineChars="400"/>
              <w:rPr>
                <w:rFonts w:hint="eastAsia" w:ascii="宋体" w:hAnsi="宋体" w:eastAsia="宋体" w:cs="宋体"/>
                <w:bCs/>
                <w:color w:val="auto"/>
                <w:sz w:val="24"/>
              </w:rPr>
            </w:pPr>
            <w:r>
              <w:rPr>
                <w:rFonts w:hint="eastAsia" w:ascii="宋体" w:hAnsi="宋体" w:eastAsia="宋体" w:cs="宋体"/>
                <w:bCs/>
                <w:color w:val="auto"/>
                <w:sz w:val="24"/>
                <w:lang w:bidi="ar"/>
              </w:rPr>
              <w:t>地址：</w:t>
            </w:r>
          </w:p>
        </w:tc>
      </w:tr>
      <w:tr w14:paraId="496E4E8B">
        <w:tblPrEx>
          <w:tblCellMar>
            <w:top w:w="0" w:type="dxa"/>
            <w:left w:w="108" w:type="dxa"/>
            <w:bottom w:w="0" w:type="dxa"/>
            <w:right w:w="108" w:type="dxa"/>
          </w:tblCellMar>
        </w:tblPrEx>
        <w:trPr>
          <w:trHeight w:val="707" w:hRule="atLeast"/>
        </w:trPr>
        <w:tc>
          <w:tcPr>
            <w:tcW w:w="4229" w:type="dxa"/>
            <w:shd w:val="clear" w:color="auto" w:fill="auto"/>
            <w:vAlign w:val="center"/>
          </w:tcPr>
          <w:p w14:paraId="40EC818B">
            <w:pPr>
              <w:pageBreakBefore w:val="0"/>
              <w:topLinePunct w:val="0"/>
              <w:bidi w:val="0"/>
              <w:spacing w:line="500" w:lineRule="exact"/>
              <w:rPr>
                <w:rFonts w:hint="eastAsia" w:ascii="宋体" w:hAnsi="宋体" w:eastAsia="宋体" w:cs="宋体"/>
                <w:bCs/>
                <w:color w:val="auto"/>
                <w:sz w:val="24"/>
              </w:rPr>
            </w:pPr>
            <w:r>
              <w:rPr>
                <w:rFonts w:hint="eastAsia" w:ascii="宋体" w:hAnsi="宋体" w:eastAsia="宋体" w:cs="宋体"/>
                <w:bCs/>
                <w:color w:val="auto"/>
                <w:sz w:val="24"/>
                <w:lang w:bidi="ar"/>
              </w:rPr>
              <w:t>邮编：</w:t>
            </w:r>
          </w:p>
        </w:tc>
        <w:tc>
          <w:tcPr>
            <w:tcW w:w="4850" w:type="dxa"/>
            <w:shd w:val="clear" w:color="auto" w:fill="auto"/>
            <w:vAlign w:val="center"/>
          </w:tcPr>
          <w:p w14:paraId="65E47AF5">
            <w:pPr>
              <w:pageBreakBefore w:val="0"/>
              <w:topLinePunct w:val="0"/>
              <w:bidi w:val="0"/>
              <w:spacing w:line="500" w:lineRule="exact"/>
              <w:ind w:firstLine="960" w:firstLineChars="400"/>
              <w:rPr>
                <w:rFonts w:hint="eastAsia" w:ascii="宋体" w:hAnsi="宋体" w:eastAsia="宋体" w:cs="宋体"/>
                <w:bCs/>
                <w:color w:val="auto"/>
                <w:sz w:val="24"/>
              </w:rPr>
            </w:pPr>
            <w:r>
              <w:rPr>
                <w:rFonts w:hint="eastAsia" w:ascii="宋体" w:hAnsi="宋体" w:eastAsia="宋体" w:cs="宋体"/>
                <w:bCs/>
                <w:color w:val="auto"/>
                <w:sz w:val="24"/>
                <w:lang w:bidi="ar"/>
              </w:rPr>
              <w:t>邮编：</w:t>
            </w:r>
          </w:p>
        </w:tc>
      </w:tr>
      <w:tr w14:paraId="718736EA">
        <w:tblPrEx>
          <w:tblCellMar>
            <w:top w:w="0" w:type="dxa"/>
            <w:left w:w="108" w:type="dxa"/>
            <w:bottom w:w="0" w:type="dxa"/>
            <w:right w:w="108" w:type="dxa"/>
          </w:tblCellMar>
        </w:tblPrEx>
        <w:trPr>
          <w:trHeight w:val="707" w:hRule="atLeast"/>
        </w:trPr>
        <w:tc>
          <w:tcPr>
            <w:tcW w:w="4229" w:type="dxa"/>
            <w:shd w:val="clear" w:color="auto" w:fill="auto"/>
            <w:vAlign w:val="center"/>
          </w:tcPr>
          <w:p w14:paraId="01D08856">
            <w:pPr>
              <w:pageBreakBefore w:val="0"/>
              <w:topLinePunct w:val="0"/>
              <w:bidi w:val="0"/>
              <w:spacing w:line="500" w:lineRule="exact"/>
              <w:rPr>
                <w:rFonts w:hint="eastAsia" w:ascii="宋体" w:hAnsi="宋体" w:eastAsia="宋体" w:cs="宋体"/>
                <w:bCs/>
                <w:color w:val="auto"/>
                <w:sz w:val="24"/>
              </w:rPr>
            </w:pPr>
            <w:r>
              <w:rPr>
                <w:rFonts w:hint="eastAsia" w:ascii="宋体" w:hAnsi="宋体" w:eastAsia="宋体" w:cs="宋体"/>
                <w:bCs/>
                <w:color w:val="auto"/>
                <w:sz w:val="24"/>
                <w:lang w:bidi="ar"/>
              </w:rPr>
              <w:t xml:space="preserve">法人（授权代表）： </w:t>
            </w:r>
          </w:p>
        </w:tc>
        <w:tc>
          <w:tcPr>
            <w:tcW w:w="4850" w:type="dxa"/>
            <w:shd w:val="clear" w:color="auto" w:fill="auto"/>
            <w:vAlign w:val="center"/>
          </w:tcPr>
          <w:p w14:paraId="062D55A3">
            <w:pPr>
              <w:pageBreakBefore w:val="0"/>
              <w:topLinePunct w:val="0"/>
              <w:bidi w:val="0"/>
              <w:spacing w:line="500" w:lineRule="exact"/>
              <w:ind w:firstLine="960" w:firstLineChars="400"/>
              <w:rPr>
                <w:rFonts w:hint="eastAsia" w:ascii="宋体" w:hAnsi="宋体" w:eastAsia="宋体" w:cs="宋体"/>
                <w:bCs/>
                <w:color w:val="auto"/>
                <w:sz w:val="24"/>
              </w:rPr>
            </w:pPr>
            <w:r>
              <w:rPr>
                <w:rFonts w:hint="eastAsia" w:ascii="宋体" w:hAnsi="宋体" w:eastAsia="宋体" w:cs="宋体"/>
                <w:bCs/>
                <w:color w:val="auto"/>
                <w:sz w:val="24"/>
                <w:lang w:bidi="ar"/>
              </w:rPr>
              <w:t>法人（授权代表）：</w:t>
            </w:r>
          </w:p>
        </w:tc>
      </w:tr>
      <w:tr w14:paraId="29AC28D4">
        <w:tblPrEx>
          <w:tblCellMar>
            <w:top w:w="0" w:type="dxa"/>
            <w:left w:w="108" w:type="dxa"/>
            <w:bottom w:w="0" w:type="dxa"/>
            <w:right w:w="108" w:type="dxa"/>
          </w:tblCellMar>
        </w:tblPrEx>
        <w:trPr>
          <w:trHeight w:val="707" w:hRule="atLeast"/>
        </w:trPr>
        <w:tc>
          <w:tcPr>
            <w:tcW w:w="4229" w:type="dxa"/>
            <w:shd w:val="clear" w:color="auto" w:fill="auto"/>
            <w:vAlign w:val="center"/>
          </w:tcPr>
          <w:p w14:paraId="4D604B50">
            <w:pPr>
              <w:pageBreakBefore w:val="0"/>
              <w:topLinePunct w:val="0"/>
              <w:bidi w:val="0"/>
              <w:spacing w:line="500" w:lineRule="exact"/>
              <w:rPr>
                <w:rFonts w:hint="eastAsia" w:ascii="宋体" w:hAnsi="宋体" w:eastAsia="宋体" w:cs="宋体"/>
                <w:bCs/>
                <w:color w:val="auto"/>
                <w:sz w:val="24"/>
              </w:rPr>
            </w:pPr>
            <w:r>
              <w:rPr>
                <w:rFonts w:hint="eastAsia" w:ascii="宋体" w:hAnsi="宋体" w:eastAsia="宋体" w:cs="宋体"/>
                <w:bCs/>
                <w:color w:val="auto"/>
                <w:sz w:val="24"/>
                <w:lang w:bidi="ar"/>
              </w:rPr>
              <w:t>日期：</w:t>
            </w:r>
          </w:p>
        </w:tc>
        <w:tc>
          <w:tcPr>
            <w:tcW w:w="4850" w:type="dxa"/>
            <w:shd w:val="clear" w:color="auto" w:fill="auto"/>
            <w:vAlign w:val="center"/>
          </w:tcPr>
          <w:p w14:paraId="7C1EF6F9">
            <w:pPr>
              <w:pageBreakBefore w:val="0"/>
              <w:topLinePunct w:val="0"/>
              <w:bidi w:val="0"/>
              <w:spacing w:line="500" w:lineRule="exact"/>
              <w:ind w:firstLine="960" w:firstLineChars="400"/>
              <w:rPr>
                <w:rFonts w:hint="eastAsia" w:ascii="宋体" w:hAnsi="宋体" w:eastAsia="宋体" w:cs="宋体"/>
                <w:bCs/>
                <w:color w:val="auto"/>
                <w:sz w:val="24"/>
              </w:rPr>
            </w:pPr>
            <w:r>
              <w:rPr>
                <w:rFonts w:hint="eastAsia" w:ascii="宋体" w:hAnsi="宋体" w:eastAsia="宋体" w:cs="宋体"/>
                <w:bCs/>
                <w:color w:val="auto"/>
                <w:sz w:val="24"/>
                <w:lang w:bidi="ar"/>
              </w:rPr>
              <w:t>日期：</w:t>
            </w:r>
          </w:p>
        </w:tc>
      </w:tr>
    </w:tbl>
    <w:p w14:paraId="07828BF5">
      <w:pPr>
        <w:pStyle w:val="23"/>
        <w:pageBreakBefore w:val="0"/>
        <w:topLinePunct w:val="0"/>
        <w:bidi w:val="0"/>
        <w:spacing w:line="500" w:lineRule="exact"/>
        <w:ind w:firstLine="482"/>
        <w:rPr>
          <w:rFonts w:hint="eastAsia" w:ascii="宋体" w:hAnsi="宋体" w:eastAsia="宋体" w:cs="宋体"/>
          <w:b/>
          <w:bCs/>
          <w:color w:val="auto"/>
          <w:kern w:val="2"/>
          <w:sz w:val="44"/>
          <w:szCs w:val="44"/>
          <w:lang w:eastAsia="zh-CN"/>
        </w:rPr>
      </w:pPr>
      <w:r>
        <w:rPr>
          <w:rFonts w:hint="eastAsia" w:ascii="宋体" w:hAnsi="宋体" w:eastAsia="宋体" w:cs="宋体"/>
          <w:b/>
          <w:color w:val="auto"/>
          <w:sz w:val="24"/>
          <w:szCs w:val="24"/>
        </w:rPr>
        <w:t>注：本合同仅供参考，具体内容由甲乙双方协商而定</w:t>
      </w:r>
      <w:r>
        <w:rPr>
          <w:rFonts w:hint="eastAsia" w:ascii="宋体" w:hAnsi="宋体" w:eastAsia="宋体" w:cs="宋体"/>
          <w:b/>
          <w:color w:val="auto"/>
          <w:sz w:val="24"/>
          <w:szCs w:val="24"/>
          <w:lang w:eastAsia="zh-CN"/>
        </w:rPr>
        <w:t>。</w:t>
      </w:r>
    </w:p>
    <w:p w14:paraId="341C896D">
      <w:pPr>
        <w:rPr>
          <w:rFonts w:hint="eastAsia" w:ascii="宋体" w:hAnsi="宋体" w:eastAsia="宋体" w:cs="宋体"/>
          <w:color w:val="auto"/>
        </w:rPr>
      </w:pPr>
    </w:p>
    <w:p w14:paraId="6EA50E5F">
      <w:pPr>
        <w:pStyle w:val="2"/>
        <w:rPr>
          <w:rFonts w:hint="eastAsia" w:ascii="宋体" w:hAnsi="宋体" w:eastAsia="宋体" w:cs="宋体"/>
          <w:color w:val="auto"/>
        </w:rPr>
      </w:pPr>
    </w:p>
    <w:p w14:paraId="3B5A18B8">
      <w:pPr>
        <w:pStyle w:val="5"/>
        <w:rPr>
          <w:rFonts w:hint="eastAsia" w:ascii="宋体" w:hAnsi="宋体" w:eastAsia="宋体" w:cs="宋体"/>
          <w:color w:val="auto"/>
        </w:rPr>
      </w:pPr>
    </w:p>
    <w:p w14:paraId="6550ED7C">
      <w:pPr>
        <w:rPr>
          <w:rFonts w:hint="eastAsia" w:ascii="宋体" w:hAnsi="宋体" w:eastAsia="宋体" w:cs="宋体"/>
          <w:color w:val="auto"/>
        </w:rPr>
      </w:pPr>
    </w:p>
    <w:p w14:paraId="3364885C">
      <w:pPr>
        <w:pStyle w:val="2"/>
        <w:rPr>
          <w:rFonts w:hint="eastAsia" w:ascii="宋体" w:hAnsi="宋体" w:eastAsia="宋体" w:cs="宋体"/>
          <w:color w:val="auto"/>
        </w:rPr>
      </w:pPr>
    </w:p>
    <w:p w14:paraId="666DE2BA">
      <w:pPr>
        <w:pStyle w:val="5"/>
        <w:rPr>
          <w:rFonts w:hint="eastAsia" w:ascii="宋体" w:hAnsi="宋体" w:eastAsia="宋体" w:cs="宋体"/>
          <w:color w:val="auto"/>
        </w:rPr>
      </w:pPr>
    </w:p>
    <w:p w14:paraId="7487E851">
      <w:pPr>
        <w:rPr>
          <w:rFonts w:hint="eastAsia" w:ascii="宋体" w:hAnsi="宋体" w:eastAsia="宋体" w:cs="宋体"/>
          <w:color w:val="auto"/>
        </w:rPr>
      </w:pPr>
    </w:p>
    <w:p w14:paraId="0B4E26CF">
      <w:pPr>
        <w:pStyle w:val="2"/>
        <w:rPr>
          <w:rFonts w:hint="eastAsia" w:ascii="宋体" w:hAnsi="宋体" w:eastAsia="宋体" w:cs="宋体"/>
          <w:color w:val="auto"/>
        </w:rPr>
      </w:pPr>
    </w:p>
    <w:p w14:paraId="514779F9">
      <w:pPr>
        <w:pStyle w:val="5"/>
        <w:rPr>
          <w:rFonts w:hint="eastAsia" w:ascii="宋体" w:hAnsi="宋体" w:eastAsia="宋体" w:cs="宋体"/>
          <w:color w:val="auto"/>
        </w:rPr>
      </w:pPr>
    </w:p>
    <w:p w14:paraId="6DEC7380">
      <w:pPr>
        <w:rPr>
          <w:rFonts w:hint="eastAsia" w:ascii="宋体" w:hAnsi="宋体" w:eastAsia="宋体" w:cs="宋体"/>
          <w:color w:val="auto"/>
        </w:rPr>
      </w:pPr>
    </w:p>
    <w:p w14:paraId="7C771AF2">
      <w:pPr>
        <w:pStyle w:val="2"/>
        <w:rPr>
          <w:rFonts w:hint="eastAsia" w:ascii="宋体" w:hAnsi="宋体" w:eastAsia="宋体" w:cs="宋体"/>
          <w:color w:val="auto"/>
        </w:rPr>
      </w:pPr>
    </w:p>
    <w:p w14:paraId="1333E9AC">
      <w:pPr>
        <w:pStyle w:val="5"/>
        <w:rPr>
          <w:rFonts w:hint="eastAsia" w:ascii="宋体" w:hAnsi="宋体" w:eastAsia="宋体" w:cs="宋体"/>
          <w:color w:val="auto"/>
        </w:rPr>
      </w:pPr>
    </w:p>
    <w:p w14:paraId="2BE79A4D">
      <w:pPr>
        <w:rPr>
          <w:rFonts w:hint="eastAsia" w:ascii="宋体" w:hAnsi="宋体" w:eastAsia="宋体" w:cs="宋体"/>
          <w:color w:val="auto"/>
        </w:rPr>
      </w:pPr>
    </w:p>
    <w:p w14:paraId="759C1E1A">
      <w:pPr>
        <w:pStyle w:val="2"/>
        <w:rPr>
          <w:rFonts w:hint="eastAsia" w:ascii="宋体" w:hAnsi="宋体" w:eastAsia="宋体" w:cs="宋体"/>
          <w:color w:val="auto"/>
        </w:rPr>
      </w:pPr>
    </w:p>
    <w:p w14:paraId="67AD2F2D">
      <w:pPr>
        <w:pStyle w:val="5"/>
        <w:rPr>
          <w:rFonts w:hint="eastAsia" w:ascii="宋体" w:hAnsi="宋体" w:eastAsia="宋体" w:cs="宋体"/>
          <w:color w:val="auto"/>
        </w:rPr>
      </w:pPr>
    </w:p>
    <w:p w14:paraId="39F855CA">
      <w:pPr>
        <w:rPr>
          <w:rFonts w:hint="eastAsia" w:ascii="宋体" w:hAnsi="宋体" w:eastAsia="宋体" w:cs="宋体"/>
          <w:color w:val="auto"/>
        </w:rPr>
      </w:pPr>
    </w:p>
    <w:p w14:paraId="69B33CA3">
      <w:pPr>
        <w:pStyle w:val="2"/>
        <w:rPr>
          <w:rFonts w:hint="eastAsia" w:ascii="宋体" w:hAnsi="宋体" w:eastAsia="宋体" w:cs="宋体"/>
          <w:color w:val="auto"/>
        </w:rPr>
      </w:pPr>
    </w:p>
    <w:p w14:paraId="1FC02C8A">
      <w:pPr>
        <w:pStyle w:val="5"/>
        <w:rPr>
          <w:rFonts w:hint="eastAsia" w:ascii="宋体" w:hAnsi="宋体" w:eastAsia="宋体" w:cs="宋体"/>
          <w:color w:val="auto"/>
        </w:rPr>
      </w:pPr>
    </w:p>
    <w:p w14:paraId="4925F5B9">
      <w:pPr>
        <w:rPr>
          <w:rFonts w:hint="eastAsia" w:ascii="宋体" w:hAnsi="宋体" w:eastAsia="宋体" w:cs="宋体"/>
          <w:color w:val="auto"/>
        </w:rPr>
      </w:pPr>
    </w:p>
    <w:p w14:paraId="527FF3A3">
      <w:pPr>
        <w:pStyle w:val="2"/>
        <w:rPr>
          <w:rFonts w:hint="eastAsia" w:ascii="宋体" w:hAnsi="宋体" w:eastAsia="宋体" w:cs="宋体"/>
          <w:color w:val="auto"/>
        </w:rPr>
      </w:pPr>
    </w:p>
    <w:p w14:paraId="692F3661">
      <w:pPr>
        <w:pStyle w:val="5"/>
        <w:rPr>
          <w:rFonts w:hint="eastAsia" w:ascii="宋体" w:hAnsi="宋体" w:eastAsia="宋体" w:cs="宋体"/>
          <w:color w:val="auto"/>
        </w:rPr>
      </w:pPr>
    </w:p>
    <w:p w14:paraId="764B7C84">
      <w:pPr>
        <w:rPr>
          <w:rFonts w:hint="eastAsia" w:ascii="宋体" w:hAnsi="宋体" w:eastAsia="宋体" w:cs="宋体"/>
          <w:color w:val="auto"/>
        </w:rPr>
      </w:pPr>
    </w:p>
    <w:p w14:paraId="3ADA269B">
      <w:pPr>
        <w:pStyle w:val="2"/>
        <w:rPr>
          <w:rFonts w:hint="eastAsia" w:ascii="宋体" w:hAnsi="宋体" w:eastAsia="宋体" w:cs="宋体"/>
          <w:color w:val="auto"/>
        </w:rPr>
      </w:pPr>
    </w:p>
    <w:p w14:paraId="3F8BDE6F">
      <w:pPr>
        <w:pStyle w:val="5"/>
        <w:rPr>
          <w:rFonts w:hint="eastAsia" w:ascii="宋体" w:hAnsi="宋体" w:eastAsia="宋体" w:cs="宋体"/>
          <w:color w:val="auto"/>
        </w:rPr>
      </w:pPr>
    </w:p>
    <w:p w14:paraId="6F603036">
      <w:pPr>
        <w:rPr>
          <w:rFonts w:hint="eastAsia" w:ascii="宋体" w:hAnsi="宋体" w:eastAsia="宋体" w:cs="宋体"/>
          <w:color w:val="auto"/>
        </w:rPr>
      </w:pPr>
    </w:p>
    <w:p w14:paraId="4B93EF90">
      <w:pPr>
        <w:pStyle w:val="2"/>
        <w:rPr>
          <w:rFonts w:hint="eastAsia" w:ascii="宋体" w:hAnsi="宋体" w:eastAsia="宋体" w:cs="宋体"/>
          <w:color w:val="auto"/>
        </w:rPr>
      </w:pPr>
    </w:p>
    <w:p w14:paraId="5D1F74FD">
      <w:pPr>
        <w:pStyle w:val="5"/>
        <w:rPr>
          <w:rFonts w:hint="eastAsia" w:ascii="宋体" w:hAnsi="宋体" w:eastAsia="宋体" w:cs="宋体"/>
          <w:color w:val="auto"/>
        </w:rPr>
      </w:pPr>
    </w:p>
    <w:p w14:paraId="3D5CFBF4">
      <w:pPr>
        <w:rPr>
          <w:rFonts w:hint="eastAsia" w:ascii="宋体" w:hAnsi="宋体" w:eastAsia="宋体" w:cs="宋体"/>
          <w:color w:val="auto"/>
        </w:rPr>
      </w:pPr>
    </w:p>
    <w:p w14:paraId="7573C783">
      <w:pPr>
        <w:pStyle w:val="2"/>
        <w:rPr>
          <w:rFonts w:hint="eastAsia" w:ascii="宋体" w:hAnsi="宋体" w:eastAsia="宋体" w:cs="宋体"/>
          <w:color w:val="auto"/>
        </w:rPr>
      </w:pPr>
    </w:p>
    <w:p w14:paraId="6AF7E4D4">
      <w:pPr>
        <w:pStyle w:val="5"/>
        <w:pageBreakBefore w:val="0"/>
        <w:kinsoku/>
        <w:wordWrap/>
        <w:overflowPunct/>
        <w:topLinePunct w:val="0"/>
        <w:autoSpaceDE/>
        <w:autoSpaceDN/>
        <w:bidi w:val="0"/>
        <w:adjustRightInd/>
        <w:snapToGrid/>
        <w:spacing w:after="0" w:line="500" w:lineRule="exact"/>
        <w:ind w:left="0" w:leftChars="0" w:firstLine="0" w:firstLineChars="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附件1</w:t>
      </w:r>
    </w:p>
    <w:p w14:paraId="138FEF4A">
      <w:pPr>
        <w:pStyle w:val="5"/>
        <w:pageBreakBefore w:val="0"/>
        <w:kinsoku/>
        <w:wordWrap/>
        <w:overflowPunct/>
        <w:topLinePunct w:val="0"/>
        <w:autoSpaceDE/>
        <w:autoSpaceDN/>
        <w:bidi w:val="0"/>
        <w:adjustRightInd/>
        <w:snapToGrid/>
        <w:spacing w:after="0" w:line="500" w:lineRule="exact"/>
        <w:ind w:left="0" w:leftChars="0" w:firstLine="0" w:firstLineChars="0"/>
        <w:jc w:val="center"/>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西安市灞桥区白鹿原现代农业示范区管理委员会白鹿原示范区</w:t>
      </w:r>
    </w:p>
    <w:p w14:paraId="0A12ED18">
      <w:pPr>
        <w:pStyle w:val="5"/>
        <w:pageBreakBefore w:val="0"/>
        <w:kinsoku/>
        <w:wordWrap/>
        <w:overflowPunct/>
        <w:topLinePunct w:val="0"/>
        <w:autoSpaceDE/>
        <w:autoSpaceDN/>
        <w:bidi w:val="0"/>
        <w:adjustRightInd/>
        <w:snapToGrid/>
        <w:spacing w:after="0" w:line="500" w:lineRule="exact"/>
        <w:ind w:left="0" w:leftChars="0" w:firstLine="0" w:firstLineChars="0"/>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绿化工程养护社会化服务采购项目管理考核办法</w:t>
      </w:r>
    </w:p>
    <w:p w14:paraId="41FC2F88">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color w:val="auto"/>
          <w:sz w:val="20"/>
          <w:szCs w:val="20"/>
          <w:highlight w:val="none"/>
          <w:lang w:val="en-US" w:eastAsia="zh-CN"/>
        </w:rPr>
      </w:pPr>
    </w:p>
    <w:p w14:paraId="48716A2A">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为进一步推动白鹿原全域旅游发展，改善区域基础设施，营造良好的营商环境，切实做好白鹿原示范区绿化工程养护工作，确保绿化养护实施单位能够切实履行绿化养护服务承包合同，更好的落实管理措施，使绿化养护工作标准化、制度化、规范化、精细化，同时为绿化养护服务费核算提供依据，特制定本管理考核办法。</w:t>
      </w:r>
    </w:p>
    <w:p w14:paraId="109EF34D">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考核单位</w:t>
      </w:r>
    </w:p>
    <w:p w14:paraId="49D77483">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西安市灞桥区白鹿原现代农业示范区管理委员会</w:t>
      </w:r>
    </w:p>
    <w:p w14:paraId="3862AE41">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考核对象</w:t>
      </w:r>
    </w:p>
    <w:p w14:paraId="2DB7C680">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lang w:val="en-US" w:eastAsia="zh-CN"/>
        </w:rPr>
        <w:t>公司</w:t>
      </w:r>
    </w:p>
    <w:p w14:paraId="45E9F7D1">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考核目的</w:t>
      </w:r>
    </w:p>
    <w:p w14:paraId="61E53225">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督促绿化养护公司进行制度化、规范化、科学化的管理，保证白鹿原示范区绿化工程养护服务的日常管理正常运转，确保所承接的绿化带内各类植株及地被植物长势良好，保持绿化带内环境整洁优美，不断完善绿化养护管理工作，提高服务保障工作水平。同时作为养护服务期满结算审核价款的考核结算依据，作为合同约定的养护期付款节点考核附件。</w:t>
      </w:r>
    </w:p>
    <w:p w14:paraId="09ECAF87">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考核内容</w:t>
      </w:r>
    </w:p>
    <w:p w14:paraId="4C3A4B83">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1.对管护区域绿化进行日常巡查，确保绿地清洁卫生，无垃圾、无杂物，不得乱停、乱拉、乱堆放物品。</w:t>
      </w:r>
    </w:p>
    <w:p w14:paraId="09270204">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2.健全日常巡查和养护台帐制度，认真做好台帐的整理和归档工作，养护单位按月度于每月初向管委会报送养护计划、月底报送养护工作记录等。</w:t>
      </w:r>
    </w:p>
    <w:p w14:paraId="59B2BC5F">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3.做好管护区域绿化日常养护工作，根据绿化苗木生长特性及时进行绿化修剪、除草、施肥、病虫害害防治、抗旱、排涝、刷白等工作；及时清除绿地内枯枝、死株、落叶及生活垃圾；及时矫正歪斜倒伏树木。</w:t>
      </w:r>
    </w:p>
    <w:p w14:paraId="678A26CD">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b/>
          <w:bCs/>
          <w:color w:val="auto"/>
          <w:sz w:val="20"/>
          <w:szCs w:val="20"/>
          <w:highlight w:val="none"/>
          <w:lang w:val="en-US" w:eastAsia="zh-CN"/>
        </w:rPr>
        <w:t>五、考核主体和方式</w:t>
      </w:r>
    </w:p>
    <w:p w14:paraId="169A4A33">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（一）考核由灞桥区白鹿原现代农业示范区管理委员会规划建设科组织人员成立考核小组，负责对受委托单位进行监督、检查、记录和考核评分，并通报考核结果。</w:t>
      </w:r>
    </w:p>
    <w:p w14:paraId="712F7070">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（二）考核采用百分制月考核的方式。</w:t>
      </w:r>
    </w:p>
    <w:p w14:paraId="5F211469">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三）考核主要采用日常督查、集中检查两种形式。日常督查部分利用12345服务热线反馈情况；被新闻媒体曝光；被市民、企业投诉；被上级领导发现或批示的问题处理情况；被行业管理部门督办、通报；重大节日、重大活动日及应急任务执行工作情况进行评分。集中检查由灞桥区白鹿原现代农业示范区管理委员会每月实施一次不定期集中检查，检查扣分由记录累加计算月考核分。</w:t>
      </w:r>
    </w:p>
    <w:p w14:paraId="5D5D85C9">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六、考核奖惩</w:t>
      </w:r>
    </w:p>
    <w:p w14:paraId="2CF8A62F">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（一）根据考核得分，85分及以上为及格，85分以下为不及格</w:t>
      </w:r>
    </w:p>
    <w:p w14:paraId="5ADF4B37">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（二）取得85分（含85）以上，不进行奖惩。</w:t>
      </w:r>
    </w:p>
    <w:p w14:paraId="1ADEDA29">
      <w:pPr>
        <w:pStyle w:val="5"/>
        <w:pageBreakBefore w:val="0"/>
        <w:kinsoku/>
        <w:wordWrap/>
        <w:overflowPunct/>
        <w:topLinePunct w:val="0"/>
        <w:autoSpaceDE/>
        <w:autoSpaceDN/>
        <w:bidi w:val="0"/>
        <w:adjustRightInd/>
        <w:snapToGrid/>
        <w:spacing w:after="0" w:line="500" w:lineRule="exact"/>
        <w:textAlignment w:val="auto"/>
        <w:rPr>
          <w:rFonts w:hint="eastAsia" w:ascii="宋体" w:hAnsi="宋体" w:eastAsia="宋体" w:cs="宋体"/>
          <w:color w:val="auto"/>
          <w:lang w:val="en-US" w:eastAsia="zh-CN"/>
        </w:rPr>
        <w:sectPr>
          <w:pgSz w:w="11906" w:h="16838"/>
          <w:pgMar w:top="1418" w:right="1418" w:bottom="1418" w:left="1418" w:header="851" w:footer="992" w:gutter="0"/>
          <w:pgNumType w:fmt="numberInDash"/>
          <w:cols w:space="425" w:num="1"/>
          <w:docGrid w:type="lines" w:linePitch="312" w:charSpace="0"/>
        </w:sectPr>
      </w:pPr>
      <w:r>
        <w:rPr>
          <w:rFonts w:hint="eastAsia" w:ascii="宋体" w:hAnsi="宋体" w:eastAsia="宋体" w:cs="宋体"/>
          <w:color w:val="auto"/>
          <w:sz w:val="20"/>
          <w:szCs w:val="20"/>
          <w:highlight w:val="none"/>
          <w:lang w:val="en-US" w:eastAsia="zh-CN"/>
        </w:rPr>
        <w:t>（三）取得85分以下，每低1分在当月养护费用结算中扣除1%作为处罚，并作为后期养护服务期满结算审核价款的考核结算依据。</w:t>
      </w:r>
    </w:p>
    <w:p w14:paraId="22AB9154">
      <w:pPr>
        <w:pageBreakBefore w:val="0"/>
        <w:topLinePunct w:val="0"/>
        <w:bidi w:val="0"/>
        <w:spacing w:line="500" w:lineRule="exact"/>
        <w:rPr>
          <w:rFonts w:hint="eastAsia" w:ascii="宋体" w:hAnsi="宋体" w:eastAsia="宋体" w:cs="宋体"/>
          <w:b/>
          <w:bCs/>
          <w:color w:val="auto"/>
          <w:sz w:val="24"/>
          <w:szCs w:val="32"/>
          <w:lang w:val="en-US" w:eastAsia="zh-CN"/>
        </w:rPr>
      </w:pPr>
      <w:r>
        <w:rPr>
          <w:rFonts w:hint="eastAsia" w:ascii="宋体" w:hAnsi="宋体" w:eastAsia="宋体" w:cs="宋体"/>
          <w:b/>
          <w:bCs/>
          <w:color w:val="auto"/>
          <w:sz w:val="24"/>
          <w:szCs w:val="32"/>
          <w:lang w:val="en-US" w:eastAsia="zh-CN"/>
        </w:rPr>
        <w:t>附件2</w:t>
      </w:r>
      <w:bookmarkStart w:id="17" w:name="_GoBack"/>
      <w:bookmarkEnd w:id="17"/>
    </w:p>
    <w:p w14:paraId="1A97FD2D">
      <w:pPr>
        <w:pStyle w:val="5"/>
        <w:pageBreakBefore w:val="0"/>
        <w:kinsoku/>
        <w:wordWrap/>
        <w:overflowPunct/>
        <w:topLinePunct w:val="0"/>
        <w:autoSpaceDE/>
        <w:autoSpaceDN/>
        <w:bidi w:val="0"/>
        <w:adjustRightInd/>
        <w:snapToGrid/>
        <w:spacing w:after="0" w:line="500" w:lineRule="exact"/>
        <w:ind w:left="0" w:leftChars="0" w:firstLine="0" w:firstLineChars="0"/>
        <w:jc w:val="center"/>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西安市灞桥区白鹿原现代农业示范区管理委员会绿化养护服务月度考核表</w:t>
      </w:r>
    </w:p>
    <w:p w14:paraId="54E530EC">
      <w:pPr>
        <w:pStyle w:val="5"/>
        <w:ind w:left="0" w:leftChars="0" w:firstLine="0" w:firstLineChars="0"/>
        <w:rPr>
          <w:rFonts w:hint="eastAsia" w:ascii="宋体" w:hAnsi="宋体" w:eastAsia="宋体" w:cs="宋体"/>
          <w:color w:val="auto"/>
          <w:lang w:val="en-US" w:eastAsia="zh-CN"/>
        </w:rPr>
      </w:pPr>
      <w:r>
        <w:rPr>
          <w:rFonts w:hint="eastAsia" w:ascii="宋体" w:hAnsi="宋体" w:eastAsia="宋体" w:cs="宋体"/>
          <w:b/>
          <w:bCs/>
          <w:i w:val="0"/>
          <w:iCs w:val="0"/>
          <w:color w:val="auto"/>
          <w:kern w:val="0"/>
          <w:sz w:val="22"/>
          <w:szCs w:val="22"/>
          <w:u w:val="none"/>
          <w:lang w:val="en-US" w:eastAsia="zh-CN" w:bidi="ar"/>
        </w:rPr>
        <w:t>考核期次：</w:t>
      </w:r>
    </w:p>
    <w:tbl>
      <w:tblPr>
        <w:tblStyle w:val="16"/>
        <w:tblW w:w="14615" w:type="dxa"/>
        <w:tblInd w:w="-4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40"/>
        <w:gridCol w:w="9635"/>
        <w:gridCol w:w="1155"/>
        <w:gridCol w:w="525"/>
        <w:gridCol w:w="405"/>
        <w:gridCol w:w="1155"/>
      </w:tblGrid>
      <w:tr w14:paraId="66F5A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40" w:type="dxa"/>
            <w:tcBorders>
              <w:top w:val="single" w:color="000000" w:sz="8" w:space="0"/>
              <w:left w:val="single" w:color="000000" w:sz="8" w:space="0"/>
              <w:bottom w:val="single" w:color="000000" w:sz="4" w:space="0"/>
              <w:right w:val="single" w:color="auto" w:sz="4" w:space="0"/>
            </w:tcBorders>
            <w:shd w:val="clear" w:color="auto" w:fill="auto"/>
            <w:vAlign w:val="center"/>
          </w:tcPr>
          <w:p w14:paraId="0E64A3EB">
            <w:pPr>
              <w:keepNext w:val="0"/>
              <w:keepLines w:val="0"/>
              <w:pageBreakBefore w:val="0"/>
              <w:widowControl/>
              <w:suppressLineNumbers w:val="0"/>
              <w:topLinePunct w:val="0"/>
              <w:bidi w:val="0"/>
              <w:spacing w:line="500" w:lineRule="exact"/>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项目</w:t>
            </w:r>
          </w:p>
        </w:tc>
        <w:tc>
          <w:tcPr>
            <w:tcW w:w="9635" w:type="dxa"/>
            <w:tcBorders>
              <w:top w:val="single" w:color="000000" w:sz="8" w:space="0"/>
              <w:left w:val="single" w:color="auto" w:sz="4" w:space="0"/>
              <w:bottom w:val="single" w:color="000000" w:sz="4" w:space="0"/>
              <w:right w:val="single" w:color="auto" w:sz="4" w:space="0"/>
            </w:tcBorders>
            <w:shd w:val="clear" w:color="auto" w:fill="auto"/>
            <w:vAlign w:val="center"/>
          </w:tcPr>
          <w:p w14:paraId="5D165791">
            <w:pPr>
              <w:keepNext w:val="0"/>
              <w:keepLines w:val="0"/>
              <w:pageBreakBefore w:val="0"/>
              <w:widowControl/>
              <w:suppressLineNumbers w:val="0"/>
              <w:topLinePunct w:val="0"/>
              <w:bidi w:val="0"/>
              <w:spacing w:line="500" w:lineRule="exact"/>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检查内容</w:t>
            </w:r>
          </w:p>
        </w:tc>
        <w:tc>
          <w:tcPr>
            <w:tcW w:w="1155" w:type="dxa"/>
            <w:tcBorders>
              <w:top w:val="single" w:color="000000" w:sz="8" w:space="0"/>
              <w:left w:val="single" w:color="auto" w:sz="4" w:space="0"/>
              <w:bottom w:val="single" w:color="000000" w:sz="4" w:space="0"/>
              <w:right w:val="single" w:color="auto" w:sz="4" w:space="0"/>
            </w:tcBorders>
            <w:shd w:val="clear" w:color="auto" w:fill="auto"/>
            <w:vAlign w:val="center"/>
          </w:tcPr>
          <w:p w14:paraId="7FF6C345">
            <w:pPr>
              <w:keepNext w:val="0"/>
              <w:keepLines w:val="0"/>
              <w:pageBreakBefore w:val="0"/>
              <w:widowControl/>
              <w:suppressLineNumbers w:val="0"/>
              <w:topLinePunct w:val="0"/>
              <w:bidi w:val="0"/>
              <w:spacing w:line="500" w:lineRule="exact"/>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总分</w:t>
            </w:r>
          </w:p>
        </w:tc>
        <w:tc>
          <w:tcPr>
            <w:tcW w:w="930" w:type="dxa"/>
            <w:gridSpan w:val="2"/>
            <w:tcBorders>
              <w:top w:val="single" w:color="000000" w:sz="8" w:space="0"/>
              <w:left w:val="single" w:color="auto" w:sz="4" w:space="0"/>
              <w:bottom w:val="single" w:color="000000" w:sz="4" w:space="0"/>
              <w:right w:val="single" w:color="000000" w:sz="8" w:space="0"/>
            </w:tcBorders>
            <w:shd w:val="clear" w:color="auto" w:fill="auto"/>
            <w:vAlign w:val="center"/>
          </w:tcPr>
          <w:p w14:paraId="38CDC886">
            <w:pPr>
              <w:keepNext w:val="0"/>
              <w:keepLines w:val="0"/>
              <w:pageBreakBefore w:val="0"/>
              <w:widowControl/>
              <w:suppressLineNumbers w:val="0"/>
              <w:topLinePunct w:val="0"/>
              <w:bidi w:val="0"/>
              <w:spacing w:line="500" w:lineRule="exact"/>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扣分</w:t>
            </w:r>
          </w:p>
        </w:tc>
        <w:tc>
          <w:tcPr>
            <w:tcW w:w="1155" w:type="dxa"/>
            <w:tcBorders>
              <w:top w:val="single" w:color="000000" w:sz="8" w:space="0"/>
              <w:left w:val="single" w:color="auto" w:sz="4" w:space="0"/>
              <w:bottom w:val="single" w:color="000000" w:sz="4" w:space="0"/>
              <w:right w:val="single" w:color="000000" w:sz="8" w:space="0"/>
            </w:tcBorders>
            <w:shd w:val="clear" w:color="auto" w:fill="auto"/>
            <w:vAlign w:val="center"/>
          </w:tcPr>
          <w:p w14:paraId="744A1707">
            <w:pPr>
              <w:keepNext w:val="0"/>
              <w:keepLines w:val="0"/>
              <w:pageBreakBefore w:val="0"/>
              <w:widowControl/>
              <w:suppressLineNumbers w:val="0"/>
              <w:topLinePunct w:val="0"/>
              <w:bidi w:val="0"/>
              <w:spacing w:line="500" w:lineRule="exact"/>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备注</w:t>
            </w:r>
          </w:p>
        </w:tc>
      </w:tr>
      <w:tr w14:paraId="20FB5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740" w:type="dxa"/>
            <w:vMerge w:val="restart"/>
            <w:tcBorders>
              <w:top w:val="single" w:color="000000" w:sz="4" w:space="0"/>
              <w:left w:val="single" w:color="000000" w:sz="8" w:space="0"/>
              <w:bottom w:val="single" w:color="000000" w:sz="4" w:space="0"/>
              <w:right w:val="single" w:color="auto" w:sz="4" w:space="0"/>
            </w:tcBorders>
            <w:shd w:val="clear" w:color="auto" w:fill="auto"/>
            <w:vAlign w:val="center"/>
          </w:tcPr>
          <w:p w14:paraId="1659A14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日常绿化养护</w:t>
            </w:r>
          </w:p>
        </w:tc>
        <w:tc>
          <w:tcPr>
            <w:tcW w:w="9635" w:type="dxa"/>
            <w:tcBorders>
              <w:top w:val="single" w:color="000000" w:sz="4" w:space="0"/>
              <w:left w:val="single" w:color="auto" w:sz="4" w:space="0"/>
              <w:bottom w:val="single" w:color="000000" w:sz="4" w:space="0"/>
              <w:right w:val="single" w:color="auto" w:sz="4" w:space="0"/>
            </w:tcBorders>
            <w:shd w:val="clear" w:color="auto" w:fill="auto"/>
            <w:vAlign w:val="center"/>
          </w:tcPr>
          <w:p w14:paraId="2B1CA91D">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保洁：管护区域绿地清洁卫生，无垃圾、无杂物，不得乱停、乱拉、乱放物品，检查路段发现明显垃圾和杂物扣1分，对发现要求整改问题不及时处理双倍扣分。</w:t>
            </w:r>
          </w:p>
        </w:tc>
        <w:tc>
          <w:tcPr>
            <w:tcW w:w="1155" w:type="dxa"/>
            <w:vMerge w:val="restart"/>
            <w:tcBorders>
              <w:top w:val="single" w:color="000000" w:sz="4" w:space="0"/>
              <w:left w:val="single" w:color="auto" w:sz="4" w:space="0"/>
              <w:right w:val="single" w:color="auto" w:sz="4" w:space="0"/>
            </w:tcBorders>
            <w:shd w:val="clear" w:color="auto" w:fill="auto"/>
            <w:vAlign w:val="center"/>
          </w:tcPr>
          <w:p w14:paraId="3E0AA004">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0"/>
                <w:szCs w:val="20"/>
                <w:u w:val="none"/>
                <w:lang w:val="en-US"/>
              </w:rPr>
            </w:pPr>
            <w:r>
              <w:rPr>
                <w:rFonts w:hint="eastAsia" w:ascii="宋体" w:hAnsi="宋体" w:eastAsia="宋体" w:cs="宋体"/>
                <w:i w:val="0"/>
                <w:iCs w:val="0"/>
                <w:color w:val="auto"/>
                <w:kern w:val="0"/>
                <w:sz w:val="20"/>
                <w:szCs w:val="20"/>
                <w:u w:val="none"/>
                <w:lang w:val="en-US" w:eastAsia="zh-CN" w:bidi="ar"/>
              </w:rPr>
              <w:t>90分</w:t>
            </w:r>
          </w:p>
        </w:tc>
        <w:tc>
          <w:tcPr>
            <w:tcW w:w="930" w:type="dxa"/>
            <w:gridSpan w:val="2"/>
            <w:tcBorders>
              <w:top w:val="single" w:color="000000" w:sz="4" w:space="0"/>
              <w:left w:val="single" w:color="auto" w:sz="4" w:space="0"/>
              <w:bottom w:val="single" w:color="000000" w:sz="4" w:space="0"/>
              <w:right w:val="single" w:color="000000" w:sz="8" w:space="0"/>
            </w:tcBorders>
            <w:shd w:val="clear" w:color="auto" w:fill="auto"/>
            <w:noWrap/>
            <w:vAlign w:val="center"/>
          </w:tcPr>
          <w:p w14:paraId="67A2869F">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c>
          <w:tcPr>
            <w:tcW w:w="1155" w:type="dxa"/>
            <w:vMerge w:val="restart"/>
            <w:tcBorders>
              <w:top w:val="single" w:color="000000" w:sz="4" w:space="0"/>
              <w:left w:val="single" w:color="auto" w:sz="4" w:space="0"/>
              <w:right w:val="single" w:color="000000" w:sz="8" w:space="0"/>
            </w:tcBorders>
            <w:shd w:val="clear" w:color="auto" w:fill="auto"/>
            <w:noWrap/>
            <w:vAlign w:val="center"/>
          </w:tcPr>
          <w:p w14:paraId="7A0326E6">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r>
              <w:rPr>
                <w:rFonts w:hint="eastAsia" w:ascii="宋体" w:hAnsi="宋体" w:eastAsia="宋体" w:cs="宋体"/>
                <w:b w:val="0"/>
                <w:bCs w:val="0"/>
                <w:i w:val="0"/>
                <w:iCs w:val="0"/>
                <w:color w:val="auto"/>
                <w:kern w:val="0"/>
                <w:sz w:val="20"/>
                <w:szCs w:val="20"/>
                <w:u w:val="none"/>
                <w:lang w:val="en-US" w:eastAsia="zh-CN" w:bidi="ar"/>
              </w:rPr>
              <w:t>绿化养护（100分制）每次检查不少于2处绿化带或林带标准段、2个绿化节点</w:t>
            </w:r>
          </w:p>
        </w:tc>
      </w:tr>
      <w:tr w14:paraId="394AD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740"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738CD405">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635" w:type="dxa"/>
            <w:tcBorders>
              <w:top w:val="single" w:color="000000" w:sz="4" w:space="0"/>
              <w:left w:val="single" w:color="000000" w:sz="4" w:space="0"/>
              <w:bottom w:val="single" w:color="000000" w:sz="4" w:space="0"/>
              <w:right w:val="nil"/>
            </w:tcBorders>
            <w:shd w:val="clear" w:color="auto" w:fill="auto"/>
            <w:vAlign w:val="center"/>
          </w:tcPr>
          <w:p w14:paraId="236F8C4D">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除草：绿化区域无明显杂草，检查路段或代征绿地有明显杂草扣1分。</w:t>
            </w:r>
          </w:p>
        </w:tc>
        <w:tc>
          <w:tcPr>
            <w:tcW w:w="1155" w:type="dxa"/>
            <w:vMerge w:val="continue"/>
            <w:tcBorders>
              <w:left w:val="single" w:color="auto" w:sz="4" w:space="0"/>
              <w:right w:val="single" w:color="auto" w:sz="4" w:space="0"/>
            </w:tcBorders>
            <w:shd w:val="clear" w:color="auto" w:fill="auto"/>
            <w:vAlign w:val="center"/>
          </w:tcPr>
          <w:p w14:paraId="07430F57">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30" w:type="dxa"/>
            <w:gridSpan w:val="2"/>
            <w:tcBorders>
              <w:top w:val="single" w:color="000000" w:sz="4" w:space="0"/>
              <w:left w:val="single" w:color="000000" w:sz="4" w:space="0"/>
              <w:bottom w:val="single" w:color="000000" w:sz="4" w:space="0"/>
              <w:right w:val="single" w:color="000000" w:sz="8" w:space="0"/>
            </w:tcBorders>
            <w:shd w:val="clear" w:color="auto" w:fill="auto"/>
            <w:noWrap/>
            <w:vAlign w:val="center"/>
          </w:tcPr>
          <w:p w14:paraId="52358ED9">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c>
          <w:tcPr>
            <w:tcW w:w="1155" w:type="dxa"/>
            <w:vMerge w:val="continue"/>
            <w:tcBorders>
              <w:left w:val="single" w:color="auto" w:sz="4" w:space="0"/>
              <w:right w:val="single" w:color="000000" w:sz="8" w:space="0"/>
            </w:tcBorders>
            <w:shd w:val="clear" w:color="auto" w:fill="auto"/>
            <w:noWrap/>
            <w:vAlign w:val="center"/>
          </w:tcPr>
          <w:p w14:paraId="638AE0C9">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r>
      <w:tr w14:paraId="0D781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740"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5628DEC7">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635" w:type="dxa"/>
            <w:tcBorders>
              <w:top w:val="single" w:color="000000" w:sz="4" w:space="0"/>
              <w:left w:val="single" w:color="000000" w:sz="4" w:space="0"/>
              <w:bottom w:val="single" w:color="000000" w:sz="4" w:space="0"/>
              <w:right w:val="nil"/>
            </w:tcBorders>
            <w:shd w:val="clear" w:color="auto" w:fill="auto"/>
            <w:vAlign w:val="center"/>
          </w:tcPr>
          <w:p w14:paraId="34A7D0F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施肥：对花木、草坪、绿篱、行道树等，每年必须保证至少一次施肥，保证花木、行道树、草坪长势良好。对未及时施肥路段扣1分，经发包方提醒仍不能每次双倍扣分。</w:t>
            </w:r>
          </w:p>
        </w:tc>
        <w:tc>
          <w:tcPr>
            <w:tcW w:w="1155" w:type="dxa"/>
            <w:vMerge w:val="continue"/>
            <w:tcBorders>
              <w:left w:val="single" w:color="auto" w:sz="4" w:space="0"/>
              <w:right w:val="single" w:color="auto" w:sz="4" w:space="0"/>
            </w:tcBorders>
            <w:shd w:val="clear" w:color="auto" w:fill="auto"/>
            <w:vAlign w:val="center"/>
          </w:tcPr>
          <w:p w14:paraId="05D80140">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30" w:type="dxa"/>
            <w:gridSpan w:val="2"/>
            <w:tcBorders>
              <w:top w:val="single" w:color="000000" w:sz="4" w:space="0"/>
              <w:left w:val="single" w:color="000000" w:sz="4" w:space="0"/>
              <w:bottom w:val="single" w:color="000000" w:sz="4" w:space="0"/>
              <w:right w:val="single" w:color="000000" w:sz="8" w:space="0"/>
            </w:tcBorders>
            <w:shd w:val="clear" w:color="auto" w:fill="auto"/>
            <w:noWrap/>
            <w:vAlign w:val="center"/>
          </w:tcPr>
          <w:p w14:paraId="6F019898">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c>
          <w:tcPr>
            <w:tcW w:w="1155" w:type="dxa"/>
            <w:vMerge w:val="continue"/>
            <w:tcBorders>
              <w:left w:val="single" w:color="auto" w:sz="4" w:space="0"/>
              <w:right w:val="single" w:color="000000" w:sz="8" w:space="0"/>
            </w:tcBorders>
            <w:shd w:val="clear" w:color="auto" w:fill="auto"/>
            <w:noWrap/>
            <w:vAlign w:val="center"/>
          </w:tcPr>
          <w:p w14:paraId="05E5EB0F">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r>
      <w:tr w14:paraId="6C10C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1740"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7EECDC8F">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635" w:type="dxa"/>
            <w:tcBorders>
              <w:top w:val="single" w:color="000000" w:sz="4" w:space="0"/>
              <w:left w:val="single" w:color="000000" w:sz="4" w:space="0"/>
              <w:bottom w:val="single" w:color="000000" w:sz="4" w:space="0"/>
              <w:right w:val="nil"/>
            </w:tcBorders>
            <w:shd w:val="clear" w:color="auto" w:fill="auto"/>
            <w:vAlign w:val="center"/>
          </w:tcPr>
          <w:p w14:paraId="776E9BE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病虫害防治：必须及时做好各种病虫害防治工作，确保灌木、草坪、行道树无病虫害，不等及时发现并防治并害虫，每路段扣1分，出现病虫害死株按市场苗木价格扣相应分值。及时发现类似“一枝黄花”等外来有害物种，并及时彻底铲除清理，否则每问题路段扣1分。</w:t>
            </w:r>
          </w:p>
        </w:tc>
        <w:tc>
          <w:tcPr>
            <w:tcW w:w="1155" w:type="dxa"/>
            <w:vMerge w:val="continue"/>
            <w:tcBorders>
              <w:left w:val="single" w:color="auto" w:sz="4" w:space="0"/>
              <w:right w:val="single" w:color="auto" w:sz="4" w:space="0"/>
            </w:tcBorders>
            <w:shd w:val="clear" w:color="auto" w:fill="auto"/>
            <w:vAlign w:val="center"/>
          </w:tcPr>
          <w:p w14:paraId="33FAE51A">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30" w:type="dxa"/>
            <w:gridSpan w:val="2"/>
            <w:tcBorders>
              <w:top w:val="single" w:color="000000" w:sz="4" w:space="0"/>
              <w:left w:val="single" w:color="000000" w:sz="4" w:space="0"/>
              <w:bottom w:val="single" w:color="000000" w:sz="4" w:space="0"/>
              <w:right w:val="single" w:color="000000" w:sz="8" w:space="0"/>
            </w:tcBorders>
            <w:shd w:val="clear" w:color="auto" w:fill="auto"/>
            <w:noWrap/>
            <w:vAlign w:val="center"/>
          </w:tcPr>
          <w:p w14:paraId="61CF60A6">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c>
          <w:tcPr>
            <w:tcW w:w="1155" w:type="dxa"/>
            <w:vMerge w:val="continue"/>
            <w:tcBorders>
              <w:left w:val="single" w:color="auto" w:sz="4" w:space="0"/>
              <w:right w:val="single" w:color="000000" w:sz="8" w:space="0"/>
            </w:tcBorders>
            <w:shd w:val="clear" w:color="auto" w:fill="auto"/>
            <w:noWrap/>
            <w:vAlign w:val="center"/>
          </w:tcPr>
          <w:p w14:paraId="19756194">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r>
      <w:tr w14:paraId="19A23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740"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73BFA561">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635" w:type="dxa"/>
            <w:tcBorders>
              <w:top w:val="single" w:color="000000" w:sz="4" w:space="0"/>
              <w:left w:val="single" w:color="000000" w:sz="4" w:space="0"/>
              <w:bottom w:val="single" w:color="000000" w:sz="4" w:space="0"/>
              <w:right w:val="nil"/>
            </w:tcBorders>
            <w:shd w:val="clear" w:color="auto" w:fill="auto"/>
            <w:vAlign w:val="center"/>
          </w:tcPr>
          <w:p w14:paraId="5E6C7175">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修剪整枝：对花木、草坪绿篱、行道树等根据长势和季节及时修剪整治，做到造型美观、科学合理、文明安全，如检查发现修剪整枝、除孽不及时导致疯长每路段扣1分，修剪后垃圾未及时清理每路段扣1分，要求整改问题不及时处理加倍扣分。</w:t>
            </w:r>
          </w:p>
        </w:tc>
        <w:tc>
          <w:tcPr>
            <w:tcW w:w="1155" w:type="dxa"/>
            <w:vMerge w:val="continue"/>
            <w:tcBorders>
              <w:left w:val="single" w:color="auto" w:sz="4" w:space="0"/>
              <w:right w:val="single" w:color="auto" w:sz="4" w:space="0"/>
            </w:tcBorders>
            <w:shd w:val="clear" w:color="auto" w:fill="auto"/>
            <w:vAlign w:val="center"/>
          </w:tcPr>
          <w:p w14:paraId="5C7CCAC0">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30" w:type="dxa"/>
            <w:gridSpan w:val="2"/>
            <w:tcBorders>
              <w:top w:val="single" w:color="000000" w:sz="4" w:space="0"/>
              <w:left w:val="single" w:color="000000" w:sz="4" w:space="0"/>
              <w:bottom w:val="single" w:color="000000" w:sz="4" w:space="0"/>
              <w:right w:val="single" w:color="000000" w:sz="8" w:space="0"/>
            </w:tcBorders>
            <w:shd w:val="clear" w:color="auto" w:fill="auto"/>
            <w:noWrap/>
            <w:vAlign w:val="center"/>
          </w:tcPr>
          <w:p w14:paraId="441C055B">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c>
          <w:tcPr>
            <w:tcW w:w="1155" w:type="dxa"/>
            <w:vMerge w:val="continue"/>
            <w:tcBorders>
              <w:left w:val="single" w:color="auto" w:sz="4" w:space="0"/>
              <w:right w:val="single" w:color="000000" w:sz="8" w:space="0"/>
            </w:tcBorders>
            <w:shd w:val="clear" w:color="auto" w:fill="auto"/>
            <w:noWrap/>
            <w:vAlign w:val="center"/>
          </w:tcPr>
          <w:p w14:paraId="0F0C88FE">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r>
      <w:tr w14:paraId="624FE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740"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14E517AD">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635" w:type="dxa"/>
            <w:tcBorders>
              <w:top w:val="nil"/>
              <w:left w:val="nil"/>
              <w:bottom w:val="single" w:color="000000" w:sz="4" w:space="0"/>
              <w:right w:val="nil"/>
            </w:tcBorders>
            <w:shd w:val="clear" w:color="auto" w:fill="auto"/>
            <w:vAlign w:val="center"/>
          </w:tcPr>
          <w:p w14:paraId="660566F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抗旱排涝：按季节和苗木生长特性及时抗旱排涝，确保成活、长势良好，抗旱排涝不及时按造成苗木价格扣除相应分值。要求整改问题不及时处理加倍扣分。</w:t>
            </w:r>
          </w:p>
        </w:tc>
        <w:tc>
          <w:tcPr>
            <w:tcW w:w="1155" w:type="dxa"/>
            <w:vMerge w:val="continue"/>
            <w:tcBorders>
              <w:left w:val="single" w:color="auto" w:sz="4" w:space="0"/>
              <w:right w:val="single" w:color="auto" w:sz="4" w:space="0"/>
            </w:tcBorders>
            <w:shd w:val="clear" w:color="auto" w:fill="auto"/>
            <w:vAlign w:val="center"/>
          </w:tcPr>
          <w:p w14:paraId="1E0E457A">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30" w:type="dxa"/>
            <w:gridSpan w:val="2"/>
            <w:tcBorders>
              <w:top w:val="single" w:color="000000" w:sz="4" w:space="0"/>
              <w:left w:val="single" w:color="000000" w:sz="4" w:space="0"/>
              <w:bottom w:val="single" w:color="000000" w:sz="4" w:space="0"/>
              <w:right w:val="single" w:color="000000" w:sz="8" w:space="0"/>
            </w:tcBorders>
            <w:shd w:val="clear" w:color="auto" w:fill="auto"/>
            <w:noWrap/>
            <w:vAlign w:val="center"/>
          </w:tcPr>
          <w:p w14:paraId="041155A8">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c>
          <w:tcPr>
            <w:tcW w:w="1155" w:type="dxa"/>
            <w:vMerge w:val="continue"/>
            <w:tcBorders>
              <w:left w:val="single" w:color="auto" w:sz="4" w:space="0"/>
              <w:right w:val="single" w:color="000000" w:sz="8" w:space="0"/>
            </w:tcBorders>
            <w:shd w:val="clear" w:color="auto" w:fill="auto"/>
            <w:noWrap/>
            <w:vAlign w:val="center"/>
          </w:tcPr>
          <w:p w14:paraId="6A124267">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r>
      <w:tr w14:paraId="6E2F9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740"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42D644EF">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635" w:type="dxa"/>
            <w:tcBorders>
              <w:top w:val="single" w:color="000000" w:sz="4" w:space="0"/>
              <w:left w:val="nil"/>
              <w:bottom w:val="single" w:color="000000" w:sz="4" w:space="0"/>
              <w:right w:val="nil"/>
            </w:tcBorders>
            <w:shd w:val="clear" w:color="auto" w:fill="auto"/>
            <w:vAlign w:val="center"/>
          </w:tcPr>
          <w:p w14:paraId="7E4C266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刷白：为防治病虫害，每年秋末对乔灌木刷白一次，不及时刷白路段扣1份，行道树每缺1注刷白扣0.1分。</w:t>
            </w:r>
          </w:p>
        </w:tc>
        <w:tc>
          <w:tcPr>
            <w:tcW w:w="1155" w:type="dxa"/>
            <w:vMerge w:val="continue"/>
            <w:tcBorders>
              <w:left w:val="single" w:color="auto" w:sz="4" w:space="0"/>
              <w:right w:val="single" w:color="auto" w:sz="4" w:space="0"/>
            </w:tcBorders>
            <w:shd w:val="clear" w:color="auto" w:fill="auto"/>
            <w:vAlign w:val="center"/>
          </w:tcPr>
          <w:p w14:paraId="08ECBB92">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30" w:type="dxa"/>
            <w:gridSpan w:val="2"/>
            <w:tcBorders>
              <w:top w:val="single" w:color="000000" w:sz="4" w:space="0"/>
              <w:left w:val="single" w:color="000000" w:sz="4" w:space="0"/>
              <w:bottom w:val="single" w:color="000000" w:sz="4" w:space="0"/>
              <w:right w:val="single" w:color="000000" w:sz="8" w:space="0"/>
            </w:tcBorders>
            <w:shd w:val="clear" w:color="auto" w:fill="auto"/>
            <w:noWrap/>
            <w:vAlign w:val="center"/>
          </w:tcPr>
          <w:p w14:paraId="34CF8994">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c>
          <w:tcPr>
            <w:tcW w:w="1155" w:type="dxa"/>
            <w:vMerge w:val="continue"/>
            <w:tcBorders>
              <w:left w:val="single" w:color="auto" w:sz="4" w:space="0"/>
              <w:right w:val="single" w:color="000000" w:sz="8" w:space="0"/>
            </w:tcBorders>
            <w:shd w:val="clear" w:color="auto" w:fill="auto"/>
            <w:noWrap/>
            <w:vAlign w:val="center"/>
          </w:tcPr>
          <w:p w14:paraId="69443B98">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r>
      <w:tr w14:paraId="517F8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740"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04F761A1">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635" w:type="dxa"/>
            <w:tcBorders>
              <w:top w:val="single" w:color="000000" w:sz="4" w:space="0"/>
              <w:left w:val="nil"/>
              <w:bottom w:val="single" w:color="000000" w:sz="4" w:space="0"/>
              <w:right w:val="nil"/>
            </w:tcBorders>
            <w:shd w:val="clear" w:color="auto" w:fill="auto"/>
            <w:vAlign w:val="center"/>
          </w:tcPr>
          <w:p w14:paraId="4C648BA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绿化带内景观小品、护坡雕塑造型、绿化转盘内设施良好，自然损坏及时汇报，如因管理不善，发现损坏未及时汇报、修理，由业主发现或者投诉的，每项扣1分。</w:t>
            </w:r>
          </w:p>
        </w:tc>
        <w:tc>
          <w:tcPr>
            <w:tcW w:w="1155" w:type="dxa"/>
            <w:vMerge w:val="continue"/>
            <w:tcBorders>
              <w:left w:val="single" w:color="auto" w:sz="4" w:space="0"/>
              <w:right w:val="single" w:color="auto" w:sz="4" w:space="0"/>
            </w:tcBorders>
            <w:shd w:val="clear" w:color="auto" w:fill="auto"/>
            <w:vAlign w:val="center"/>
          </w:tcPr>
          <w:p w14:paraId="6EB6F812">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30" w:type="dxa"/>
            <w:gridSpan w:val="2"/>
            <w:tcBorders>
              <w:top w:val="single" w:color="000000" w:sz="4" w:space="0"/>
              <w:left w:val="single" w:color="000000" w:sz="4" w:space="0"/>
              <w:bottom w:val="single" w:color="000000" w:sz="4" w:space="0"/>
              <w:right w:val="single" w:color="000000" w:sz="8" w:space="0"/>
            </w:tcBorders>
            <w:shd w:val="clear" w:color="auto" w:fill="auto"/>
            <w:noWrap/>
            <w:vAlign w:val="center"/>
          </w:tcPr>
          <w:p w14:paraId="72C4F307">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c>
          <w:tcPr>
            <w:tcW w:w="1155" w:type="dxa"/>
            <w:vMerge w:val="continue"/>
            <w:tcBorders>
              <w:left w:val="single" w:color="auto" w:sz="4" w:space="0"/>
              <w:right w:val="single" w:color="000000" w:sz="8" w:space="0"/>
            </w:tcBorders>
            <w:shd w:val="clear" w:color="auto" w:fill="auto"/>
            <w:noWrap/>
            <w:vAlign w:val="center"/>
          </w:tcPr>
          <w:p w14:paraId="02A5ED78">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r>
      <w:tr w14:paraId="15A67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740"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09104FDA">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635" w:type="dxa"/>
            <w:tcBorders>
              <w:top w:val="single" w:color="000000" w:sz="4" w:space="0"/>
              <w:left w:val="nil"/>
              <w:bottom w:val="single" w:color="000000" w:sz="4" w:space="0"/>
              <w:right w:val="nil"/>
            </w:tcBorders>
            <w:shd w:val="clear" w:color="auto" w:fill="auto"/>
            <w:vAlign w:val="center"/>
          </w:tcPr>
          <w:p w14:paraId="03E089D5">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及时清除绿地内枯枝，死株、藤蔓缠绕苗木、落叶等，及时矫正歪斜树木，如检查发现每路段扣1分。</w:t>
            </w:r>
          </w:p>
        </w:tc>
        <w:tc>
          <w:tcPr>
            <w:tcW w:w="1155" w:type="dxa"/>
            <w:vMerge w:val="continue"/>
            <w:tcBorders>
              <w:left w:val="single" w:color="auto" w:sz="4" w:space="0"/>
              <w:right w:val="single" w:color="auto" w:sz="4" w:space="0"/>
            </w:tcBorders>
            <w:shd w:val="clear" w:color="auto" w:fill="auto"/>
            <w:vAlign w:val="center"/>
          </w:tcPr>
          <w:p w14:paraId="3B6F76EB">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30" w:type="dxa"/>
            <w:gridSpan w:val="2"/>
            <w:tcBorders>
              <w:top w:val="single" w:color="000000" w:sz="4" w:space="0"/>
              <w:left w:val="single" w:color="000000" w:sz="4" w:space="0"/>
              <w:bottom w:val="single" w:color="000000" w:sz="4" w:space="0"/>
              <w:right w:val="single" w:color="000000" w:sz="8" w:space="0"/>
            </w:tcBorders>
            <w:shd w:val="clear" w:color="auto" w:fill="auto"/>
            <w:noWrap/>
            <w:vAlign w:val="center"/>
          </w:tcPr>
          <w:p w14:paraId="0854A75E">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c>
          <w:tcPr>
            <w:tcW w:w="1155" w:type="dxa"/>
            <w:vMerge w:val="continue"/>
            <w:tcBorders>
              <w:left w:val="single" w:color="auto" w:sz="4" w:space="0"/>
              <w:right w:val="single" w:color="000000" w:sz="8" w:space="0"/>
            </w:tcBorders>
            <w:shd w:val="clear" w:color="auto" w:fill="auto"/>
            <w:noWrap/>
            <w:vAlign w:val="center"/>
          </w:tcPr>
          <w:p w14:paraId="3757A4EF">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r>
      <w:tr w14:paraId="4A3A6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740"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7DB61E00">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635" w:type="dxa"/>
            <w:tcBorders>
              <w:top w:val="single" w:color="000000" w:sz="4" w:space="0"/>
              <w:left w:val="nil"/>
              <w:bottom w:val="single" w:color="000000" w:sz="4" w:space="0"/>
              <w:right w:val="nil"/>
            </w:tcBorders>
            <w:shd w:val="clear" w:color="auto" w:fill="auto"/>
            <w:vAlign w:val="center"/>
          </w:tcPr>
          <w:p w14:paraId="1B5825B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每月10日前及时上报本月养护工作计划，不及时上报扣2分。</w:t>
            </w:r>
          </w:p>
        </w:tc>
        <w:tc>
          <w:tcPr>
            <w:tcW w:w="1155" w:type="dxa"/>
            <w:vMerge w:val="continue"/>
            <w:tcBorders>
              <w:left w:val="single" w:color="auto" w:sz="4" w:space="0"/>
              <w:right w:val="single" w:color="auto" w:sz="4" w:space="0"/>
            </w:tcBorders>
            <w:shd w:val="clear" w:color="auto" w:fill="auto"/>
            <w:vAlign w:val="center"/>
          </w:tcPr>
          <w:p w14:paraId="224869AE">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30" w:type="dxa"/>
            <w:gridSpan w:val="2"/>
            <w:tcBorders>
              <w:top w:val="single" w:color="000000" w:sz="4" w:space="0"/>
              <w:left w:val="single" w:color="000000" w:sz="4" w:space="0"/>
              <w:bottom w:val="single" w:color="000000" w:sz="4" w:space="0"/>
              <w:right w:val="single" w:color="000000" w:sz="8" w:space="0"/>
            </w:tcBorders>
            <w:shd w:val="clear" w:color="auto" w:fill="auto"/>
            <w:noWrap/>
            <w:vAlign w:val="center"/>
          </w:tcPr>
          <w:p w14:paraId="347B41A3">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c>
          <w:tcPr>
            <w:tcW w:w="1155" w:type="dxa"/>
            <w:vMerge w:val="continue"/>
            <w:tcBorders>
              <w:left w:val="single" w:color="auto" w:sz="4" w:space="0"/>
              <w:right w:val="single" w:color="000000" w:sz="8" w:space="0"/>
            </w:tcBorders>
            <w:shd w:val="clear" w:color="auto" w:fill="auto"/>
            <w:noWrap/>
            <w:vAlign w:val="center"/>
          </w:tcPr>
          <w:p w14:paraId="21C10324">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r>
      <w:tr w14:paraId="2EDE2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40"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65B507A0">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635" w:type="dxa"/>
            <w:tcBorders>
              <w:top w:val="single" w:color="000000" w:sz="4" w:space="0"/>
              <w:left w:val="nil"/>
              <w:bottom w:val="single" w:color="000000" w:sz="4" w:space="0"/>
              <w:right w:val="nil"/>
            </w:tcBorders>
            <w:shd w:val="clear" w:color="auto" w:fill="auto"/>
            <w:vAlign w:val="center"/>
          </w:tcPr>
          <w:p w14:paraId="7CB955A7">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及时完成领导交办的突击任务，不能及时完成交办突击性任务，每次扣1分。</w:t>
            </w:r>
          </w:p>
        </w:tc>
        <w:tc>
          <w:tcPr>
            <w:tcW w:w="1155" w:type="dxa"/>
            <w:vMerge w:val="continue"/>
            <w:tcBorders>
              <w:left w:val="single" w:color="auto" w:sz="4" w:space="0"/>
              <w:bottom w:val="single" w:color="000000" w:sz="4" w:space="0"/>
              <w:right w:val="single" w:color="auto" w:sz="4" w:space="0"/>
            </w:tcBorders>
            <w:shd w:val="clear" w:color="auto" w:fill="auto"/>
            <w:vAlign w:val="center"/>
          </w:tcPr>
          <w:p w14:paraId="756EE229">
            <w:pPr>
              <w:keepNext w:val="0"/>
              <w:keepLines w:val="0"/>
              <w:pageBreakBefore w:val="0"/>
              <w:kinsoku/>
              <w:wordWrap/>
              <w:overflowPunct/>
              <w:topLinePunct w:val="0"/>
              <w:autoSpaceDE/>
              <w:autoSpaceDN/>
              <w:bidi w:val="0"/>
              <w:adjustRightInd/>
              <w:snapToGrid/>
              <w:spacing w:line="440" w:lineRule="exact"/>
              <w:jc w:val="center"/>
              <w:rPr>
                <w:rFonts w:hint="eastAsia" w:ascii="宋体" w:hAnsi="宋体" w:eastAsia="宋体" w:cs="宋体"/>
                <w:i w:val="0"/>
                <w:iCs w:val="0"/>
                <w:color w:val="auto"/>
                <w:sz w:val="20"/>
                <w:szCs w:val="20"/>
                <w:u w:val="none"/>
              </w:rPr>
            </w:pPr>
          </w:p>
        </w:tc>
        <w:tc>
          <w:tcPr>
            <w:tcW w:w="930" w:type="dxa"/>
            <w:gridSpan w:val="2"/>
            <w:tcBorders>
              <w:top w:val="single" w:color="000000" w:sz="4" w:space="0"/>
              <w:left w:val="single" w:color="000000" w:sz="4" w:space="0"/>
              <w:bottom w:val="single" w:color="000000" w:sz="4" w:space="0"/>
              <w:right w:val="single" w:color="000000" w:sz="8" w:space="0"/>
            </w:tcBorders>
            <w:shd w:val="clear" w:color="auto" w:fill="auto"/>
            <w:noWrap/>
            <w:vAlign w:val="center"/>
          </w:tcPr>
          <w:p w14:paraId="422B9325">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c>
          <w:tcPr>
            <w:tcW w:w="1155" w:type="dxa"/>
            <w:vMerge w:val="continue"/>
            <w:tcBorders>
              <w:left w:val="single" w:color="auto" w:sz="4" w:space="0"/>
              <w:right w:val="single" w:color="000000" w:sz="8" w:space="0"/>
            </w:tcBorders>
            <w:shd w:val="clear" w:color="auto" w:fill="auto"/>
            <w:noWrap/>
            <w:vAlign w:val="center"/>
          </w:tcPr>
          <w:p w14:paraId="47705FB4">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r>
      <w:tr w14:paraId="613A8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1740"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273C4D1">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监督舆论</w:t>
            </w:r>
          </w:p>
        </w:tc>
        <w:tc>
          <w:tcPr>
            <w:tcW w:w="9635" w:type="dxa"/>
            <w:tcBorders>
              <w:top w:val="single" w:color="000000" w:sz="4" w:space="0"/>
              <w:left w:val="single" w:color="000000" w:sz="4" w:space="0"/>
              <w:bottom w:val="single" w:color="000000" w:sz="4" w:space="0"/>
              <w:right w:val="nil"/>
            </w:tcBorders>
            <w:shd w:val="clear" w:color="auto" w:fill="auto"/>
            <w:vAlign w:val="center"/>
          </w:tcPr>
          <w:p w14:paraId="5D23EF44">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1、12345、12369服务热线反馈情况；</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2、被新闻媒体曝光；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3、被市民、企业投诉；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4、被上级领导发现或批示的问题处理情况；</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5、被行业管理部门督办、通报；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6、遇重大节日、重大活动日不服从安排和调度配合做好突击向政治任务的。</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701E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10分</w:t>
            </w:r>
          </w:p>
          <w:p w14:paraId="02D52F8D">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（每收到一次扣2分）</w:t>
            </w:r>
          </w:p>
        </w:tc>
        <w:tc>
          <w:tcPr>
            <w:tcW w:w="930" w:type="dxa"/>
            <w:gridSpan w:val="2"/>
            <w:tcBorders>
              <w:top w:val="single" w:color="000000" w:sz="4" w:space="0"/>
              <w:left w:val="single" w:color="000000" w:sz="4" w:space="0"/>
              <w:bottom w:val="single" w:color="000000" w:sz="4" w:space="0"/>
              <w:right w:val="single" w:color="000000" w:sz="8" w:space="0"/>
            </w:tcBorders>
            <w:shd w:val="clear" w:color="auto" w:fill="auto"/>
            <w:noWrap/>
            <w:vAlign w:val="center"/>
          </w:tcPr>
          <w:p w14:paraId="622A18CF">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c>
          <w:tcPr>
            <w:tcW w:w="1155" w:type="dxa"/>
            <w:vMerge w:val="continue"/>
            <w:tcBorders>
              <w:left w:val="single" w:color="auto" w:sz="4" w:space="0"/>
              <w:right w:val="single" w:color="000000" w:sz="8" w:space="0"/>
            </w:tcBorders>
            <w:shd w:val="clear" w:color="auto" w:fill="auto"/>
            <w:noWrap/>
            <w:vAlign w:val="center"/>
          </w:tcPr>
          <w:p w14:paraId="6011BDB7">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i w:val="0"/>
                <w:iCs w:val="0"/>
                <w:color w:val="auto"/>
                <w:sz w:val="20"/>
                <w:szCs w:val="20"/>
                <w:u w:val="none"/>
              </w:rPr>
            </w:pPr>
          </w:p>
        </w:tc>
      </w:tr>
      <w:tr w14:paraId="7A99F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740" w:type="dxa"/>
            <w:tcBorders>
              <w:top w:val="single" w:color="000000" w:sz="4" w:space="0"/>
              <w:left w:val="single" w:color="000000" w:sz="8" w:space="0"/>
              <w:bottom w:val="single" w:color="000000" w:sz="8" w:space="0"/>
              <w:right w:val="single" w:color="000000" w:sz="4" w:space="0"/>
            </w:tcBorders>
            <w:shd w:val="clear" w:color="auto" w:fill="auto"/>
            <w:vAlign w:val="center"/>
          </w:tcPr>
          <w:p w14:paraId="6C111059">
            <w:pPr>
              <w:keepNext w:val="0"/>
              <w:keepLines w:val="0"/>
              <w:pageBreakBefore w:val="0"/>
              <w:widowControl/>
              <w:suppressLineNumbers w:val="0"/>
              <w:topLinePunct w:val="0"/>
              <w:bidi w:val="0"/>
              <w:spacing w:line="500" w:lineRule="exact"/>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合计</w:t>
            </w:r>
          </w:p>
        </w:tc>
        <w:tc>
          <w:tcPr>
            <w:tcW w:w="9635" w:type="dxa"/>
            <w:tcBorders>
              <w:top w:val="single" w:color="000000" w:sz="4" w:space="0"/>
              <w:left w:val="single" w:color="000000" w:sz="4" w:space="0"/>
              <w:bottom w:val="single" w:color="000000" w:sz="8" w:space="0"/>
              <w:right w:val="nil"/>
            </w:tcBorders>
            <w:shd w:val="clear" w:color="auto" w:fill="auto"/>
            <w:noWrap/>
            <w:vAlign w:val="center"/>
          </w:tcPr>
          <w:p w14:paraId="1FEFEF3B">
            <w:pPr>
              <w:pageBreakBefore w:val="0"/>
              <w:topLinePunct w:val="0"/>
              <w:bidi w:val="0"/>
              <w:spacing w:line="500" w:lineRule="exact"/>
              <w:jc w:val="both"/>
              <w:rPr>
                <w:rFonts w:hint="eastAsia" w:ascii="宋体" w:hAnsi="宋体" w:eastAsia="宋体" w:cs="宋体"/>
                <w:i w:val="0"/>
                <w:iCs w:val="0"/>
                <w:color w:val="auto"/>
                <w:sz w:val="20"/>
                <w:szCs w:val="20"/>
                <w:u w:val="none"/>
              </w:rPr>
            </w:pPr>
          </w:p>
        </w:tc>
        <w:tc>
          <w:tcPr>
            <w:tcW w:w="1155"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3EEB7756">
            <w:pPr>
              <w:keepNext w:val="0"/>
              <w:keepLines w:val="0"/>
              <w:pageBreakBefore w:val="0"/>
              <w:widowControl/>
              <w:suppressLineNumbers w:val="0"/>
              <w:topLinePunct w:val="0"/>
              <w:bidi w:val="0"/>
              <w:spacing w:line="500" w:lineRule="exact"/>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930" w:type="dxa"/>
            <w:gridSpan w:val="2"/>
            <w:tcBorders>
              <w:top w:val="single" w:color="000000" w:sz="4" w:space="0"/>
              <w:left w:val="single" w:color="000000" w:sz="4" w:space="0"/>
              <w:bottom w:val="single" w:color="000000" w:sz="8" w:space="0"/>
              <w:right w:val="single" w:color="000000" w:sz="8" w:space="0"/>
            </w:tcBorders>
            <w:shd w:val="clear" w:color="auto" w:fill="auto"/>
            <w:noWrap/>
            <w:vAlign w:val="center"/>
          </w:tcPr>
          <w:p w14:paraId="68951433">
            <w:pPr>
              <w:pageBreakBefore w:val="0"/>
              <w:topLinePunct w:val="0"/>
              <w:bidi w:val="0"/>
              <w:spacing w:line="500" w:lineRule="exact"/>
              <w:rPr>
                <w:rFonts w:hint="eastAsia" w:ascii="宋体" w:hAnsi="宋体" w:eastAsia="宋体" w:cs="宋体"/>
                <w:i w:val="0"/>
                <w:iCs w:val="0"/>
                <w:color w:val="auto"/>
                <w:sz w:val="20"/>
                <w:szCs w:val="20"/>
                <w:u w:val="none"/>
              </w:rPr>
            </w:pPr>
          </w:p>
        </w:tc>
        <w:tc>
          <w:tcPr>
            <w:tcW w:w="1155" w:type="dxa"/>
            <w:vMerge w:val="continue"/>
            <w:tcBorders>
              <w:left w:val="single" w:color="auto" w:sz="4" w:space="0"/>
              <w:bottom w:val="single" w:color="000000" w:sz="8" w:space="0"/>
              <w:right w:val="single" w:color="000000" w:sz="8" w:space="0"/>
            </w:tcBorders>
            <w:shd w:val="clear" w:color="auto" w:fill="auto"/>
            <w:noWrap/>
            <w:vAlign w:val="center"/>
          </w:tcPr>
          <w:p w14:paraId="083832DC">
            <w:pPr>
              <w:pageBreakBefore w:val="0"/>
              <w:topLinePunct w:val="0"/>
              <w:bidi w:val="0"/>
              <w:spacing w:line="500" w:lineRule="exact"/>
              <w:rPr>
                <w:rFonts w:hint="eastAsia" w:ascii="宋体" w:hAnsi="宋体" w:eastAsia="宋体" w:cs="宋体"/>
                <w:i w:val="0"/>
                <w:iCs w:val="0"/>
                <w:color w:val="auto"/>
                <w:sz w:val="20"/>
                <w:szCs w:val="20"/>
                <w:u w:val="none"/>
              </w:rPr>
            </w:pPr>
          </w:p>
        </w:tc>
      </w:tr>
      <w:tr w14:paraId="6606D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560" w:type="dxa"/>
          <w:trHeight w:val="640" w:hRule="atLeast"/>
        </w:trPr>
        <w:tc>
          <w:tcPr>
            <w:tcW w:w="1740" w:type="dxa"/>
            <w:tcBorders>
              <w:top w:val="nil"/>
              <w:left w:val="nil"/>
              <w:bottom w:val="nil"/>
              <w:right w:val="nil"/>
            </w:tcBorders>
            <w:shd w:val="clear" w:color="auto" w:fill="auto"/>
            <w:vAlign w:val="center"/>
          </w:tcPr>
          <w:p w14:paraId="0E00D29B">
            <w:pPr>
              <w:rPr>
                <w:rFonts w:hint="eastAsia"/>
              </w:rPr>
            </w:pPr>
            <w:r>
              <w:rPr>
                <w:rFonts w:hint="eastAsia"/>
                <w:lang w:val="en-US" w:eastAsia="zh-CN"/>
              </w:rPr>
              <w:t>考核单位：</w:t>
            </w:r>
          </w:p>
        </w:tc>
        <w:tc>
          <w:tcPr>
            <w:tcW w:w="9635" w:type="dxa"/>
            <w:tcBorders>
              <w:top w:val="nil"/>
              <w:left w:val="nil"/>
              <w:bottom w:val="nil"/>
              <w:right w:val="nil"/>
            </w:tcBorders>
            <w:shd w:val="clear" w:color="auto" w:fill="auto"/>
            <w:noWrap/>
            <w:vAlign w:val="center"/>
          </w:tcPr>
          <w:p w14:paraId="33385200">
            <w:pPr>
              <w:rPr>
                <w:rFonts w:hint="eastAsia"/>
              </w:rPr>
            </w:pPr>
          </w:p>
        </w:tc>
        <w:tc>
          <w:tcPr>
            <w:tcW w:w="1680" w:type="dxa"/>
            <w:gridSpan w:val="2"/>
            <w:tcBorders>
              <w:top w:val="nil"/>
              <w:left w:val="nil"/>
              <w:bottom w:val="nil"/>
              <w:right w:val="nil"/>
            </w:tcBorders>
            <w:shd w:val="clear" w:color="auto" w:fill="auto"/>
            <w:noWrap/>
            <w:vAlign w:val="center"/>
          </w:tcPr>
          <w:p w14:paraId="25F4BAC3">
            <w:pPr>
              <w:pageBreakBefore w:val="0"/>
              <w:topLinePunct w:val="0"/>
              <w:bidi w:val="0"/>
              <w:spacing w:line="500" w:lineRule="exact"/>
              <w:jc w:val="both"/>
              <w:rPr>
                <w:rFonts w:hint="eastAsia" w:ascii="宋体" w:hAnsi="宋体" w:eastAsia="宋体" w:cs="宋体"/>
                <w:i w:val="0"/>
                <w:iCs w:val="0"/>
                <w:color w:val="auto"/>
                <w:sz w:val="20"/>
                <w:szCs w:val="20"/>
                <w:u w:val="none"/>
              </w:rPr>
            </w:pPr>
          </w:p>
        </w:tc>
      </w:tr>
      <w:tr w14:paraId="5C840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560" w:type="dxa"/>
          <w:trHeight w:val="600" w:hRule="atLeast"/>
        </w:trPr>
        <w:tc>
          <w:tcPr>
            <w:tcW w:w="1740" w:type="dxa"/>
            <w:tcBorders>
              <w:top w:val="nil"/>
              <w:left w:val="nil"/>
              <w:bottom w:val="nil"/>
              <w:right w:val="nil"/>
            </w:tcBorders>
            <w:shd w:val="clear" w:color="auto" w:fill="auto"/>
            <w:vAlign w:val="center"/>
          </w:tcPr>
          <w:p w14:paraId="5EEAA72F">
            <w:pPr>
              <w:rPr>
                <w:rFonts w:hint="eastAsia"/>
              </w:rPr>
            </w:pPr>
            <w:r>
              <w:rPr>
                <w:rFonts w:hint="eastAsia"/>
                <w:lang w:val="en-US" w:eastAsia="zh-CN"/>
              </w:rPr>
              <w:t>被考核单位：</w:t>
            </w:r>
          </w:p>
        </w:tc>
        <w:tc>
          <w:tcPr>
            <w:tcW w:w="9635" w:type="dxa"/>
            <w:tcBorders>
              <w:top w:val="nil"/>
              <w:left w:val="nil"/>
              <w:bottom w:val="nil"/>
              <w:right w:val="nil"/>
            </w:tcBorders>
            <w:shd w:val="clear" w:color="auto" w:fill="auto"/>
            <w:noWrap/>
            <w:vAlign w:val="center"/>
          </w:tcPr>
          <w:p w14:paraId="351ACFCC">
            <w:pPr>
              <w:rPr>
                <w:rFonts w:hint="eastAsia"/>
              </w:rPr>
            </w:pPr>
          </w:p>
        </w:tc>
        <w:tc>
          <w:tcPr>
            <w:tcW w:w="1680" w:type="dxa"/>
            <w:gridSpan w:val="2"/>
            <w:tcBorders>
              <w:top w:val="nil"/>
              <w:left w:val="nil"/>
              <w:bottom w:val="nil"/>
              <w:right w:val="nil"/>
            </w:tcBorders>
            <w:shd w:val="clear" w:color="auto" w:fill="auto"/>
            <w:noWrap/>
            <w:vAlign w:val="center"/>
          </w:tcPr>
          <w:p w14:paraId="5598E6BF">
            <w:pPr>
              <w:pageBreakBefore w:val="0"/>
              <w:topLinePunct w:val="0"/>
              <w:bidi w:val="0"/>
              <w:spacing w:line="500" w:lineRule="exact"/>
              <w:jc w:val="both"/>
              <w:rPr>
                <w:rFonts w:hint="eastAsia" w:ascii="宋体" w:hAnsi="宋体" w:eastAsia="宋体" w:cs="宋体"/>
                <w:i w:val="0"/>
                <w:iCs w:val="0"/>
                <w:color w:val="auto"/>
                <w:sz w:val="20"/>
                <w:szCs w:val="20"/>
                <w:u w:val="none"/>
              </w:rPr>
            </w:pPr>
          </w:p>
        </w:tc>
      </w:tr>
    </w:tbl>
    <w:p w14:paraId="6550574A">
      <w:pPr>
        <w:rPr>
          <w:rFonts w:hint="eastAsia"/>
          <w:lang w:val="en-US" w:eastAsia="zh-CN"/>
        </w:rPr>
      </w:pPr>
    </w:p>
    <w:sectPr>
      <w:footerReference r:id="rId3" w:type="default"/>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08E9A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hyphenationZone w:val="36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jZGNlNTJlMzllMWZjMzVjYWJjOTUyZTU5MDI5ZTAifQ=="/>
  </w:docVars>
  <w:rsids>
    <w:rsidRoot w:val="00000000"/>
    <w:rsid w:val="03DD7F34"/>
    <w:rsid w:val="048E29D8"/>
    <w:rsid w:val="0C030649"/>
    <w:rsid w:val="11F272A1"/>
    <w:rsid w:val="15BF6AD1"/>
    <w:rsid w:val="1A5D684E"/>
    <w:rsid w:val="1BF91BD9"/>
    <w:rsid w:val="22010EB4"/>
    <w:rsid w:val="2B2C5229"/>
    <w:rsid w:val="2B7663F5"/>
    <w:rsid w:val="2D2F2B5A"/>
    <w:rsid w:val="33693B1D"/>
    <w:rsid w:val="33711D14"/>
    <w:rsid w:val="3667350A"/>
    <w:rsid w:val="38107BD1"/>
    <w:rsid w:val="3DCE20C0"/>
    <w:rsid w:val="3E0C6C7E"/>
    <w:rsid w:val="4335654F"/>
    <w:rsid w:val="4BFB5DA8"/>
    <w:rsid w:val="4ECC264C"/>
    <w:rsid w:val="52173BDE"/>
    <w:rsid w:val="5F4C0C3F"/>
    <w:rsid w:val="64F94F96"/>
    <w:rsid w:val="6CE4695B"/>
    <w:rsid w:val="6E0179DF"/>
    <w:rsid w:val="7F9E3A6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7">
    <w:name w:val="heading 1"/>
    <w:basedOn w:val="1"/>
    <w:next w:val="1"/>
    <w:qFormat/>
    <w:uiPriority w:val="0"/>
    <w:pPr>
      <w:keepNext/>
      <w:keepLines/>
      <w:spacing w:before="340" w:after="330" w:line="576" w:lineRule="auto"/>
      <w:outlineLvl w:val="0"/>
    </w:pPr>
    <w:rPr>
      <w:b/>
      <w:kern w:val="44"/>
      <w:sz w:val="32"/>
      <w:szCs w:val="20"/>
    </w:rPr>
  </w:style>
  <w:style w:type="paragraph" w:styleId="8">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0"/>
    <w:pPr>
      <w:autoSpaceDE/>
      <w:autoSpaceDN/>
      <w:spacing w:line="240" w:lineRule="auto"/>
      <w:ind w:firstLine="420"/>
    </w:pPr>
    <w:rPr>
      <w:rFonts w:ascii="Times New Roman" w:hAnsi="Times New Roman"/>
      <w:sz w:val="21"/>
      <w:szCs w:val="21"/>
    </w:rPr>
  </w:style>
  <w:style w:type="paragraph" w:styleId="3">
    <w:name w:val="Body Text Indent"/>
    <w:basedOn w:val="1"/>
    <w:next w:val="4"/>
    <w:qFormat/>
    <w:uiPriority w:val="0"/>
    <w:pPr>
      <w:ind w:firstLine="630"/>
    </w:pPr>
    <w:rPr>
      <w:sz w:val="32"/>
      <w:szCs w:val="20"/>
    </w:rPr>
  </w:style>
  <w:style w:type="paragraph" w:customStyle="1" w:styleId="4">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5">
    <w:name w:val="Body Text First Indent"/>
    <w:basedOn w:val="6"/>
    <w:next w:val="1"/>
    <w:unhideWhenUsed/>
    <w:qFormat/>
    <w:uiPriority w:val="0"/>
    <w:pPr>
      <w:spacing w:after="0" w:line="400" w:lineRule="atLeast"/>
      <w:ind w:firstLine="426"/>
    </w:pPr>
    <w:rPr>
      <w:color w:val="993300"/>
      <w:sz w:val="24"/>
      <w:szCs w:val="24"/>
    </w:rPr>
  </w:style>
  <w:style w:type="paragraph" w:styleId="6">
    <w:name w:val="Body Text"/>
    <w:basedOn w:val="1"/>
    <w:next w:val="1"/>
    <w:qFormat/>
    <w:uiPriority w:val="0"/>
    <w:pPr>
      <w:spacing w:after="120"/>
    </w:pPr>
    <w:rPr>
      <w:rFonts w:ascii="Times New Roman" w:hAnsi="Times New Roman" w:eastAsia="宋体" w:cs="Times New Roman"/>
    </w:rPr>
  </w:style>
  <w:style w:type="paragraph" w:styleId="9">
    <w:name w:val="index 8"/>
    <w:basedOn w:val="1"/>
    <w:next w:val="1"/>
    <w:qFormat/>
    <w:uiPriority w:val="0"/>
    <w:pPr>
      <w:widowControl/>
      <w:overflowPunct w:val="0"/>
      <w:autoSpaceDE w:val="0"/>
      <w:autoSpaceDN w:val="0"/>
      <w:adjustRightInd w:val="0"/>
      <w:ind w:left="1400" w:leftChars="1400"/>
      <w:textAlignment w:val="baseline"/>
    </w:pPr>
    <w:rPr>
      <w:kern w:val="0"/>
      <w:szCs w:val="20"/>
    </w:rPr>
  </w:style>
  <w:style w:type="paragraph" w:styleId="10">
    <w:name w:val="Normal Indent"/>
    <w:basedOn w:val="1"/>
    <w:qFormat/>
    <w:uiPriority w:val="0"/>
    <w:pPr>
      <w:ind w:firstLine="420"/>
    </w:pPr>
    <w:rPr>
      <w:szCs w:val="20"/>
    </w:rPr>
  </w:style>
  <w:style w:type="paragraph" w:styleId="11">
    <w:name w:val="Plain Text"/>
    <w:basedOn w:val="1"/>
    <w:qFormat/>
    <w:uiPriority w:val="0"/>
    <w:rPr>
      <w:rFonts w:ascii="宋体" w:hAnsi="Courier New" w:cs="Courier New"/>
      <w:szCs w:val="21"/>
    </w:rPr>
  </w:style>
  <w:style w:type="paragraph" w:styleId="12">
    <w:name w:val="footer"/>
    <w:basedOn w:val="1"/>
    <w:qFormat/>
    <w:uiPriority w:val="99"/>
    <w:pPr>
      <w:tabs>
        <w:tab w:val="center" w:pos="4153"/>
        <w:tab w:val="right" w:pos="8306"/>
      </w:tabs>
      <w:snapToGrid w:val="0"/>
      <w:jc w:val="left"/>
    </w:pPr>
    <w:rPr>
      <w:sz w:val="18"/>
    </w:rPr>
  </w:style>
  <w:style w:type="paragraph" w:styleId="1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unhideWhenUsed/>
    <w:qFormat/>
    <w:uiPriority w:val="39"/>
  </w:style>
  <w:style w:type="paragraph" w:styleId="1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8">
    <w:name w:val="Strong"/>
    <w:qFormat/>
    <w:uiPriority w:val="0"/>
    <w:rPr>
      <w:b/>
      <w:bCs/>
    </w:rPr>
  </w:style>
  <w:style w:type="character" w:styleId="19">
    <w:name w:val="Hyperlink"/>
    <w:qFormat/>
    <w:uiPriority w:val="0"/>
    <w:rPr>
      <w:color w:val="136EC2"/>
      <w:u w:val="single"/>
    </w:rPr>
  </w:style>
  <w:style w:type="character" w:customStyle="1" w:styleId="20">
    <w:name w:val="NormalCharacter"/>
    <w:qFormat/>
    <w:uiPriority w:val="0"/>
  </w:style>
  <w:style w:type="paragraph" w:customStyle="1" w:styleId="21">
    <w:name w:val="样式 首行缩进:  2 字符"/>
    <w:basedOn w:val="1"/>
    <w:qFormat/>
    <w:uiPriority w:val="0"/>
    <w:pPr>
      <w:spacing w:line="400" w:lineRule="exact"/>
      <w:ind w:firstLine="200" w:firstLineChars="200"/>
    </w:pPr>
    <w:rPr>
      <w:rFonts w:cs="宋体"/>
      <w:sz w:val="24"/>
    </w:rPr>
  </w:style>
  <w:style w:type="paragraph" w:customStyle="1" w:styleId="22">
    <w:name w:val="表头1"/>
    <w:basedOn w:val="1"/>
    <w:qFormat/>
    <w:uiPriority w:val="0"/>
    <w:pPr>
      <w:spacing w:after="156" w:line="360" w:lineRule="auto"/>
      <w:jc w:val="center"/>
    </w:pPr>
    <w:rPr>
      <w:rFonts w:ascii="宋体" w:hAnsi="宋体" w:cs="宋体"/>
      <w:b/>
      <w:bCs/>
      <w:sz w:val="24"/>
      <w:szCs w:val="20"/>
    </w:rPr>
  </w:style>
  <w:style w:type="paragraph" w:customStyle="1" w:styleId="23">
    <w:name w:val="09正文_wh"/>
    <w:basedOn w:val="1"/>
    <w:qFormat/>
    <w:uiPriority w:val="0"/>
    <w:pPr>
      <w:widowControl/>
      <w:spacing w:line="300" w:lineRule="auto"/>
      <w:ind w:firstLine="200" w:firstLineChars="200"/>
    </w:pPr>
    <w:rPr>
      <w:rFonts w:ascii="Times New Roman" w:hAnsi="Times New Roman" w:eastAsia="宋体" w:cs="Times New Roman"/>
      <w:kern w:val="0"/>
      <w:sz w:val="28"/>
      <w:szCs w:val="22"/>
    </w:rPr>
  </w:style>
  <w:style w:type="paragraph" w:customStyle="1" w:styleId="2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1782</Words>
  <Characters>1810</Characters>
  <Lines>0</Lines>
  <Paragraphs>0</Paragraphs>
  <TotalTime>4</TotalTime>
  <ScaleCrop>false</ScaleCrop>
  <LinksUpToDate>false</LinksUpToDate>
  <CharactersWithSpaces>1881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2024-09-02T06:32:00Z</dcterms:created>
  <dc:creator>ZM</dc:creator>
  <cp:lastModifiedBy>Hanson 汉森</cp:lastModifiedBy>
  <dcterms:modified xsi:type="dcterms:W3CDTF">2024-12-24T07:26:50Z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76C1B116D37F423B8C5A3B21E67A2572_13</vt:lpwstr>
  </property>
</Properties>
</file>