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席王派出所房屋修缮项目</w:t>
      </w:r>
    </w:p>
    <w:p>
      <w:pPr>
        <w:pStyle w:val="null3"/>
        <w:jc w:val="center"/>
        <w:outlineLvl w:val="2"/>
      </w:pPr>
      <w:r>
        <w:rPr>
          <w:b/>
          <w:sz w:val="28"/>
        </w:rPr>
        <w:t>采购项目编号：</w:t>
      </w:r>
      <w:r>
        <w:rPr>
          <w:b/>
          <w:sz w:val="28"/>
        </w:rPr>
        <w:t>ZLDL-2024102</w:t>
      </w:r>
      <w:r>
        <w:br/>
      </w:r>
      <w:r>
        <w:br/>
      </w:r>
      <w:r>
        <w:br/>
      </w:r>
    </w:p>
    <w:p>
      <w:pPr>
        <w:pStyle w:val="null3"/>
        <w:jc w:val="center"/>
        <w:outlineLvl w:val="2"/>
      </w:pPr>
      <w:r>
        <w:rPr>
          <w:b/>
          <w:sz w:val="28"/>
        </w:rPr>
        <w:t>西安市公安局灞桥分局</w:t>
      </w:r>
    </w:p>
    <w:p>
      <w:pPr>
        <w:pStyle w:val="null3"/>
        <w:jc w:val="center"/>
        <w:outlineLvl w:val="2"/>
      </w:pPr>
      <w:r>
        <w:rPr>
          <w:b/>
          <w:sz w:val="28"/>
        </w:rPr>
        <w:t>陕西中珞工程项目管理有限公司</w:t>
      </w:r>
      <w:r>
        <w:rPr>
          <w:b/>
          <w:sz w:val="28"/>
        </w:rPr>
        <w:t>共同编制</w:t>
      </w:r>
    </w:p>
    <w:p>
      <w:pPr>
        <w:pStyle w:val="null3"/>
        <w:jc w:val="center"/>
        <w:outlineLvl w:val="2"/>
      </w:pPr>
      <w:r>
        <w:rPr>
          <w:b/>
          <w:sz w:val="28"/>
        </w:rPr>
        <w:t>2024年03月28日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陕西中珞工程项目管理有限公司</w:t>
      </w:r>
      <w:r>
        <w:rPr/>
        <w:t>（以下简称“代理机构”）受</w:t>
      </w:r>
      <w:r>
        <w:rPr/>
        <w:t>西安市公安局灞桥分局</w:t>
      </w:r>
      <w:r>
        <w:rPr/>
        <w:t>委托，拟对</w:t>
      </w:r>
      <w:r>
        <w:rPr/>
        <w:t>席王派出所房屋修缮项目</w:t>
      </w:r>
      <w:r>
        <w:rPr/>
        <w:t>采用竞争性磋商采购方式进行采购，兹邀请供应商参加本项目的竞争性磋商。</w:t>
      </w:r>
    </w:p>
    <w:p>
      <w:pPr>
        <w:pStyle w:val="null3"/>
        <w:outlineLvl w:val="2"/>
      </w:pPr>
      <w:r>
        <w:rPr>
          <w:b/>
          <w:sz w:val="28"/>
        </w:rPr>
        <w:t>一、采购项目编号：</w:t>
      </w:r>
      <w:r>
        <w:rPr>
          <w:b/>
          <w:sz w:val="28"/>
        </w:rPr>
        <w:t>ZLDL-2024102</w:t>
      </w:r>
    </w:p>
    <w:p>
      <w:pPr>
        <w:pStyle w:val="null3"/>
        <w:outlineLvl w:val="2"/>
      </w:pPr>
      <w:r>
        <w:rPr>
          <w:b/>
          <w:sz w:val="28"/>
        </w:rPr>
        <w:t>二、采购项目名称：</w:t>
      </w:r>
      <w:r>
        <w:rPr>
          <w:b/>
          <w:sz w:val="28"/>
        </w:rPr>
        <w:t>席王派出所房屋修缮项目</w:t>
      </w:r>
    </w:p>
    <w:p>
      <w:pPr>
        <w:pStyle w:val="null3"/>
        <w:outlineLvl w:val="2"/>
      </w:pPr>
      <w:r>
        <w:rPr>
          <w:b/>
          <w:sz w:val="28"/>
        </w:rPr>
        <w:t>三、磋商项目简介</w:t>
      </w:r>
    </w:p>
    <w:p>
      <w:pPr>
        <w:pStyle w:val="null3"/>
        <w:ind w:firstLine="480"/>
      </w:pPr>
      <w:r>
        <w:rPr/>
        <w:t>本项目主要对席王派出所办公室、卫生间、淋浴间、阅览室、健身房、办案区及过道等区域实施修缮改造。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采购包1（席王派出所房屋修缮项目）：属于专门面向中小企业采购。</w:t>
      </w:r>
    </w:p>
    <w:p>
      <w:pPr>
        <w:pStyle w:val="null3"/>
        <w:ind w:firstLine="480"/>
      </w:pPr>
      <w:r>
        <w:rPr/>
        <w:t>（三）本项目的特定资格要求：</w:t>
      </w:r>
    </w:p>
    <w:p>
      <w:pPr>
        <w:pStyle w:val="null3"/>
      </w:pPr>
      <w:r>
        <w:rPr/>
        <w:t>采购包1：</w:t>
      </w:r>
    </w:p>
    <w:p>
      <w:pPr>
        <w:pStyle w:val="null3"/>
      </w:pPr>
      <w:r>
        <w:rPr/>
        <w:t>1、营业执照：供应商应为具有独立承担民事责任能力的法人、其他组织或自然人，并出具合法有效的营业执照或事业单位法人证书等国家规定的相关证明，自然人参与的应提供合法登记证明文件；</w:t>
      </w:r>
    </w:p>
    <w:p>
      <w:pPr>
        <w:pStyle w:val="null3"/>
      </w:pPr>
      <w:r>
        <w:rPr/>
        <w:t>2、身份证明：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p>
      <w:pPr>
        <w:pStyle w:val="null3"/>
      </w:pPr>
      <w:r>
        <w:rPr/>
        <w:t>3、社会保障资金缴纳证明：提供供应商2023年1月1日以来至少一个月已缴纳的社会保障资金缴存单据或社保机构开具的社会保险参保缴费情况证明；依法不需要缴纳社会保障资金的供应商应提供加盖公章的相关证明文件</w:t>
      </w:r>
    </w:p>
    <w:p>
      <w:pPr>
        <w:pStyle w:val="null3"/>
      </w:pPr>
      <w:r>
        <w:rPr/>
        <w:t>4、税收缴纳证明：提供供应商2023年1月1日以来至少一个月已缴纳的增值税纳税证明或完税证明，依法免税的供应商应提供加盖公章的相关证明文件</w:t>
      </w:r>
    </w:p>
    <w:p>
      <w:pPr>
        <w:pStyle w:val="null3"/>
      </w:pPr>
      <w:r>
        <w:rPr/>
        <w:t>5、履约能力：具备履行合同所必需的设备和专业技术能力的证明材料(由供应商根据项目需求提供说明材料或者承诺)；</w:t>
      </w:r>
    </w:p>
    <w:p>
      <w:pPr>
        <w:pStyle w:val="null3"/>
      </w:pPr>
      <w:r>
        <w:rPr/>
        <w:t>6、企业资质：供应商须具备建设行政主管部门颁发的建筑工程施工总承包三级(含三级) 及以上资质或建筑装修装饰工程专业承包二级及以上资质并具有有效的安全生产许可证；</w:t>
      </w:r>
    </w:p>
    <w:p>
      <w:pPr>
        <w:pStyle w:val="null3"/>
      </w:pPr>
      <w:r>
        <w:rPr/>
        <w:t>7、拟派项目经理：拟派项目经理须具备建筑工程专业二级(含二级) 及以上注册建造师证书，具备有效的安全生产考核合格证书(B证)，且未担任其他在建工程项目的项目经理；</w:t>
      </w:r>
    </w:p>
    <w:p>
      <w:pPr>
        <w:pStyle w:val="null3"/>
      </w:pPr>
      <w:r>
        <w:rPr/>
        <w:t>8、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pPr>
        <w:pStyle w:val="null3"/>
      </w:pPr>
      <w:r>
        <w:rPr/>
        <w:t>9、非联合体声明：本项目不接受联合体投标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西安市公安局灞桥分局</w:t>
      </w:r>
    </w:p>
    <w:p>
      <w:pPr>
        <w:pStyle w:val="null3"/>
      </w:pPr>
      <w:r>
        <w:rPr/>
        <w:t xml:space="preserve"> 地址： </w:t>
      </w:r>
      <w:r>
        <w:rPr/>
        <w:t>西安市灞桥区纺一路23号</w:t>
      </w:r>
    </w:p>
    <w:p>
      <w:pPr>
        <w:pStyle w:val="null3"/>
      </w:pPr>
      <w:r>
        <w:rPr/>
        <w:t xml:space="preserve"> 邮编： </w:t>
      </w:r>
      <w:r>
        <w:rPr/>
        <w:t>710038</w:t>
      </w:r>
    </w:p>
    <w:p>
      <w:pPr>
        <w:pStyle w:val="null3"/>
      </w:pPr>
      <w:r>
        <w:rPr/>
        <w:t xml:space="preserve"> 联系人： </w:t>
      </w:r>
      <w:r>
        <w:rPr/>
        <w:t>孙工</w:t>
      </w:r>
    </w:p>
    <w:p>
      <w:pPr>
        <w:pStyle w:val="null3"/>
      </w:pPr>
      <w:r>
        <w:rPr/>
        <w:t xml:space="preserve"> 联系电话： </w:t>
      </w:r>
      <w:r>
        <w:rPr/>
        <w:t>029-86758055</w:t>
      </w:r>
    </w:p>
    <w:p>
      <w:pPr>
        <w:pStyle w:val="null3"/>
        <w:outlineLvl w:val="3"/>
      </w:pPr>
      <w:r>
        <w:rPr>
          <w:b/>
          <w:sz w:val="24"/>
        </w:rPr>
        <w:t>代理机构：</w:t>
      </w:r>
      <w:r>
        <w:rPr>
          <w:b/>
          <w:sz w:val="24"/>
        </w:rPr>
        <w:t>陕西中珞工程项目管理有限公司</w:t>
      </w:r>
    </w:p>
    <w:p>
      <w:pPr>
        <w:pStyle w:val="null3"/>
      </w:pPr>
      <w:r>
        <w:rPr/>
        <w:t xml:space="preserve"> 地址： </w:t>
      </w:r>
      <w:r>
        <w:rPr/>
        <w:t>西安市雁塔区太白南路139号荣禾云图中心1411室</w:t>
      </w:r>
    </w:p>
    <w:p>
      <w:pPr>
        <w:pStyle w:val="null3"/>
      </w:pPr>
      <w:r>
        <w:rPr/>
        <w:t xml:space="preserve"> 邮编： </w:t>
      </w:r>
      <w:r>
        <w:rPr/>
        <w:t>710065</w:t>
      </w:r>
    </w:p>
    <w:p>
      <w:pPr>
        <w:pStyle w:val="null3"/>
      </w:pPr>
      <w:r>
        <w:rPr/>
        <w:t xml:space="preserve"> 联系人： </w:t>
      </w:r>
      <w:r>
        <w:rPr/>
        <w:t>卞兴前、马宁</w:t>
      </w:r>
    </w:p>
    <w:p>
      <w:pPr>
        <w:pStyle w:val="null3"/>
      </w:pPr>
      <w:r>
        <w:rPr/>
        <w:t xml:space="preserve"> 联系电话： </w:t>
      </w:r>
      <w:r>
        <w:rPr/>
        <w:t>029-89198908-8001</w:t>
      </w:r>
    </w:p>
    <w:p>
      <w:pPr>
        <w:pStyle w:val="null3"/>
        <w:outlineLvl w:val="3"/>
      </w:pPr>
      <w:r>
        <w:rPr>
          <w:b/>
          <w:sz w:val="24"/>
        </w:rPr>
        <w:t>采购监督机构：</w:t>
      </w:r>
      <w:r>
        <w:rPr>
          <w:b/>
          <w:sz w:val="24"/>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代理服务费收费标准：1、采购人与采购代理机构约定，由成交单位支付招标代理服务费，成交单位在领取《成交通知书》之前，应向采购代理机构交纳招标代理服务费。 2、招标代理服务费参照按国家发展改革委发布的《关于进一步放开建设项目专业服务价格的通知》(发改价格 (2015) 299 号) 计取，计算方法参照原国家计委颁布的《招标代理服务收费管理暂行办法》(计价格[2002]1980 号)标准计取。具体收费金额将在中标公告中公布。 3、招标代理服务费，成交单位可以采取现金或者支票、银行汇票、电汇、网银等金融机构转账方式交纳。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西安市公安局灞桥分局</w:t>
      </w:r>
      <w:r>
        <w:rPr/>
        <w:t>和</w:t>
      </w:r>
      <w:r>
        <w:rPr/>
        <w:t>陕西中珞工程项目管理有限公司</w:t>
      </w:r>
      <w:r>
        <w:rPr/>
        <w:t>享有。对磋商文件中供应商参加本次政府采购活动应当具备的条件，磋商项目技术、服务、商务及其他要求，评审细则及标准由</w:t>
      </w:r>
      <w:r>
        <w:rPr/>
        <w:t>西安市公安局灞桥分局</w:t>
      </w:r>
      <w:r>
        <w:rPr/>
        <w:t>负责解释。除上述磋商文件内容，其他内容由</w:t>
      </w:r>
      <w:r>
        <w:rPr/>
        <w:t>陕西中珞工程项目管理有限公司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西安市公安局灞桥分局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陕西中珞工程项目管理有限公司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一、交付竣工验收的工程，必须达到国家施工验收规范合格标准和西安市有关质量标准和要求。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陕西中珞工程项目管理有限公司</w:t>
      </w:r>
      <w:r>
        <w:rPr/>
        <w:t xml:space="preserve"> 负责答复；供应商对采购过程的询问、质疑由</w:t>
      </w:r>
      <w:r>
        <w:rPr/>
        <w:t>陕西中珞工程项目管理有限公司</w:t>
      </w:r>
      <w:r>
        <w:rPr/>
        <w:t xml:space="preserve"> 负责答复；供应商对采购结果的询问、质疑由 </w:t>
      </w:r>
      <w:r>
        <w:rPr/>
        <w:t>陕西中珞工程项目管理有限公司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联系人：马宁</w:t>
      </w:r>
    </w:p>
    <w:p>
      <w:pPr>
        <w:pStyle w:val="null3"/>
      </w:pPr>
      <w:r>
        <w:rPr/>
        <w:t>联系电话：029-89198908--8001</w:t>
      </w:r>
    </w:p>
    <w:p>
      <w:pPr>
        <w:pStyle w:val="null3"/>
      </w:pPr>
      <w:r>
        <w:rPr/>
        <w:t>地址：西安市雁塔区太白南路139号荣禾云图中心1411室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1,450,000.00</w:t>
      </w:r>
    </w:p>
    <w:p>
      <w:pPr>
        <w:pStyle w:val="null3"/>
      </w:pPr>
      <w:r>
        <w:rPr/>
        <w:t>采购包最高限价（元）: 1,450,000.00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1450000.00</w:t>
            </w:r>
          </w:p>
        </w:tc>
        <w:tc>
          <w:tcPr>
            <w:tcW w:type="dxa" w:w="1384"/>
          </w:tcPr>
          <w:p>
            <w:pPr>
              <w:pStyle w:val="null3"/>
              <w:jc w:val="right"/>
            </w:pPr>
            <w:r>
              <w:rPr/>
              <w:t>1.00</w:t>
            </w:r>
          </w:p>
        </w:tc>
        <w:tc>
          <w:tcPr>
            <w:tcW w:type="dxa" w:w="1384"/>
          </w:tcPr>
          <w:p>
            <w:pPr>
              <w:pStyle w:val="null3"/>
              <w:jc w:val="right"/>
            </w:pPr>
            <w:r>
              <w:rPr/>
              <w:t>1,450,000.00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标的名称：1450000.00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一、采购内容</w:t>
            </w:r>
            <w:r>
              <w:br/>
            </w:r>
            <w:r>
              <w:rPr/>
              <w:t xml:space="preserve"> 本项目为席王派出所房屋修缮项目。主要对席王派出所办公室、卫生间、淋浴间、阅览室、健身房、办案区及过道等区域实施修缮改造。</w:t>
            </w:r>
            <w:r>
              <w:br/>
            </w:r>
            <w:r>
              <w:rPr/>
              <w:t xml:space="preserve"> 二、商务要求</w:t>
            </w:r>
            <w:r>
              <w:br/>
            </w:r>
            <w:r>
              <w:rPr/>
              <w:t xml:space="preserve"> （1）工程地点：西安市灞桥区席王派出所</w:t>
            </w:r>
            <w:r>
              <w:br/>
            </w:r>
            <w:r>
              <w:rPr/>
              <w:t xml:space="preserve"> （2）计划工期：自合同签订后 60 日历天内完工。</w:t>
            </w:r>
            <w:r>
              <w:br/>
            </w:r>
            <w:r>
              <w:rPr/>
              <w:t xml:space="preserve"> （3）缺陷责任期：不超过2年。</w:t>
            </w:r>
            <w:r>
              <w:br/>
            </w:r>
            <w:r>
              <w:rPr/>
              <w:t xml:space="preserve"> （4）质量保修期：2年。</w:t>
            </w:r>
            <w:r>
              <w:br/>
            </w:r>
            <w:r>
              <w:rPr/>
              <w:t xml:space="preserve"> （5）竞争性磋商有效期：自磋商之日起90日历天。</w:t>
            </w:r>
          </w:p>
          <w:p>
            <w:pPr>
              <w:pStyle w:val="null3"/>
            </w:pPr>
            <w:r>
              <w:rPr/>
              <w:t>三、结算方式：</w:t>
            </w:r>
            <w:r>
              <w:br/>
            </w:r>
            <w:r>
              <w:rPr/>
              <w:t xml:space="preserve"> （1）合同签订后20个工作日内支付合同总价款40%作为预付款；</w:t>
            </w:r>
            <w:r>
              <w:br/>
            </w:r>
            <w:r>
              <w:rPr/>
              <w:t xml:space="preserve"> （2）合同期限届满，工程竣工，经甲方验收合格及结算审定后15个工作日内，甲方凭乙方开具的增值税发票按结算审定结果向乙方支付剩余价款。</w:t>
            </w:r>
            <w:r>
              <w:br/>
            </w:r>
            <w:r>
              <w:rPr/>
              <w:t xml:space="preserve">  结算单位：西安市公安局灞桥分局。有关部门验收合格后，供应商凭政府采购验收单、合同、成交通知书及发票原件到相关部门办理结算手续。</w:t>
            </w:r>
          </w:p>
          <w:p>
            <w:pPr>
              <w:pStyle w:val="null3"/>
            </w:pPr>
            <w:r>
              <w:rPr/>
              <w:t>四、施工要求：</w:t>
            </w:r>
            <w:r>
              <w:br/>
            </w:r>
            <w:r>
              <w:rPr/>
              <w:t xml:space="preserve"> 在施工期间，成交供应商必须注意施工人员安全，加强安全措施，并对施工人员进行安全教育。施工人员必须持证上岗。</w:t>
            </w:r>
          </w:p>
          <w:p>
            <w:pPr>
              <w:pStyle w:val="null3"/>
            </w:pPr>
            <w:r>
              <w:rPr/>
              <w:t>五、装修改造工程3暂列金额为：30000.00元（详见附件）工程量清单及电子招标书。</w:t>
            </w:r>
          </w:p>
          <w:p>
            <w:pPr>
              <w:pStyle w:val="null3"/>
            </w:pPr>
            <w:r>
              <w:rPr/>
              <w:t>工程量清单另附（详见附件）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达到国家施工验收规范合格标准和西安市有关质量标准和要求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1、具体参数与要求详见附件 2、开标结束后三日内，成交单位提供两套纸质版投标文件，与电子上传文件一致，加盖公章，送至代理公司，地址：西安市雁塔区太白南路139号荣禾云图中心1411室 电话：029-89198908-8001</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2022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供应商应为具有独立承担民事责任能力的法人、其他组织或自然人，并出具合法有效的营业执照或事业单位法人证书等国家规定的相关证明，自然人参与的应提供合法登记证明文件；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提供供应商2023年1月1日以来至少一个月已缴纳的社会保障资金缴存单据或社保机构开具的社会保险参保缴费情况证明；依法不需要缴纳社会保障资金的供应商应提供加盖公章的相关证明文件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提供供应商2023年1月1日以来至少一个月已缴纳的增值税纳税证明或完税证明，依法免税的供应商应提供加盖公章的相关证明文件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履约能力</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企业资质</w:t>
            </w:r>
          </w:p>
        </w:tc>
        <w:tc>
          <w:tcPr>
            <w:tcW w:type="dxa" w:w="3322"/>
          </w:tcPr>
          <w:p>
            <w:pPr>
              <w:pStyle w:val="null3"/>
            </w:pPr>
            <w:r>
              <w:rPr/>
              <w:t>供应商须具备建设行政主管部门颁发的建筑工程施工总承包三级(含三级) 及以上资质或建筑装修装饰工程专业承包二级及以上资质并具有有效的安全生产许可证；</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拟派项目经理</w:t>
            </w:r>
          </w:p>
        </w:tc>
        <w:tc>
          <w:tcPr>
            <w:tcW w:type="dxa" w:w="3322"/>
          </w:tcPr>
          <w:p>
            <w:pPr>
              <w:pStyle w:val="null3"/>
            </w:pPr>
            <w:r>
              <w:rPr/>
              <w:t>拟派项目经理须具备建筑工程专业二级(含二级) 及以上注册建造师证书，具备有效的安全生产考核合格证书(B证)，且未担任其他在建工程项目的项目经理；</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企业信誉</w:t>
            </w:r>
          </w:p>
        </w:tc>
        <w:tc>
          <w:tcPr>
            <w:tcW w:type="dxa" w:w="3322"/>
          </w:tcPr>
          <w:p>
            <w:pPr>
              <w:pStyle w:val="null3"/>
            </w:pPr>
            <w:r>
              <w:rPr/>
              <w:t>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与营业执照、资质证书、安全生产许可证一致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竞争性磋商响应函签字盖章</w:t>
            </w:r>
          </w:p>
        </w:tc>
        <w:tc>
          <w:tcPr>
            <w:tcW w:type="dxa" w:w="3322"/>
          </w:tcPr>
          <w:p>
            <w:pPr>
              <w:pStyle w:val="null3"/>
            </w:pPr>
            <w:r>
              <w:rPr/>
              <w:t>有法定代表人或委托代理人签字(或盖章)并加盖单位章</w:t>
            </w:r>
          </w:p>
        </w:tc>
        <w:tc>
          <w:tcPr>
            <w:tcW w:type="dxa" w:w="1661"/>
          </w:tcPr>
          <w:p>
            <w:pPr>
              <w:pStyle w:val="null3"/>
            </w:pPr>
            <w:r>
              <w:rPr/>
              <w:t>商务合同主要条款偏离表 技术服务主要要求偏离表 施工组织设计 已标价工程量清单 供应商认为需要提供的其他资料 中小企业声明函 陕西省政府供应商拒绝政府采购领域商业贿赂承诺书 响应文件封面 资格证明文件 磋商报价一览表 残疾人福利性单位声明函 报价函 企业实力情况说明 标的清单 响应函 近年业绩的有关证明材料 监狱企业的证明文件</w:t>
            </w:r>
          </w:p>
        </w:tc>
      </w:tr>
      <w:tr>
        <w:tc>
          <w:tcPr>
            <w:tcW w:type="dxa" w:w="831"/>
          </w:tcPr>
          <w:p>
            <w:pPr>
              <w:pStyle w:val="null3"/>
            </w:pPr>
            <w:r>
              <w:rPr/>
              <w:t>4</w:t>
            </w:r>
          </w:p>
        </w:tc>
        <w:tc>
          <w:tcPr>
            <w:tcW w:type="dxa" w:w="2492"/>
          </w:tcPr>
          <w:p>
            <w:pPr>
              <w:pStyle w:val="null3"/>
            </w:pPr>
            <w:r>
              <w:rPr/>
              <w:t>竞争性磋商响应文件格式</w:t>
            </w:r>
          </w:p>
        </w:tc>
        <w:tc>
          <w:tcPr>
            <w:tcW w:type="dxa" w:w="3322"/>
          </w:tcPr>
          <w:p>
            <w:pPr>
              <w:pStyle w:val="null3"/>
            </w:pPr>
            <w:r>
              <w:rPr/>
              <w:t>符合竞争性磋商响应文件格式的要求</w:t>
            </w:r>
          </w:p>
        </w:tc>
        <w:tc>
          <w:tcPr>
            <w:tcW w:type="dxa" w:w="1661"/>
          </w:tcPr>
          <w:p>
            <w:pPr>
              <w:pStyle w:val="null3"/>
            </w:pPr>
            <w:r>
              <w:rPr/>
              <w:t>商务合同主要条款偏离表 技术服务主要要求偏离表 施工组织设计 已标价工程量清单 供应商认为需要提供的其他资料 中小企业声明函 陕西省政府供应商拒绝政府采购领域商业贿赂承诺书 响应文件封面 资格证明文件 磋商报价一览表 残疾人福利性单位声明函 报价函 企业实力情况说明 标的清单 响应函 近年业绩的有关证明材料 监狱企业的证明文件</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磋商报价一览表 报价函 标的清单</w:t>
            </w:r>
          </w:p>
        </w:tc>
      </w:tr>
      <w:tr>
        <w:tc>
          <w:tcPr>
            <w:tcW w:type="dxa" w:w="831"/>
          </w:tcPr>
          <w:p>
            <w:pPr>
              <w:pStyle w:val="null3"/>
            </w:pPr>
            <w:r>
              <w:rPr/>
              <w:t>6</w:t>
            </w:r>
          </w:p>
        </w:tc>
        <w:tc>
          <w:tcPr>
            <w:tcW w:type="dxa" w:w="2492"/>
          </w:tcPr>
          <w:p>
            <w:pPr>
              <w:pStyle w:val="null3"/>
            </w:pPr>
            <w:r>
              <w:rPr/>
              <w:t>计划工期</w:t>
            </w:r>
          </w:p>
        </w:tc>
        <w:tc>
          <w:tcPr>
            <w:tcW w:type="dxa" w:w="3322"/>
          </w:tcPr>
          <w:p>
            <w:pPr>
              <w:pStyle w:val="null3"/>
            </w:pPr>
            <w:r>
              <w:rPr/>
              <w:t>符合磋商文件要求</w:t>
            </w:r>
          </w:p>
        </w:tc>
        <w:tc>
          <w:tcPr>
            <w:tcW w:type="dxa" w:w="1661"/>
          </w:tcPr>
          <w:p>
            <w:pPr>
              <w:pStyle w:val="null3"/>
            </w:pPr>
            <w:r>
              <w:rPr/>
              <w:t>磋商报价一览表 报价函 标的清单 响应函</w:t>
            </w:r>
          </w:p>
        </w:tc>
      </w:tr>
      <w:tr>
        <w:tc>
          <w:tcPr>
            <w:tcW w:type="dxa" w:w="831"/>
          </w:tcPr>
          <w:p>
            <w:pPr>
              <w:pStyle w:val="null3"/>
            </w:pPr>
            <w:r>
              <w:rPr/>
              <w:t>7</w:t>
            </w:r>
          </w:p>
        </w:tc>
        <w:tc>
          <w:tcPr>
            <w:tcW w:type="dxa" w:w="2492"/>
          </w:tcPr>
          <w:p>
            <w:pPr>
              <w:pStyle w:val="null3"/>
            </w:pPr>
            <w:r>
              <w:rPr/>
              <w:t>工程质量及质保期</w:t>
            </w:r>
          </w:p>
        </w:tc>
        <w:tc>
          <w:tcPr>
            <w:tcW w:type="dxa" w:w="3322"/>
          </w:tcPr>
          <w:p>
            <w:pPr>
              <w:pStyle w:val="null3"/>
            </w:pPr>
            <w:r>
              <w:rPr/>
              <w:t>符合磋商文件要求</w:t>
            </w:r>
          </w:p>
        </w:tc>
        <w:tc>
          <w:tcPr>
            <w:tcW w:type="dxa" w:w="1661"/>
          </w:tcPr>
          <w:p>
            <w:pPr>
              <w:pStyle w:val="null3"/>
            </w:pPr>
            <w:r>
              <w:rPr/>
              <w:t>磋商报价一览表 报价函 标的清单 响应函</w:t>
            </w:r>
          </w:p>
        </w:tc>
      </w:tr>
      <w:tr>
        <w:tc>
          <w:tcPr>
            <w:tcW w:type="dxa" w:w="831"/>
          </w:tcPr>
          <w:p>
            <w:pPr>
              <w:pStyle w:val="null3"/>
            </w:pPr>
            <w:r>
              <w:rPr/>
              <w:t>8</w:t>
            </w:r>
          </w:p>
        </w:tc>
        <w:tc>
          <w:tcPr>
            <w:tcW w:type="dxa" w:w="2492"/>
          </w:tcPr>
          <w:p>
            <w:pPr>
              <w:pStyle w:val="null3"/>
            </w:pPr>
            <w:r>
              <w:rPr/>
              <w:t>竞争性磋商有效期</w:t>
            </w:r>
          </w:p>
        </w:tc>
        <w:tc>
          <w:tcPr>
            <w:tcW w:type="dxa" w:w="3322"/>
          </w:tcPr>
          <w:p>
            <w:pPr>
              <w:pStyle w:val="null3"/>
            </w:pPr>
            <w:r>
              <w:rPr/>
              <w:t>符合磋商文件要求</w:t>
            </w:r>
          </w:p>
        </w:tc>
        <w:tc>
          <w:tcPr>
            <w:tcW w:type="dxa" w:w="1661"/>
          </w:tcPr>
          <w:p>
            <w:pPr>
              <w:pStyle w:val="null3"/>
            </w:pPr>
            <w:r>
              <w:rPr/>
              <w:t>响应文件封面 磋商报价一览表 报价函 标的清单 响应函</w:t>
            </w:r>
          </w:p>
        </w:tc>
      </w:tr>
      <w:tr>
        <w:tc>
          <w:tcPr>
            <w:tcW w:type="dxa" w:w="831"/>
          </w:tcPr>
          <w:p>
            <w:pPr>
              <w:pStyle w:val="null3"/>
            </w:pPr>
            <w:r>
              <w:rPr/>
              <w:t>9</w:t>
            </w:r>
          </w:p>
        </w:tc>
        <w:tc>
          <w:tcPr>
            <w:tcW w:type="dxa" w:w="2492"/>
          </w:tcPr>
          <w:p>
            <w:pPr>
              <w:pStyle w:val="null3"/>
            </w:pPr>
            <w:r>
              <w:rPr/>
              <w:t>已标价工程量清单</w:t>
            </w:r>
          </w:p>
        </w:tc>
        <w:tc>
          <w:tcPr>
            <w:tcW w:type="dxa" w:w="3322"/>
          </w:tcPr>
          <w:p>
            <w:pPr>
              <w:pStyle w:val="null3"/>
            </w:pPr>
            <w:r>
              <w:rPr/>
              <w:t>符合磋商文件要求</w:t>
            </w:r>
          </w:p>
        </w:tc>
        <w:tc>
          <w:tcPr>
            <w:tcW w:type="dxa" w:w="1661"/>
          </w:tcPr>
          <w:p>
            <w:pPr>
              <w:pStyle w:val="null3"/>
            </w:pPr>
            <w:r>
              <w:rPr/>
              <w:t>已标价工程量清单</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提供针对本项目的具体实施实施思路、工作计划，充分理解项目需求。 思路清晰、方向明确，工作计划详细、合理，完全满足本项目需求得（10-15]分； 思路基本清晰、方向基本明确，工作计划基本详细、合理，基本满足本项目需求得（5-10]分； 思路表达不清、方向不明确，工作计划合理性一般，部分满足本项目需求得（0-5]分。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提供针对本项目措施方案，包括但不限于对施工进行全过程的质量检查，对施工材料、施工方法及实体质量的措施内容，措施内容合理可行完全符合项目采购需求的得(5-10]分，措施内容合理可行基本满足项目采购需求的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确保安全生产的技术 组织措施</w:t>
            </w:r>
          </w:p>
        </w:tc>
        <w:tc>
          <w:tcPr>
            <w:tcW w:type="dxa" w:w="2492"/>
          </w:tcPr>
          <w:p>
            <w:pPr>
              <w:pStyle w:val="null3"/>
            </w:pPr>
            <w:r>
              <w:rPr/>
              <w:t>提供针对本项目制定的措施方案，包括但不限于安全管理制度、安全教育培训等内容，措施内容有效可行并完全符合项目采购需求的得(5-10]分,措施内容有效可行基本符合项目采购需求的得(0-5]分。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提供针对本项目制定的措施方案，包括但不限于施工准备保证、划分各节点工期,分析确定重点工程工期等内容，措施内容有效可行并完全符合项目采购需求的得(5-10]分,措施内容有效可行基本符合项目采购需求的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项目管理机构与劳动力安排计划</w:t>
            </w:r>
          </w:p>
        </w:tc>
        <w:tc>
          <w:tcPr>
            <w:tcW w:type="dxa" w:w="2492"/>
          </w:tcPr>
          <w:p>
            <w:pPr>
              <w:pStyle w:val="null3"/>
            </w:pPr>
            <w:r>
              <w:rPr/>
              <w:t>项目管理机构业务能力强、管理水平高和具有丰富施工经验，劳动力安排配备合理、分工明确并完全符合项目采购需求的得(5-10]分,基本符合项目采购需求的得(0-5]分。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设备配备和材料投入计划</w:t>
            </w:r>
          </w:p>
        </w:tc>
        <w:tc>
          <w:tcPr>
            <w:tcW w:type="dxa" w:w="2492"/>
          </w:tcPr>
          <w:p>
            <w:pPr>
              <w:pStyle w:val="null3"/>
            </w:pPr>
            <w:r>
              <w:rPr/>
              <w:t>提供针对本项目制定的计划，包括但不限于主要工程材料计划及主要周转材料等内容，计划有效可行并完全符合项目采购需求的得(5-10]分,计划有效可行并部分符合项目采购需求的得(0-5]分。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供应商提供自2021 年 6 月 1 日起至本项目投标文件递交截止时间止，具备类似业绩(提供合同复印件或扫描件)，每一项1分，（以合同签订时间为准），最高得5分。 注：附合同关键页（应包含合同首页、采购内容、金额所在页和签字盖章页及合同签订日期页等）。</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施工组织设计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满足竞争性磋商文件要求且最后报价最低的供应商的价格为磋商基准价，其价格分为满分。其他供应商的价格分统一按照下列公式计算： 磋商报价得分= (磋商基准价/最后磋商报价)×30 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详见附件：磋商报价一览表</w:t>
      </w:r>
    </w:p>
    <w:p>
      <w:pPr>
        <w:pStyle w:val="null3"/>
        <w:ind w:firstLine="960"/>
      </w:pPr>
      <w:r>
        <w:rPr/>
        <w:t>详见附件：资格证明文件</w:t>
      </w:r>
    </w:p>
    <w:p>
      <w:pPr>
        <w:pStyle w:val="null3"/>
        <w:ind w:firstLine="960"/>
      </w:pPr>
      <w:r>
        <w:rPr/>
        <w:t>详见附件：商务合同主要条款偏离表</w:t>
      </w:r>
    </w:p>
    <w:p>
      <w:pPr>
        <w:pStyle w:val="null3"/>
        <w:ind w:firstLine="960"/>
      </w:pPr>
      <w:r>
        <w:rPr/>
        <w:t>详见附件：技术服务主要要求偏离表</w:t>
      </w:r>
    </w:p>
    <w:p>
      <w:pPr>
        <w:pStyle w:val="null3"/>
        <w:ind w:firstLine="960"/>
      </w:pPr>
      <w:r>
        <w:rPr/>
        <w:t>详见附件：施工组织设计</w:t>
      </w:r>
    </w:p>
    <w:p>
      <w:pPr>
        <w:pStyle w:val="null3"/>
        <w:ind w:firstLine="960"/>
      </w:pPr>
      <w:r>
        <w:rPr/>
        <w:t>详见附件：近年业绩的有关证明材料</w:t>
      </w:r>
    </w:p>
    <w:p>
      <w:pPr>
        <w:pStyle w:val="null3"/>
        <w:ind w:firstLine="960"/>
      </w:pPr>
      <w:r>
        <w:rPr/>
        <w:t>详见附件：企业实力情况说明</w:t>
      </w:r>
    </w:p>
    <w:p>
      <w:pPr>
        <w:pStyle w:val="null3"/>
        <w:ind w:firstLine="960"/>
      </w:pPr>
      <w:r>
        <w:rPr/>
        <w:t>详见附件：陕西省政府供应商拒绝政府采购领域商业贿赂承诺书</w:t>
      </w:r>
    </w:p>
    <w:p>
      <w:pPr>
        <w:pStyle w:val="null3"/>
        <w:ind w:firstLine="960"/>
      </w:pPr>
      <w:r>
        <w:rPr/>
        <w:t>详见附件：已标价工程量清单</w:t>
      </w:r>
    </w:p>
    <w:p>
      <w:pPr>
        <w:pStyle w:val="null3"/>
        <w:ind w:firstLine="960"/>
      </w:pPr>
      <w:r>
        <w:rPr/>
        <w:t>详见附件：供应商认为需要提供的其他资料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详见附件：合同条款及合同文件格式.docx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