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2024年林业有害生物防治应急采购项目</w:t>
      </w:r>
    </w:p>
    <w:p>
      <w:pPr>
        <w:pStyle w:val="null3"/>
        <w:jc w:val="center"/>
        <w:outlineLvl w:val="2"/>
      </w:pPr>
      <w:r>
        <w:rPr>
          <w:b/>
          <w:sz w:val="28"/>
        </w:rPr>
        <w:t>采购项目编号：</w:t>
      </w:r>
      <w:r>
        <w:rPr>
          <w:b/>
          <w:sz w:val="28"/>
        </w:rPr>
        <w:t>ZCTH2024-02-008</w:t>
      </w:r>
      <w:r>
        <w:br/>
      </w:r>
      <w:r>
        <w:br/>
      </w:r>
      <w:r>
        <w:br/>
      </w:r>
    </w:p>
    <w:p>
      <w:pPr>
        <w:pStyle w:val="null3"/>
        <w:jc w:val="center"/>
        <w:outlineLvl w:val="2"/>
      </w:pPr>
      <w:r>
        <w:rPr>
          <w:b/>
          <w:sz w:val="28"/>
        </w:rPr>
        <w:t>西安市灞桥区林业管理站</w:t>
      </w:r>
    </w:p>
    <w:p>
      <w:pPr>
        <w:pStyle w:val="null3"/>
        <w:jc w:val="center"/>
        <w:outlineLvl w:val="2"/>
      </w:pPr>
      <w:r>
        <w:rPr>
          <w:b/>
          <w:sz w:val="28"/>
        </w:rPr>
        <w:t>陕西中诚天和项目管理有限公司</w:t>
      </w:r>
      <w:r>
        <w:rPr>
          <w:b/>
          <w:sz w:val="28"/>
        </w:rPr>
        <w:t>共同编制</w:t>
      </w:r>
    </w:p>
    <w:p>
      <w:pPr>
        <w:pStyle w:val="null3"/>
        <w:jc w:val="center"/>
        <w:outlineLvl w:val="2"/>
      </w:pPr>
      <w:r>
        <w:rPr>
          <w:b/>
          <w:sz w:val="28"/>
        </w:rPr>
        <w:t>2024年03月12日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陕西中诚天和项目管理有限公司</w:t>
      </w:r>
      <w:r>
        <w:rPr/>
        <w:t>（以下简称“代理机构”）受</w:t>
      </w:r>
      <w:r>
        <w:rPr/>
        <w:t>西安市灞桥区林业管理站</w:t>
      </w:r>
      <w:r>
        <w:rPr/>
        <w:t>委托，拟对</w:t>
      </w:r>
      <w:r>
        <w:rPr/>
        <w:t>2024年林业有害生物防治应急采购项目</w:t>
      </w:r>
      <w:r>
        <w:rPr/>
        <w:t>采用竞争性磋商采购方式进行采购，兹邀请供应商参加本项目的竞争性磋商。</w:t>
      </w:r>
    </w:p>
    <w:p>
      <w:pPr>
        <w:pStyle w:val="null3"/>
        <w:outlineLvl w:val="2"/>
      </w:pPr>
      <w:r>
        <w:rPr>
          <w:b/>
          <w:sz w:val="28"/>
        </w:rPr>
        <w:t>一、项目编号：</w:t>
      </w:r>
      <w:r>
        <w:rPr>
          <w:b/>
          <w:sz w:val="28"/>
        </w:rPr>
        <w:t>ZCTH2024-02-008</w:t>
      </w:r>
    </w:p>
    <w:p>
      <w:pPr>
        <w:pStyle w:val="null3"/>
        <w:outlineLvl w:val="2"/>
      </w:pPr>
      <w:r>
        <w:rPr>
          <w:b/>
          <w:sz w:val="28"/>
        </w:rPr>
        <w:t>二、项目名称：</w:t>
      </w:r>
      <w:r>
        <w:rPr>
          <w:b/>
          <w:sz w:val="28"/>
        </w:rPr>
        <w:t>2024年林业有害生物防治应急采购项目</w:t>
      </w:r>
    </w:p>
    <w:p>
      <w:pPr>
        <w:pStyle w:val="null3"/>
        <w:outlineLvl w:val="2"/>
      </w:pPr>
      <w:r>
        <w:rPr>
          <w:b/>
          <w:sz w:val="28"/>
        </w:rPr>
        <w:t>三、磋商项目简介</w:t>
      </w:r>
    </w:p>
    <w:p>
      <w:pPr>
        <w:pStyle w:val="null3"/>
        <w:ind w:firstLine="480"/>
      </w:pPr>
      <w:r>
        <w:rPr/>
        <w:t>为做好2024年度我区林业有害生物监测和重点区域林业有害生物综合防治工作。需对全区范围内林木继续开展重大林业有害生物（美国白蛾、松材线虫病）及常规林业有害生物监测工作，监测面积≥5.6万亩，松材线虫病监测面积≥0.5万亩。对区内重点区域林业有害生物进行综合性防治。</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采购包1（2024年林业有害生物防控应急采购项目）：属于专门面向中小企业采购。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法定代表人授权委托书：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p>
      <w:pPr>
        <w:pStyle w:val="null3"/>
      </w:pPr>
      <w:r>
        <w:rPr/>
        <w:t>3、财务状况报告：提供2022年度或2023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t>4、税收缴纳证明：提供投标文件截止时间前一年内至少一个月已缴纳的任意税种凭据；依法免税的投标人应提供相关文件证明</w:t>
      </w:r>
    </w:p>
    <w:p>
      <w:pPr>
        <w:pStyle w:val="null3"/>
      </w:pPr>
      <w:r>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t>6、书面承诺：提供具有履行本合同所必需的设备和专业技术能力的声明、参加政府采购活动前3年内在经营活动中没有重大违法记录的书面承诺</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西安市灞桥区林业管理站</w:t>
      </w:r>
    </w:p>
    <w:p>
      <w:pPr>
        <w:pStyle w:val="null3"/>
      </w:pPr>
      <w:r>
        <w:rPr/>
        <w:t xml:space="preserve"> 地址： </w:t>
      </w:r>
      <w:r>
        <w:rPr/>
        <w:t>西安市灞桥区灞河西路3208号灞桥区林业管理站</w:t>
      </w:r>
    </w:p>
    <w:p>
      <w:pPr>
        <w:pStyle w:val="null3"/>
      </w:pPr>
      <w:r>
        <w:rPr/>
        <w:t xml:space="preserve"> 邮编： </w:t>
      </w:r>
      <w:r>
        <w:rPr/>
        <w:t>/</w:t>
      </w:r>
    </w:p>
    <w:p>
      <w:pPr>
        <w:pStyle w:val="null3"/>
      </w:pPr>
      <w:r>
        <w:rPr/>
        <w:t xml:space="preserve"> 联系人： </w:t>
      </w:r>
      <w:r>
        <w:rPr/>
        <w:t>西安市灞桥区林业管理站</w:t>
      </w:r>
    </w:p>
    <w:p>
      <w:pPr>
        <w:pStyle w:val="null3"/>
      </w:pPr>
      <w:r>
        <w:rPr/>
        <w:t xml:space="preserve"> 联系电话： </w:t>
      </w:r>
      <w:r>
        <w:rPr/>
        <w:t>83579110</w:t>
      </w:r>
    </w:p>
    <w:p>
      <w:pPr>
        <w:pStyle w:val="null3"/>
        <w:outlineLvl w:val="3"/>
      </w:pPr>
      <w:r>
        <w:rPr>
          <w:b/>
          <w:sz w:val="24"/>
        </w:rPr>
        <w:t>代理机构：</w:t>
      </w:r>
      <w:r>
        <w:rPr>
          <w:b/>
          <w:sz w:val="24"/>
        </w:rPr>
        <w:t>陕西中诚天和项目管理有限公司</w:t>
      </w:r>
    </w:p>
    <w:p>
      <w:pPr>
        <w:pStyle w:val="null3"/>
      </w:pPr>
      <w:r>
        <w:rPr/>
        <w:t xml:space="preserve"> 地址： </w:t>
      </w:r>
      <w:r>
        <w:rPr/>
        <w:t xml:space="preserve"> 西安市高新区锦业一路52号宝德云谷国际-B座14层1406-6室</w:t>
      </w:r>
    </w:p>
    <w:p>
      <w:pPr>
        <w:pStyle w:val="null3"/>
      </w:pPr>
      <w:r>
        <w:rPr/>
        <w:t xml:space="preserve"> 邮编： </w:t>
      </w:r>
      <w:r>
        <w:rPr/>
        <w:t xml:space="preserve"> 1243889792@qq.com</w:t>
      </w:r>
    </w:p>
    <w:p>
      <w:pPr>
        <w:pStyle w:val="null3"/>
      </w:pPr>
      <w:r>
        <w:rPr/>
        <w:t xml:space="preserve"> 联系人： </w:t>
      </w:r>
      <w:r>
        <w:rPr/>
        <w:t xml:space="preserve"> 黄静宜</w:t>
      </w:r>
    </w:p>
    <w:p>
      <w:pPr>
        <w:pStyle w:val="null3"/>
      </w:pPr>
      <w:r>
        <w:rPr/>
        <w:t xml:space="preserve"> 联系电话： </w:t>
      </w:r>
      <w:r>
        <w:rPr/>
        <w:t>029-81882499</w:t>
      </w:r>
    </w:p>
    <w:p>
      <w:pPr>
        <w:pStyle w:val="null3"/>
        <w:outlineLvl w:val="3"/>
      </w:pPr>
      <w:r>
        <w:rPr>
          <w:b/>
          <w:sz w:val="24"/>
        </w:rPr>
        <w:t>采购监督机构：</w:t>
      </w:r>
      <w:r>
        <w:rPr>
          <w:b/>
          <w:sz w:val="24"/>
        </w:rPr>
        <w:t>西安市灞桥区政府采购管理科</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 [2003]857号通知规定，由成交供应商支付代理服务费。 2、支付方式：成交供应商应在领取通知书的同时，支付本项目代理服务费。收款账户如下：收款单位：陕西中诚天和项目管理有限公司； 开户银行：中国建设银行股份有限公司西安高新自贸区支行； 银行账号：61050110066700001164。注：本项目代理服务费按定额人民币5000元收取。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西安市灞桥区林业管理站</w:t>
      </w:r>
      <w:r>
        <w:rPr/>
        <w:t>和</w:t>
      </w:r>
      <w:r>
        <w:rPr/>
        <w:t>陕西中诚天和项目管理有限公司</w:t>
      </w:r>
      <w:r>
        <w:rPr/>
        <w:t>享有。对磋商文件中供应商参加本次政府采购活动应当具备的条件，磋商项目技术、服务、商务及其他要求，评审细则及标准由</w:t>
      </w:r>
      <w:r>
        <w:rPr/>
        <w:t>西安市灞桥区林业管理站</w:t>
      </w:r>
      <w:r>
        <w:rPr/>
        <w:t>负责解释。除上述磋商文件内容，其他内容由</w:t>
      </w:r>
      <w:r>
        <w:rPr/>
        <w:t>陕西中诚天和项目管理有限公司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西安市灞桥区林业管理站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陕西中诚天和项目管理有限公司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1、重大林业有害生物（美国白蛾、松材线虫病）监测普查，2024年4月5日前完成美国白蛾诱捕器布设，2024年5月31日前完成松褐天牛诱捕器布设。2024年10月31日前完成自查总结。 2、综合防治，2024年4月10日前完成综合防治具体方案的制定，2024年5月20日前完成太阳能灭虫灯的安装、天敌成虫的引进、打孔注药设备和药品的落实。2024年10月31日前完成自查总结。</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陕西中诚天和项目管理有限公司</w:t>
      </w:r>
      <w:r>
        <w:rPr/>
        <w:t xml:space="preserve"> 负责答复；供应商对除采购需求外的采购文件的询问、质疑由</w:t>
      </w:r>
      <w:r>
        <w:rPr/>
        <w:t>陕西中诚天和项目管理有限公司</w:t>
      </w:r>
      <w:r>
        <w:rPr/>
        <w:t xml:space="preserve"> 负责答复；供应商对采购过程、采购结果的询问、质疑由 </w:t>
      </w:r>
      <w:r>
        <w:rPr/>
        <w:t>陕西中诚天和项目管理有限公司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联系人：刘欣欣</w:t>
      </w:r>
    </w:p>
    <w:p>
      <w:pPr>
        <w:pStyle w:val="null3"/>
      </w:pPr>
      <w:r>
        <w:rPr/>
        <w:t>联系电话：029-81882499</w:t>
      </w:r>
    </w:p>
    <w:p>
      <w:pPr>
        <w:pStyle w:val="null3"/>
      </w:pPr>
      <w:r>
        <w:rPr/>
        <w:t>地址：西安市高新区锦业一路52号宝德云谷国际-B座14层1406-6室</w:t>
      </w:r>
    </w:p>
    <w:p>
      <w:pPr>
        <w:pStyle w:val="null3"/>
      </w:pPr>
      <w:r>
        <w:rPr/>
        <w:t>邮编：871813730@qq.com</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做好2024年度我区林业有害生物监测和重点区域林业有害生物综合防治工作。需对全区范围内林木继续开展重大林业有害生物（美国白蛾、松材线虫病）及常规林业有害生物监测工作，监测面积≥5.6万亩，松材线虫病监测面积≥0.5万亩。对区内重点区域林业有害生物进行综合性防治。</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有害生物防控</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标的名称：有害生物防控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2"/>
              <w:jc w:val="left"/>
            </w:pPr>
            <w:r>
              <w:rPr>
                <w:rFonts w:ascii="宋体" w:hAnsi="宋体" w:cs="宋体" w:eastAsia="宋体"/>
                <w:b/>
                <w:sz w:val="24"/>
              </w:rPr>
              <w:t>一、</w:t>
            </w:r>
            <w:r>
              <w:rPr>
                <w:rFonts w:ascii="宋体" w:hAnsi="宋体" w:cs="宋体" w:eastAsia="宋体"/>
                <w:b/>
                <w:sz w:val="24"/>
              </w:rPr>
              <w:t>项目概况</w:t>
            </w:r>
            <w:r>
              <w:rPr>
                <w:rFonts w:ascii="宋体" w:hAnsi="宋体" w:cs="宋体" w:eastAsia="宋体"/>
                <w:b/>
                <w:sz w:val="24"/>
              </w:rPr>
              <w:t>：</w:t>
            </w:r>
          </w:p>
          <w:p>
            <w:pPr>
              <w:pStyle w:val="null3"/>
              <w:ind w:firstLine="480"/>
              <w:jc w:val="left"/>
            </w:pPr>
            <w:r>
              <w:rPr>
                <w:rFonts w:ascii="宋体" w:hAnsi="宋体" w:cs="宋体" w:eastAsia="宋体"/>
                <w:sz w:val="24"/>
              </w:rPr>
              <w:t>为做好</w:t>
            </w:r>
            <w:r>
              <w:rPr>
                <w:rFonts w:ascii="宋体" w:hAnsi="宋体" w:cs="宋体" w:eastAsia="宋体"/>
                <w:sz w:val="24"/>
              </w:rPr>
              <w:t>2024年度我区林业有害生物监测和重点区域林业有害生物综合防治工作。需对全区范围内林木继续开展重大林业有害生物（美国白蛾、松材线虫病）及常规林业有害生物监测工作，监测面积≥5.6万亩，松材线虫病监测面积≥0.5万亩。对区内重点区域林业有害生物进行综合性防治</w:t>
            </w:r>
            <w:r>
              <w:rPr>
                <w:rFonts w:ascii="宋体" w:hAnsi="宋体" w:cs="宋体" w:eastAsia="宋体"/>
                <w:sz w:val="24"/>
              </w:rPr>
              <w:t>。</w:t>
            </w:r>
          </w:p>
          <w:p>
            <w:pPr>
              <w:pStyle w:val="null3"/>
              <w:ind w:firstLine="482"/>
              <w:jc w:val="left"/>
            </w:pPr>
            <w:r>
              <w:rPr>
                <w:rFonts w:ascii="宋体" w:hAnsi="宋体" w:cs="宋体" w:eastAsia="宋体"/>
                <w:b/>
                <w:sz w:val="24"/>
              </w:rPr>
              <w:t>二、服务内容：</w:t>
            </w:r>
          </w:p>
          <w:p>
            <w:pPr>
              <w:pStyle w:val="null3"/>
              <w:ind w:firstLine="480"/>
              <w:jc w:val="left"/>
            </w:pPr>
            <w:r>
              <w:rPr>
                <w:rFonts w:ascii="宋体" w:hAnsi="宋体" w:cs="宋体" w:eastAsia="宋体"/>
                <w:sz w:val="24"/>
              </w:rPr>
              <w:t>1.完成全区5.6万亩林业植物分布区林业有害生物监测普查的基础上，</w:t>
            </w:r>
            <w:r>
              <w:rPr>
                <w:rFonts w:ascii="宋体" w:hAnsi="宋体" w:cs="宋体" w:eastAsia="宋体"/>
                <w:sz w:val="24"/>
              </w:rPr>
              <w:t>4月5日</w:t>
            </w:r>
            <w:r>
              <w:rPr>
                <w:rFonts w:ascii="宋体" w:hAnsi="宋体" w:cs="宋体" w:eastAsia="宋体"/>
                <w:sz w:val="24"/>
              </w:rPr>
              <w:t>以前灞河左右岸（灞桥自管区）上游至蓝田界，下游至浐灞生态区界范围内布设美国白蛾性诱捕器80套，进行美国白蛾成虫监测。做到第一时间发现、第一时间报告、第一现场除治。</w:t>
            </w:r>
          </w:p>
          <w:p>
            <w:pPr>
              <w:pStyle w:val="null3"/>
              <w:ind w:firstLine="480"/>
              <w:jc w:val="left"/>
            </w:pPr>
            <w:r>
              <w:rPr>
                <w:rFonts w:ascii="宋体" w:hAnsi="宋体" w:cs="宋体" w:eastAsia="宋体"/>
                <w:sz w:val="24"/>
              </w:rPr>
              <w:t>2. 完成全区0.5万亩松科植物松材线虫病监测普查任务，监测覆盖率达到100％。在除东三环等松树相对集中区域布设松褐天牛诱捕器30套，在5月底松褐天牛羽化期前完成松褐天牛诱捕器的布设，到10月底前每周收集、统计、清理一次，填写松褐天牛监测登记表.</w:t>
            </w:r>
          </w:p>
          <w:p>
            <w:pPr>
              <w:pStyle w:val="null3"/>
              <w:ind w:firstLine="480"/>
              <w:jc w:val="left"/>
            </w:pPr>
            <w:r>
              <w:rPr>
                <w:rFonts w:ascii="宋体" w:hAnsi="宋体" w:cs="宋体" w:eastAsia="宋体"/>
                <w:sz w:val="24"/>
              </w:rPr>
              <w:t>3.完成灞河湿地公园内林木各类病虫害监测，重点对灞河湿地公园及周边区域的柳树光肩星天牛开展综合防治。</w:t>
            </w:r>
          </w:p>
          <w:p>
            <w:pPr>
              <w:pStyle w:val="null3"/>
              <w:ind w:firstLine="480"/>
              <w:jc w:val="left"/>
            </w:pPr>
            <w:r>
              <w:rPr>
                <w:rFonts w:ascii="宋体" w:hAnsi="宋体" w:cs="宋体" w:eastAsia="宋体"/>
                <w:sz w:val="24"/>
              </w:rPr>
              <w:t>4.开展森防知识宣传培训2场次，制作林业有害生物防治宣传栏。</w:t>
            </w:r>
          </w:p>
          <w:p>
            <w:pPr>
              <w:pStyle w:val="null3"/>
              <w:ind w:firstLine="482"/>
              <w:jc w:val="left"/>
            </w:pPr>
            <w:r>
              <w:rPr>
                <w:rFonts w:ascii="宋体" w:hAnsi="宋体" w:cs="宋体" w:eastAsia="宋体"/>
                <w:b/>
                <w:sz w:val="24"/>
              </w:rPr>
              <w:t>三、技术要求：</w:t>
            </w:r>
          </w:p>
          <w:p>
            <w:pPr>
              <w:pStyle w:val="null3"/>
              <w:ind w:firstLine="480"/>
              <w:jc w:val="left"/>
            </w:pPr>
            <w:r>
              <w:rPr>
                <w:rFonts w:ascii="宋体" w:hAnsi="宋体" w:cs="宋体" w:eastAsia="宋体"/>
                <w:sz w:val="24"/>
              </w:rPr>
              <w:t>（一）做好常规林业有害生物和美国白蛾监测普查工作</w:t>
            </w:r>
            <w:r>
              <w:rPr>
                <w:rFonts w:ascii="宋体" w:hAnsi="宋体" w:cs="宋体" w:eastAsia="宋体"/>
                <w:sz w:val="24"/>
              </w:rPr>
              <w:t xml:space="preserve"> </w:t>
            </w:r>
          </w:p>
          <w:p>
            <w:pPr>
              <w:pStyle w:val="null3"/>
              <w:ind w:firstLine="480"/>
              <w:jc w:val="left"/>
            </w:pPr>
            <w:r>
              <w:rPr>
                <w:rFonts w:ascii="宋体" w:hAnsi="宋体" w:cs="宋体" w:eastAsia="宋体"/>
                <w:sz w:val="24"/>
              </w:rPr>
              <w:t>一是全面开展林业有害生物和美国白蛾普查工作。</w:t>
            </w:r>
            <w:r>
              <w:rPr>
                <w:rFonts w:ascii="宋体" w:hAnsi="宋体" w:cs="宋体" w:eastAsia="宋体"/>
                <w:sz w:val="24"/>
              </w:rPr>
              <w:t>4-10月份对全区5.6万亩林地和非林地绿化苗木开展林业有害生物普查的基础上，次月5日前以书面（表格）形式报区林业管理站。并根据监测情况实施采取有效防治。对美国白蛾防控重点区域进行全面精细化美国白蛾网幕期普查工作，确保普查无死角。二是在指定区域悬挂美国白蛾成虫性信息素诱捕器80套，用于美国白蛾成虫发生量监测。</w:t>
            </w:r>
          </w:p>
          <w:p>
            <w:pPr>
              <w:pStyle w:val="null3"/>
              <w:ind w:firstLine="480"/>
              <w:jc w:val="left"/>
            </w:pPr>
            <w:r>
              <w:rPr>
                <w:rFonts w:ascii="宋体" w:hAnsi="宋体" w:cs="宋体" w:eastAsia="宋体"/>
                <w:sz w:val="24"/>
              </w:rPr>
              <w:t>1.美国白蛾诱捕器监测（性诱剂监测）</w:t>
            </w:r>
          </w:p>
          <w:p>
            <w:pPr>
              <w:pStyle w:val="null3"/>
              <w:ind w:firstLine="480"/>
              <w:jc w:val="left"/>
            </w:pPr>
            <w:r>
              <w:rPr>
                <w:rFonts w:ascii="宋体" w:hAnsi="宋体" w:cs="宋体" w:eastAsia="宋体"/>
                <w:sz w:val="24"/>
              </w:rPr>
              <w:t>每个诱捕器在</w:t>
            </w:r>
            <w:r>
              <w:rPr>
                <w:rFonts w:ascii="宋体" w:hAnsi="宋体" w:cs="宋体" w:eastAsia="宋体"/>
                <w:sz w:val="24"/>
              </w:rPr>
              <w:t>4月上旬到5月中下旬使用北京中捷四方美国白蛾性诱剂诱芯一片。越冬代成虫监测结束后及时冷藏保存，根据本年度成虫发生规律及时更换。每个诱捕器设置点悬挂监测点标识牌一块（30*40厘米），共计需要80块标识牌。诱捕器越冬代悬挂高度一般为树冠中下层枝条（1.5-2米），一代、二代悬挂高度为（2.5-3米）在悬挂时注意诱捕器周边无树枝遮挡，诱捕器中加入碱性水，用铁丝固定悬挂于主枝条上，使用工具包括梯子，水桶、铁丝和钳子等，布设完成后制作诱捕器分布图。美国白蛾诱捕器</w:t>
            </w:r>
            <w:r>
              <w:rPr>
                <w:rFonts w:ascii="宋体" w:hAnsi="宋体" w:cs="宋体" w:eastAsia="宋体"/>
                <w:sz w:val="24"/>
              </w:rPr>
              <w:t>4</w:t>
            </w:r>
            <w:r>
              <w:rPr>
                <w:rFonts w:ascii="宋体" w:hAnsi="宋体" w:cs="宋体" w:eastAsia="宋体"/>
                <w:sz w:val="24"/>
              </w:rPr>
              <w:t>月</w:t>
            </w:r>
            <w:r>
              <w:rPr>
                <w:rFonts w:ascii="宋体" w:hAnsi="宋体" w:cs="宋体" w:eastAsia="宋体"/>
                <w:sz w:val="24"/>
              </w:rPr>
              <w:t>5日</w:t>
            </w:r>
            <w:r>
              <w:rPr>
                <w:rFonts w:ascii="宋体" w:hAnsi="宋体" w:cs="宋体" w:eastAsia="宋体"/>
                <w:sz w:val="24"/>
              </w:rPr>
              <w:t>前要求全面悬挂到位，4月上旬开始对已悬挂诱捕器进行日常监测，在监测过程中进行日常诱捕器换水，在发现诱捕到成虫后第一时间上报区林业管理站。</w:t>
            </w:r>
          </w:p>
          <w:p>
            <w:pPr>
              <w:pStyle w:val="null3"/>
              <w:ind w:firstLine="480"/>
              <w:jc w:val="left"/>
            </w:pPr>
            <w:r>
              <w:rPr>
                <w:rFonts w:ascii="宋体" w:hAnsi="宋体" w:cs="宋体" w:eastAsia="宋体"/>
                <w:sz w:val="24"/>
              </w:rPr>
              <w:t>对美国白蛾越冬代进行常规化监测，待越冬代监测结束后回收诱芯进行冷藏保存，美国白蛾成虫监测周期越冬代为</w:t>
            </w:r>
            <w:r>
              <w:rPr>
                <w:rFonts w:ascii="宋体" w:hAnsi="宋体" w:cs="宋体" w:eastAsia="宋体"/>
                <w:sz w:val="24"/>
              </w:rPr>
              <w:t>45天左右，一代30天左右，二代50天左右，根据气候及外围因素影响以及世代重叠适当延长监测期，正常监测时间为每周2次，发现诱捕到成虫后每天进行监测。诱捕器每周监测2次。每次需要2人，共计监测≥35次。</w:t>
            </w:r>
          </w:p>
          <w:p>
            <w:pPr>
              <w:pStyle w:val="null3"/>
              <w:ind w:firstLine="480"/>
              <w:jc w:val="left"/>
            </w:pPr>
            <w:r>
              <w:rPr>
                <w:rFonts w:ascii="宋体" w:hAnsi="宋体" w:cs="宋体" w:eastAsia="宋体"/>
                <w:sz w:val="24"/>
              </w:rPr>
              <w:t>2.美国白蛾幼虫网幕虫卵虫蛹调查普查除诱捕器和杀虫灯外，监测重点为人工调查蛹、幼虫及网幕虫卵，确保美国白蛾在诱捕器悬挂区域以外的监测效果。根据当年气候环境计划分别于5月、7月和9月份进行3次重点区域全面人工普查，根据灞桥区自然地理条件，普查人员分为2组，每组由1名专家带领3名专业技术人员组成，对所有有林地带的喜食树种进行普查，重点对灞河左右两岸向外延申500米范围内的林地、绿化用地、果园、小区、村庄进行全面普查，并对调查结果做以详细记录。由于美国白蛾可危害多种阔叶树、灌木、果树、花卉、农作物、蔬菜、杂草等，寄主范围广，排查范围大，每次普查需4天。</w:t>
            </w:r>
          </w:p>
          <w:p>
            <w:pPr>
              <w:pStyle w:val="null3"/>
              <w:ind w:firstLine="480"/>
              <w:jc w:val="left"/>
            </w:pPr>
            <w:r>
              <w:rPr>
                <w:rFonts w:ascii="宋体" w:hAnsi="宋体" w:cs="宋体" w:eastAsia="宋体"/>
                <w:sz w:val="24"/>
              </w:rPr>
              <w:t>3.预防性防治措施：</w:t>
            </w:r>
          </w:p>
          <w:p>
            <w:pPr>
              <w:pStyle w:val="null3"/>
              <w:ind w:firstLine="480"/>
              <w:jc w:val="left"/>
            </w:pPr>
            <w:r>
              <w:rPr>
                <w:rFonts w:ascii="宋体" w:hAnsi="宋体" w:cs="宋体" w:eastAsia="宋体"/>
                <w:sz w:val="24"/>
              </w:rPr>
              <w:t>在人工普查过程中如发现美国白蛾幼虫网幕及其它林业有害生物如（天牛、尺蠖、杨毒蛾、杨小舟蛾、刺蛾、蚧壳虫、蚜虫、柳树河曲丝叶蜂等），必要时派专业防治人员进行应急处置，需能满足复杂条件下的各类病虫害应急防治，防治方式根据地形及病虫害危害程度可采取空中飞防及地面人工防治。</w:t>
            </w:r>
          </w:p>
          <w:p>
            <w:pPr>
              <w:pStyle w:val="null3"/>
              <w:ind w:firstLine="480"/>
              <w:jc w:val="left"/>
            </w:pPr>
            <w:r>
              <w:rPr>
                <w:rFonts w:ascii="宋体" w:hAnsi="宋体" w:cs="宋体" w:eastAsia="宋体"/>
                <w:sz w:val="24"/>
              </w:rPr>
              <w:t>（二）全面开展松材线虫病防控工作</w:t>
            </w:r>
            <w:r>
              <w:rPr>
                <w:rFonts w:ascii="宋体" w:hAnsi="宋体" w:cs="宋体" w:eastAsia="宋体"/>
                <w:sz w:val="24"/>
              </w:rPr>
              <w:t xml:space="preserve"> </w:t>
            </w:r>
          </w:p>
          <w:p>
            <w:pPr>
              <w:pStyle w:val="null3"/>
              <w:ind w:firstLine="480"/>
              <w:jc w:val="left"/>
            </w:pPr>
            <w:r>
              <w:rPr>
                <w:rFonts w:ascii="宋体" w:hAnsi="宋体" w:cs="宋体" w:eastAsia="宋体"/>
                <w:sz w:val="24"/>
              </w:rPr>
              <w:t>一是在</w:t>
            </w:r>
            <w:r>
              <w:rPr>
                <w:rFonts w:ascii="宋体" w:hAnsi="宋体" w:cs="宋体" w:eastAsia="宋体"/>
                <w:sz w:val="24"/>
              </w:rPr>
              <w:t>5月底在松褐天牛羽化期前在除东三环等松树相对集中区域外布设松褐天牛诱捕器30套，用于松材线虫病的监测。布设完成后制作诱捕器分布图。到10月底前每周收集、统计、清理一次，填写松褐天牛监测登记表。二是采用人工普查的方法，利用《新版松材线虫病疫情防控监测平台》及手机APP，从2024年4月-10月份对0.5万亩松科植物开展松材线虫病日常监测普查，9-10月份详细开展秋季监测普查工作和枯立木除治，确保监测普查覆盖率达到100%。</w:t>
            </w:r>
          </w:p>
          <w:p>
            <w:pPr>
              <w:pStyle w:val="null3"/>
              <w:ind w:firstLine="480"/>
              <w:jc w:val="left"/>
            </w:pPr>
            <w:r>
              <w:rPr>
                <w:rFonts w:ascii="宋体" w:hAnsi="宋体" w:cs="宋体" w:eastAsia="宋体"/>
                <w:sz w:val="24"/>
              </w:rPr>
              <w:t>（三）认真做好灞河湿地公园各类林木病虫害监测预防，重点做好灞河湿地公园柳树天牛综合防治工作。</w:t>
            </w:r>
          </w:p>
          <w:p>
            <w:pPr>
              <w:pStyle w:val="null3"/>
              <w:ind w:firstLine="480"/>
              <w:jc w:val="left"/>
            </w:pPr>
            <w:r>
              <w:rPr>
                <w:rFonts w:ascii="宋体" w:hAnsi="宋体" w:cs="宋体" w:eastAsia="宋体"/>
                <w:sz w:val="24"/>
              </w:rPr>
              <w:t>一是</w:t>
            </w:r>
            <w:r>
              <w:rPr>
                <w:rFonts w:ascii="宋体" w:hAnsi="宋体" w:cs="宋体" w:eastAsia="宋体"/>
                <w:sz w:val="24"/>
              </w:rPr>
              <w:t>4月-10月份对灞河湿地公园及其周边做好包括松材线虫病、美国白蛾在内的各类林木病虫害监测和预防工作。二是对柳树光肩星天牛进行采取树干注药、投放花容寄甲、捕捉成虫等方式的综合防治，包括树干注药15000株，投放花容寄甲成虫20000头，设置太阳能灭虫灯20套，设置完成后制作灭虫灯分布图。</w:t>
            </w:r>
          </w:p>
          <w:p>
            <w:pPr>
              <w:pStyle w:val="null3"/>
              <w:ind w:firstLine="480"/>
              <w:jc w:val="left"/>
            </w:pPr>
            <w:r>
              <w:rPr>
                <w:rFonts w:ascii="宋体" w:hAnsi="宋体" w:cs="宋体" w:eastAsia="宋体"/>
                <w:sz w:val="24"/>
              </w:rPr>
              <w:t>（四）、宣传培训</w:t>
            </w:r>
          </w:p>
          <w:p>
            <w:pPr>
              <w:pStyle w:val="null3"/>
              <w:ind w:firstLine="480"/>
              <w:jc w:val="left"/>
            </w:pPr>
            <w:r>
              <w:rPr>
                <w:rFonts w:ascii="宋体" w:hAnsi="宋体" w:cs="宋体" w:eastAsia="宋体"/>
                <w:sz w:val="24"/>
              </w:rPr>
              <w:t>组织涉林街办和涉木企业以及在建绿化项目工地相关人员开展重大林业有害生物防治技术、《植物检疫条例》、《陕西省林业有害生物防治检疫条例》等技术培训</w:t>
            </w:r>
            <w:r>
              <w:rPr>
                <w:rFonts w:ascii="宋体" w:hAnsi="宋体" w:cs="宋体" w:eastAsia="宋体"/>
                <w:sz w:val="24"/>
              </w:rPr>
              <w:t>2场次，不断提升从业人员林业有害生物监测防治能力和水平；通过制作林业有害生物监测防治知识专题宣传栏一处，项目施工（简介）标志牌四处。</w:t>
            </w:r>
          </w:p>
          <w:p>
            <w:pPr>
              <w:pStyle w:val="null3"/>
              <w:ind w:firstLine="482"/>
              <w:jc w:val="left"/>
            </w:pPr>
            <w:r>
              <w:rPr>
                <w:rFonts w:ascii="宋体" w:hAnsi="宋体" w:cs="宋体" w:eastAsia="宋体"/>
                <w:b/>
                <w:sz w:val="24"/>
              </w:rPr>
              <w:t>四、服务要求：</w:t>
            </w:r>
          </w:p>
          <w:p>
            <w:pPr>
              <w:pStyle w:val="null3"/>
              <w:ind w:firstLine="480"/>
              <w:jc w:val="left"/>
            </w:pPr>
            <w:r>
              <w:rPr>
                <w:rFonts w:ascii="宋体" w:hAnsi="宋体" w:cs="宋体" w:eastAsia="宋体"/>
                <w:sz w:val="24"/>
              </w:rPr>
              <w:t>1.美国白蛾诱捕器监测，正常监测时间为每周2次，发现诱捕到成虫后每天进行监测。诱捕器每周监测2次。每次需要2人，共计监测≥35次。重点区域普查，分别于5月、7月和9月份进行3次重点区域全面人工普查，每次普查人员≥8人，每次普查时长≥4天，确保第一时间发现第一时间上报。</w:t>
            </w:r>
          </w:p>
          <w:p>
            <w:pPr>
              <w:pStyle w:val="null3"/>
              <w:ind w:firstLine="480"/>
              <w:jc w:val="left"/>
            </w:pPr>
            <w:r>
              <w:rPr>
                <w:rFonts w:ascii="宋体" w:hAnsi="宋体" w:cs="宋体" w:eastAsia="宋体"/>
                <w:sz w:val="24"/>
              </w:rPr>
              <w:t>2.松褐天牛诱捕器监测，每周收集、统计、清理、登记。松材线虫病普查每月利用APP完成一轮日常监测，并及时上报日常监测数据。</w:t>
            </w:r>
          </w:p>
          <w:p>
            <w:pPr>
              <w:pStyle w:val="null3"/>
              <w:ind w:firstLine="480"/>
              <w:jc w:val="left"/>
            </w:pPr>
            <w:r>
              <w:rPr>
                <w:rFonts w:ascii="宋体" w:hAnsi="宋体" w:cs="宋体" w:eastAsia="宋体"/>
                <w:sz w:val="24"/>
              </w:rPr>
              <w:t>3.按照光肩星天牛发生特性合理安排并完成树干注药、天地投放、太阳能灭虫灯设置等各项工作（灭虫灯每三天清理一次）。</w:t>
            </w:r>
          </w:p>
          <w:p>
            <w:pPr>
              <w:pStyle w:val="null3"/>
              <w:ind w:firstLine="482"/>
              <w:jc w:val="left"/>
            </w:pPr>
            <w:r>
              <w:rPr>
                <w:rFonts w:ascii="宋体" w:hAnsi="宋体" w:cs="宋体" w:eastAsia="宋体"/>
                <w:b/>
                <w:sz w:val="24"/>
              </w:rPr>
              <w:t>五、进度要求：</w:t>
            </w:r>
          </w:p>
          <w:p>
            <w:pPr>
              <w:pStyle w:val="null3"/>
              <w:ind w:firstLine="480"/>
              <w:jc w:val="left"/>
            </w:pPr>
            <w:r>
              <w:rPr>
                <w:rFonts w:ascii="宋体" w:hAnsi="宋体" w:cs="宋体" w:eastAsia="宋体"/>
                <w:sz w:val="24"/>
              </w:rPr>
              <w:t>1、重大林业有害生物（美国白蛾、松材线虫病）监测普查，2024年4月5日前完成</w:t>
            </w:r>
            <w:r>
              <w:rPr>
                <w:rFonts w:ascii="宋体" w:hAnsi="宋体" w:cs="宋体" w:eastAsia="宋体"/>
                <w:sz w:val="24"/>
              </w:rPr>
              <w:t>美国白蛾</w:t>
            </w:r>
            <w:r>
              <w:rPr>
                <w:rFonts w:ascii="宋体" w:hAnsi="宋体" w:cs="宋体" w:eastAsia="宋体"/>
                <w:sz w:val="24"/>
              </w:rPr>
              <w:t>诱捕器布设，</w:t>
            </w:r>
            <w:r>
              <w:rPr>
                <w:rFonts w:ascii="宋体" w:hAnsi="宋体" w:cs="宋体" w:eastAsia="宋体"/>
                <w:sz w:val="24"/>
              </w:rPr>
              <w:t>2024年5月31日前完成松褐天牛诱捕器布设。2024年10月31日前完成自查总结。</w:t>
            </w:r>
          </w:p>
          <w:p>
            <w:pPr>
              <w:pStyle w:val="null3"/>
              <w:ind w:firstLine="480"/>
              <w:jc w:val="left"/>
            </w:pPr>
            <w:r>
              <w:rPr>
                <w:rFonts w:ascii="宋体" w:hAnsi="宋体" w:cs="宋体" w:eastAsia="宋体"/>
                <w:sz w:val="24"/>
              </w:rPr>
              <w:t>2、综合防治，2024年4月10日前完成综合防治具体方案的制定，2024年5月20日前完成太阳能灭虫灯的安装、天敌成虫的引进、打孔注药设备和药品的落实。2024年10月31日前完成自查总结。</w:t>
            </w:r>
          </w:p>
          <w:p>
            <w:pPr>
              <w:pStyle w:val="null3"/>
              <w:ind w:firstLine="482"/>
              <w:jc w:val="left"/>
            </w:pPr>
            <w:r>
              <w:rPr>
                <w:rFonts w:ascii="宋体" w:hAnsi="宋体" w:cs="宋体" w:eastAsia="宋体"/>
                <w:b/>
                <w:sz w:val="24"/>
              </w:rPr>
              <w:t>六、验收标准：</w:t>
            </w:r>
          </w:p>
          <w:p>
            <w:pPr>
              <w:pStyle w:val="null3"/>
              <w:ind w:firstLine="480"/>
              <w:jc w:val="left"/>
            </w:pPr>
            <w:r>
              <w:rPr>
                <w:rFonts w:ascii="宋体" w:hAnsi="宋体" w:cs="宋体" w:eastAsia="宋体"/>
                <w:sz w:val="24"/>
              </w:rPr>
              <w:t>1.</w:t>
            </w:r>
            <w:r>
              <w:rPr>
                <w:rFonts w:ascii="宋体" w:hAnsi="宋体" w:cs="宋体" w:eastAsia="宋体"/>
                <w:sz w:val="24"/>
              </w:rPr>
              <w:t>重大林业有害生物（美国白蛾、松材线虫病）监测普查依据国家林业和草原局生物灾害防控中心编制的《美国白蛾监测预报技术操作手册》对项目进行验收。</w:t>
            </w:r>
          </w:p>
          <w:p>
            <w:pPr>
              <w:pStyle w:val="null3"/>
              <w:jc w:val="both"/>
            </w:pPr>
            <w:r>
              <w:rPr>
                <w:rFonts w:ascii="宋体" w:hAnsi="宋体" w:cs="宋体" w:eastAsia="宋体"/>
                <w:sz w:val="24"/>
              </w:rPr>
              <w:t>2.</w:t>
            </w:r>
            <w:r>
              <w:rPr>
                <w:rFonts w:ascii="宋体" w:hAnsi="宋体" w:cs="宋体" w:eastAsia="宋体"/>
                <w:sz w:val="24"/>
              </w:rPr>
              <w:t>综合防治依据《光肩星天牛防治技术规程》（</w:t>
            </w:r>
            <w:r>
              <w:rPr>
                <w:rFonts w:ascii="宋体" w:hAnsi="宋体" w:cs="宋体" w:eastAsia="宋体"/>
                <w:sz w:val="24"/>
              </w:rPr>
              <w:t>LY/T1961-2011）以及其它相关林业有害生物防治规范对项目进行验收。</w:t>
            </w:r>
          </w:p>
        </w:tc>
      </w:tr>
    </w:tbl>
    <w:p>
      <w:pPr>
        <w:pStyle w:val="null3"/>
        <w:outlineLvl w:val="2"/>
      </w:pPr>
      <w:r>
        <w:rPr>
          <w:b/>
          <w:sz w:val="28"/>
        </w:rPr>
        <w:t>3.2.3人员配置要求</w:t>
      </w:r>
    </w:p>
    <w:p>
      <w:pPr>
        <w:pStyle w:val="null3"/>
      </w:pPr>
      <w:r>
        <w:rPr/>
        <w:t>采购包1：</w:t>
      </w:r>
    </w:p>
    <w:p>
      <w:pPr>
        <w:pStyle w:val="null3"/>
      </w:pPr>
      <w:r>
        <w:rPr/>
        <w:t>满足采购人采购需求，详见技术参数与性能指标</w:t>
      </w:r>
    </w:p>
    <w:p>
      <w:pPr>
        <w:pStyle w:val="null3"/>
        <w:outlineLvl w:val="2"/>
      </w:pPr>
      <w:r>
        <w:rPr>
          <w:b/>
          <w:sz w:val="28"/>
        </w:rPr>
        <w:t>3.2.4设施设备要求</w:t>
      </w:r>
    </w:p>
    <w:p>
      <w:pPr>
        <w:pStyle w:val="null3"/>
      </w:pPr>
      <w:r>
        <w:rPr/>
        <w:t>采购包1：</w:t>
      </w:r>
    </w:p>
    <w:p>
      <w:pPr>
        <w:pStyle w:val="null3"/>
      </w:pPr>
      <w:r>
        <w:rPr/>
        <w:t>满足采购人采购需求，详见技术参数与性能指标</w:t>
      </w:r>
    </w:p>
    <w:p>
      <w:pPr>
        <w:pStyle w:val="null3"/>
        <w:outlineLvl w:val="2"/>
      </w:pPr>
      <w:r>
        <w:rPr>
          <w:b/>
          <w:sz w:val="28"/>
        </w:rPr>
        <w:t>3.2.5其他要求</w:t>
      </w:r>
    </w:p>
    <w:p>
      <w:pPr>
        <w:pStyle w:val="null3"/>
      </w:pPr>
      <w:r>
        <w:rPr/>
        <w:t>采购包1：</w:t>
      </w:r>
    </w:p>
    <w:p>
      <w:pPr>
        <w:pStyle w:val="null3"/>
      </w:pPr>
      <w:r>
        <w:rPr/>
        <w:t>1、重大林业有害生物（美国白蛾、松材线虫病）监测普查，2024年4月5日前完成诱捕器布设，2024年5月31日前完成松褐天牛诱捕器布设。2024年10月31日前完成自查总结。 2、综合防治，2024年4月10日前完成综合防治具体方案的制定，2024年5月20日前完成太阳能灭虫灯的安装、天敌成虫的引进、打孔注药设备和药品的落实。数2024年10月31日前完成自查总结。</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自2024年4月起至2024年10月31日止</w:t>
      </w:r>
    </w:p>
    <w:p>
      <w:pPr>
        <w:pStyle w:val="null3"/>
        <w:outlineLvl w:val="3"/>
      </w:pPr>
      <w:r>
        <w:rPr>
          <w:b/>
          <w:sz w:val="24"/>
        </w:rPr>
        <w:t>3.3.2服务地点</w:t>
      </w:r>
    </w:p>
    <w:p>
      <w:pPr>
        <w:pStyle w:val="null3"/>
      </w:pPr>
      <w:r>
        <w:rPr/>
        <w:t>采购包1：</w:t>
      </w:r>
    </w:p>
    <w:p>
      <w:pPr>
        <w:pStyle w:val="null3"/>
      </w:pPr>
      <w:r>
        <w:rPr/>
        <w:t>西安市灞桥区林业管理站指定地点</w:t>
      </w:r>
    </w:p>
    <w:p>
      <w:pPr>
        <w:pStyle w:val="null3"/>
        <w:outlineLvl w:val="3"/>
      </w:pPr>
      <w:r>
        <w:rPr>
          <w:b/>
          <w:sz w:val="24"/>
        </w:rPr>
        <w:t>3.3.3考核（验收）标准和方法</w:t>
      </w:r>
    </w:p>
    <w:p>
      <w:pPr>
        <w:pStyle w:val="null3"/>
      </w:pPr>
      <w:r>
        <w:rPr/>
        <w:t>采购包1：</w:t>
      </w:r>
    </w:p>
    <w:p>
      <w:pPr>
        <w:pStyle w:val="null3"/>
      </w:pPr>
      <w:r>
        <w:rPr/>
        <w:t>重大林业有害生物（美国白蛾、松材线虫病）监测普查依据国家林业和草原局生物灾害防控中心编制的《美国白蛾监测预报技术操作手册》对项目进行验收。 综合防治依据《光肩星天牛防治技术规程》（LY/T1961-2011）以及其它相关林业有害生物防治规范对项目进行验收。</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项目验收合格后一次付清</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b/>
          <w:sz w:val="28"/>
        </w:rPr>
        <w:t>3.4其他要求</w:t>
      </w:r>
    </w:p>
    <w:p>
      <w:pPr>
        <w:pStyle w:val="null3"/>
      </w:pPr>
      <w:r>
        <w:rPr/>
        <w:t>(1)为顺利推进政府采购电子化交易平台试点应用工作，供应商需要在线提交所有通过电子化 交易平台实施的政府采购项目的响应文件，同时，中标供应商线下提交响应文件正本壹份、副本贰套、电子版壹套。若电子响应文件与纸质响应文件不一致的，以纸质响应文件为准;若正本和副本不符，以正本为准。 线下递交文件时间:领取中标通知书当天;线下递交文件地点:西安市高新区锦业一路52号宝德云谷国际B座14层1406-6室(2)因文件关于合同签订时间无法修改，特在此处说明，成交供应商应当在成交通知书发出之日起25日内与采购人签订政府采购合同 (3)因文件关于资格审查主体无法修改，特在此处说明，资格审查由陕西中诚天和项目管理有限公司组建的资格审查小组依据法律法规和招标文件的规定，对响应文件中的资格证明等进行审查，以确定投标人是否具备投标资格。(4)如招标文件中融资相关内容与新政策要求有出入，按照最新要求执行。</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法定代表人证明书与法定代表人授权书 供应商资质证明文件 供应商承诺书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供应商资质证明文件 供应商承诺书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企业采购，仅限符合《政府采购促进中小企业发展管理办法》（财库〔2020〕46号）条件的中小企业参与，供应商应填写中小企业声明函并对真实性负责（残疾人福利性单位及监狱企业视同为小型、微型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供应商资质证明文件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tc>
        <w:tc>
          <w:tcPr>
            <w:tcW w:type="dxa" w:w="1661"/>
          </w:tcPr>
          <w:p>
            <w:pPr>
              <w:pStyle w:val="null3"/>
            </w:pPr>
            <w:r>
              <w:rPr/>
              <w:t>法定代表人证明书与法定代表人授权书</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t>供应商资质证明文件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提供投标文件截止时间前一年内至少一个月已缴纳的任意税种凭据；依法免税的投标人应提供相关文件证明</w:t>
            </w:r>
          </w:p>
        </w:tc>
        <w:tc>
          <w:tcPr>
            <w:tcW w:type="dxa" w:w="1661"/>
          </w:tcPr>
          <w:p>
            <w:pPr>
              <w:pStyle w:val="null3"/>
            </w:pPr>
            <w:r>
              <w:rPr/>
              <w:t>供应商资质证明文件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t>供应商资质证明文件</w:t>
            </w:r>
          </w:p>
        </w:tc>
      </w:tr>
      <w:tr>
        <w:tc>
          <w:tcPr>
            <w:tcW w:type="dxa" w:w="831"/>
          </w:tcPr>
          <w:p>
            <w:pPr>
              <w:pStyle w:val="null3"/>
            </w:pPr>
            <w:r>
              <w:rPr/>
              <w:t>6</w:t>
            </w:r>
          </w:p>
        </w:tc>
        <w:tc>
          <w:tcPr>
            <w:tcW w:type="dxa" w:w="2492"/>
          </w:tcPr>
          <w:p>
            <w:pPr>
              <w:pStyle w:val="null3"/>
            </w:pPr>
            <w:r>
              <w:rPr/>
              <w:t>书面承诺</w:t>
            </w:r>
          </w:p>
        </w:tc>
        <w:tc>
          <w:tcPr>
            <w:tcW w:type="dxa" w:w="3322"/>
          </w:tcPr>
          <w:p>
            <w:pPr>
              <w:pStyle w:val="null3"/>
            </w:pPr>
            <w:r>
              <w:rPr/>
              <w:t>提供具有履行本合同所必需的设备和专业技术能力的声明、参加政府采购活动前3年内在经营活动中没有重大违法记录的书面承诺</w:t>
            </w:r>
          </w:p>
        </w:tc>
        <w:tc>
          <w:tcPr>
            <w:tcW w:type="dxa" w:w="1661"/>
          </w:tcPr>
          <w:p>
            <w:pPr>
              <w:pStyle w:val="null3"/>
            </w:pPr>
            <w:r>
              <w:rPr/>
              <w:t>供应商资质证明文件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响应报价表 标的清单 报价表</w:t>
            </w:r>
          </w:p>
        </w:tc>
      </w:tr>
      <w:tr>
        <w:tc>
          <w:tcPr>
            <w:tcW w:type="dxa" w:w="831"/>
          </w:tcPr>
          <w:p>
            <w:pPr>
              <w:pStyle w:val="null3"/>
            </w:pPr>
            <w:r>
              <w:rPr/>
              <w:t>2</w:t>
            </w:r>
          </w:p>
        </w:tc>
        <w:tc>
          <w:tcPr>
            <w:tcW w:type="dxa" w:w="2492"/>
          </w:tcPr>
          <w:p>
            <w:pPr>
              <w:pStyle w:val="null3"/>
            </w:pPr>
            <w:r>
              <w:rPr/>
              <w:t>磋商响应文件的完整性审查</w:t>
            </w:r>
          </w:p>
        </w:tc>
        <w:tc>
          <w:tcPr>
            <w:tcW w:type="dxa" w:w="3322"/>
          </w:tcPr>
          <w:p>
            <w:pPr>
              <w:pStyle w:val="null3"/>
            </w:pPr>
            <w:r>
              <w:rPr/>
              <w:t>响应文件是否按照磋商文件规定份数提交的</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磋商响应文件的有效性审查</w:t>
            </w:r>
          </w:p>
        </w:tc>
        <w:tc>
          <w:tcPr>
            <w:tcW w:type="dxa" w:w="3322"/>
          </w:tcPr>
          <w:p>
            <w:pPr>
              <w:pStyle w:val="null3"/>
            </w:pPr>
            <w:r>
              <w:rPr/>
              <w:t>响应文件的签署、加盖印章是否合格、有效；提供的各种证明文件、数据、资料是否真实、有效</w:t>
            </w:r>
          </w:p>
        </w:tc>
        <w:tc>
          <w:tcPr>
            <w:tcW w:type="dxa" w:w="1661"/>
          </w:tcPr>
          <w:p>
            <w:pPr>
              <w:pStyle w:val="null3"/>
            </w:pPr>
            <w:r>
              <w:rPr/>
              <w:t>响应文件封面 法定代表人证明书与法定代表人授权书 中小企业声明函 响应报价表 供应商资质证明文件 标的清单 报价表 供应商承诺书 响应函</w:t>
            </w:r>
          </w:p>
        </w:tc>
      </w:tr>
      <w:tr>
        <w:tc>
          <w:tcPr>
            <w:tcW w:type="dxa" w:w="831"/>
          </w:tcPr>
          <w:p>
            <w:pPr>
              <w:pStyle w:val="null3"/>
            </w:pPr>
            <w:r>
              <w:rPr/>
              <w:t>4</w:t>
            </w:r>
          </w:p>
        </w:tc>
        <w:tc>
          <w:tcPr>
            <w:tcW w:type="dxa" w:w="2492"/>
          </w:tcPr>
          <w:p>
            <w:pPr>
              <w:pStyle w:val="null3"/>
            </w:pPr>
            <w:r>
              <w:rPr/>
              <w:t>磋商响应文件的响应性审查</w:t>
            </w:r>
          </w:p>
        </w:tc>
        <w:tc>
          <w:tcPr>
            <w:tcW w:type="dxa" w:w="3322"/>
          </w:tcPr>
          <w:p>
            <w:pPr>
              <w:pStyle w:val="null3"/>
            </w:pPr>
            <w:r>
              <w:rPr/>
              <w:t>1.磋商报价是否超过采购预算； 2.磋商报价是否低于成本价，涉嫌不正当竞争；（如果评委会认为某磋商报价明显不合理或者低于成本，应当要求其在规定期限内提供书面文件予以解释说明，并提交相关证明材料。）</w:t>
            </w:r>
          </w:p>
        </w:tc>
        <w:tc>
          <w:tcPr>
            <w:tcW w:type="dxa" w:w="1661"/>
          </w:tcPr>
          <w:p>
            <w:pPr>
              <w:pStyle w:val="null3"/>
            </w:pPr>
            <w:r>
              <w:rPr/>
              <w:t>响应报价表 标的清单 报价表</w:t>
            </w:r>
          </w:p>
        </w:tc>
      </w:tr>
      <w:tr>
        <w:tc>
          <w:tcPr>
            <w:tcW w:type="dxa" w:w="831"/>
          </w:tcPr>
          <w:p>
            <w:pPr>
              <w:pStyle w:val="null3"/>
            </w:pPr>
            <w:r>
              <w:rPr/>
              <w:t>5</w:t>
            </w:r>
          </w:p>
        </w:tc>
        <w:tc>
          <w:tcPr>
            <w:tcW w:type="dxa" w:w="2492"/>
          </w:tcPr>
          <w:p>
            <w:pPr>
              <w:pStyle w:val="null3"/>
            </w:pPr>
            <w:r>
              <w:rPr/>
              <w:t>磋商报价有效期符合磋商文件的要求</w:t>
            </w:r>
          </w:p>
        </w:tc>
        <w:tc>
          <w:tcPr>
            <w:tcW w:type="dxa" w:w="3322"/>
          </w:tcPr>
          <w:p>
            <w:pPr>
              <w:pStyle w:val="null3"/>
            </w:pPr>
            <w:r>
              <w:rPr/>
              <w:t>磋商报价有效期符合磋商文件的要求</w:t>
            </w:r>
          </w:p>
        </w:tc>
        <w:tc>
          <w:tcPr>
            <w:tcW w:type="dxa" w:w="1661"/>
          </w:tcPr>
          <w:p>
            <w:pPr>
              <w:pStyle w:val="null3"/>
            </w:pPr>
            <w:r>
              <w:rPr/>
              <w:t>响应报价表 响应函</w:t>
            </w:r>
          </w:p>
        </w:tc>
      </w:tr>
      <w:tr>
        <w:tc>
          <w:tcPr>
            <w:tcW w:type="dxa" w:w="831"/>
          </w:tcPr>
          <w:p>
            <w:pPr>
              <w:pStyle w:val="null3"/>
            </w:pPr>
            <w:r>
              <w:rPr/>
              <w:t>6</w:t>
            </w:r>
          </w:p>
        </w:tc>
        <w:tc>
          <w:tcPr>
            <w:tcW w:type="dxa" w:w="2492"/>
          </w:tcPr>
          <w:p>
            <w:pPr>
              <w:pStyle w:val="null3"/>
            </w:pPr>
            <w:r>
              <w:rPr/>
              <w:t>响应文件内容是否符合国家法律法规，是否响应了磋商文件要求的全部条款、条件和规格要求，并且提供了支持文件，没有重大偏离</w:t>
            </w:r>
          </w:p>
        </w:tc>
        <w:tc>
          <w:tcPr>
            <w:tcW w:type="dxa" w:w="3322"/>
          </w:tcPr>
          <w:p>
            <w:pPr>
              <w:pStyle w:val="null3"/>
            </w:pPr>
            <w:r>
              <w:rPr/>
              <w:t>响应文件内容是否符合国家法律法规，是否响应了磋商文件要求的全部条款、条件和规格要求，并且提供了支持文件，没有重大偏离</w:t>
            </w:r>
          </w:p>
        </w:tc>
        <w:tc>
          <w:tcPr>
            <w:tcW w:type="dxa" w:w="1661"/>
          </w:tcPr>
          <w:p>
            <w:pPr>
              <w:pStyle w:val="null3"/>
            </w:pPr>
            <w:r>
              <w:rPr/>
              <w:t>商务要求偏差表 对磋商文件及合同条款的承诺 响应方案说明 供应商承诺书</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1、根据项目的实施内容，对项目背景进行分析说明，针对重点部位、重点区域、一般区域制定合理、完善、操作性强的实施方案，方案完备、合理、切实可行的计 10-15（含）分；方案一般，具有一定可行性及5-10分（含）；方案粗略、简单计 0-5（含）分。 2、作业安全保障措施：确保人员、环境等安全措施。内容全面、安排合理明确重、可行性强的计 3-6（含）分；保障措施方案一般，措施粗略、简单计 0-3（含）分。 3、对服务内容、重点区域、一般区域服务质量等方面有完善合理且具有可操作性的承诺及措施，方案完备、合理、切实可行的计 3-6（含）分；方案粗略、简单计 0-3（含）分。 4、针对本项目特殊情况，对于可能出现的突发状况，有制定完善的补救措施的，方案完备、合理、切实可行且优于本项目的计 3-6（含）分；方案粗略、简单、针对性不强计 0-3（含）分。 5、药品质量可靠，进货渠道证明资料完整、正规，质量能够得到保证、提供证明材料（包含但不限于提供药品相关证明材料）。提供资料完整、合理、详细的计 3-6（含）分；提供资料粗略、简单计 0-3（含）分。 6、物料配备 具有详细的拟投物料明细清单并提供相关证明材料，作业过程中使用器材设备具有安全性、功能性、先进性等，完全能够满足本项目的工作需求，根据响应情况计0-6 分。</w:t>
            </w:r>
          </w:p>
        </w:tc>
        <w:tc>
          <w:tcPr>
            <w:tcW w:type="dxa" w:w="831"/>
          </w:tcPr>
          <w:p>
            <w:pPr>
              <w:pStyle w:val="null3"/>
              <w:jc w:val="right"/>
            </w:pPr>
            <w:r>
              <w:rPr/>
              <w:t>45.00</w:t>
            </w:r>
          </w:p>
        </w:tc>
        <w:tc>
          <w:tcPr>
            <w:tcW w:type="dxa" w:w="831"/>
          </w:tcPr>
          <w:p>
            <w:pPr>
              <w:pStyle w:val="null3"/>
            </w:pPr>
            <w:r>
              <w:rPr/>
              <w:t>主观</w:t>
            </w:r>
          </w:p>
        </w:tc>
        <w:tc>
          <w:tcPr>
            <w:tcW w:type="dxa" w:w="1661"/>
          </w:tcPr>
          <w:p>
            <w:pPr>
              <w:pStyle w:val="null3"/>
            </w:pPr>
            <w:r>
              <w:rPr/>
              <w:t>商务要求偏差表</w:t>
            </w:r>
          </w:p>
          <w:p>
            <w:pPr>
              <w:pStyle w:val="null3"/>
            </w:pPr>
            <w:r>
              <w:rPr/>
              <w:t>对磋商文件及合同条款的承诺</w:t>
            </w:r>
          </w:p>
          <w:p>
            <w:pPr>
              <w:pStyle w:val="null3"/>
            </w:pPr>
            <w:r>
              <w:rPr/>
              <w:t>响应方案说明</w:t>
            </w:r>
          </w:p>
        </w:tc>
      </w:tr>
      <w:tr>
        <w:tc>
          <w:tcPr>
            <w:tcW w:type="dxa" w:w="831"/>
            <w:vMerge/>
          </w:tcPr>
          <w:p/>
        </w:tc>
        <w:tc>
          <w:tcPr>
            <w:tcW w:type="dxa" w:w="1661"/>
          </w:tcPr>
          <w:p>
            <w:pPr>
              <w:pStyle w:val="null3"/>
            </w:pPr>
            <w:r>
              <w:rPr/>
              <w:t>拟投入人员情况</w:t>
            </w:r>
          </w:p>
        </w:tc>
        <w:tc>
          <w:tcPr>
            <w:tcW w:type="dxa" w:w="2492"/>
          </w:tcPr>
          <w:p>
            <w:pPr>
              <w:pStyle w:val="null3"/>
            </w:pPr>
            <w:r>
              <w:rPr/>
              <w:t>1.拟投入本项目的服务团队组织结构 合理，人员专业度高且数量充足，得7- 10（含）分；服务团队组织结构 基本合理、人员有一定专业性，数 量基本满足项目需求得3- 7（含）分 ; 服务团队组织结构模糊，人员专业度不足，人员数量少，无法满足项目需求计0-3（含）分。人员不得重复计分，响应文件提供相证明材料和近半年内的社保缴纳证明。 2.人员工作岗位分工明确、管理制度和职责清晰得 3-5（含）分；人员管理、分工及岗位职责不清晰得 0-3（含）分。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商务要求偏差表</w:t>
            </w:r>
          </w:p>
          <w:p>
            <w:pPr>
              <w:pStyle w:val="null3"/>
            </w:pPr>
            <w:r>
              <w:rPr/>
              <w:t>响应方案说明</w:t>
            </w:r>
          </w:p>
        </w:tc>
      </w:tr>
      <w:tr>
        <w:tc>
          <w:tcPr>
            <w:tcW w:type="dxa" w:w="831"/>
            <w:vMerge/>
          </w:tcPr>
          <w:p/>
        </w:tc>
        <w:tc>
          <w:tcPr>
            <w:tcW w:type="dxa" w:w="1661"/>
          </w:tcPr>
          <w:p>
            <w:pPr>
              <w:pStyle w:val="null3"/>
            </w:pPr>
            <w:r>
              <w:rPr/>
              <w:t>工作计划、进度安排 、进度保障措施</w:t>
            </w:r>
          </w:p>
        </w:tc>
        <w:tc>
          <w:tcPr>
            <w:tcW w:type="dxa" w:w="2492"/>
          </w:tcPr>
          <w:p>
            <w:pPr>
              <w:pStyle w:val="null3"/>
            </w:pPr>
            <w:r>
              <w:rPr/>
              <w:t>工作计划目标明确，进度安排方案科学合理，进度保障措施全面且可行性高计7-10（含）分；工作计划有一定目标性，进度安排及进度保障措施明确，基本满足项目需求计3-7（含）分；无工作计划目标或目标含糊，进度安排及进度保障措施有明显缺陷，无法保障服务进度计0-3（含）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商务要求偏差表</w:t>
            </w:r>
          </w:p>
          <w:p>
            <w:pPr>
              <w:pStyle w:val="null3"/>
            </w:pPr>
            <w:r>
              <w:rPr/>
              <w:t>对磋商文件及合同条款的承诺</w:t>
            </w:r>
          </w:p>
          <w:p>
            <w:pPr>
              <w:pStyle w:val="null3"/>
            </w:pPr>
            <w:r>
              <w:rPr/>
              <w:t>响应方案说明</w:t>
            </w:r>
          </w:p>
        </w:tc>
      </w:tr>
      <w:tr>
        <w:tc>
          <w:tcPr>
            <w:tcW w:type="dxa" w:w="831"/>
            <w:vMerge/>
          </w:tcPr>
          <w:p/>
        </w:tc>
        <w:tc>
          <w:tcPr>
            <w:tcW w:type="dxa" w:w="1661"/>
          </w:tcPr>
          <w:p>
            <w:pPr>
              <w:pStyle w:val="null3"/>
            </w:pPr>
            <w:r>
              <w:rPr/>
              <w:t>售后服务</w:t>
            </w:r>
          </w:p>
        </w:tc>
        <w:tc>
          <w:tcPr>
            <w:tcW w:type="dxa" w:w="2492"/>
          </w:tcPr>
          <w:p>
            <w:pPr>
              <w:pStyle w:val="null3"/>
            </w:pPr>
            <w:r>
              <w:rPr/>
              <w:t>售后服务方案：供应商针对本项目的售后服务承诺、项目交付用户后出现缺陷响应时间及措施，质量保证范围。 1.售后服务方案内容架构完整、层次清晰，满足或优于服务需求，得7-10分； 2.售后服务方案内容欠缺、薄弱的得3-7（含）分； 3.售后服务方案严重欠缺、可行性差得1-3（含）分。 4.未提供售后服务方案不得分。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商务要求偏差表</w:t>
            </w:r>
          </w:p>
          <w:p>
            <w:pPr>
              <w:pStyle w:val="null3"/>
            </w:pPr>
            <w:r>
              <w:rPr/>
              <w:t>对磋商文件及合同条款的承诺</w:t>
            </w:r>
          </w:p>
          <w:p>
            <w:pPr>
              <w:pStyle w:val="null3"/>
            </w:pPr>
            <w:r>
              <w:rPr/>
              <w:t>响应方案说明</w:t>
            </w:r>
          </w:p>
        </w:tc>
      </w:tr>
      <w:tr>
        <w:tc>
          <w:tcPr>
            <w:tcW w:type="dxa" w:w="831"/>
            <w:vMerge/>
          </w:tcPr>
          <w:p/>
        </w:tc>
        <w:tc>
          <w:tcPr>
            <w:tcW w:type="dxa" w:w="1661"/>
          </w:tcPr>
          <w:p>
            <w:pPr>
              <w:pStyle w:val="null3"/>
            </w:pPr>
            <w:r>
              <w:rPr/>
              <w:t>业绩</w:t>
            </w:r>
          </w:p>
        </w:tc>
        <w:tc>
          <w:tcPr>
            <w:tcW w:type="dxa" w:w="2492"/>
          </w:tcPr>
          <w:p>
            <w:pPr>
              <w:pStyle w:val="null3"/>
            </w:pPr>
            <w:r>
              <w:rPr/>
              <w:t>供应商自 2021 年 1 月 1 日至响应文件递交截止时间前类似项目业绩， 每提供 1 份得 2分，满分 10 分。 注：以磋商响应文件中所附的合同协议书复印件为准，时间以合同签订时间为准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详见附件：响应报价表</w:t>
      </w:r>
    </w:p>
    <w:p>
      <w:pPr>
        <w:pStyle w:val="null3"/>
        <w:ind w:firstLine="960"/>
      </w:pPr>
      <w:r>
        <w:rPr/>
        <w:t>详见附件：商务要求偏差表</w:t>
      </w:r>
    </w:p>
    <w:p>
      <w:pPr>
        <w:pStyle w:val="null3"/>
        <w:ind w:firstLine="960"/>
      </w:pPr>
      <w:r>
        <w:rPr/>
        <w:t>详见附件：法定代表人证明书与法定代表人授权书</w:t>
      </w:r>
    </w:p>
    <w:p>
      <w:pPr>
        <w:pStyle w:val="null3"/>
        <w:ind w:firstLine="960"/>
      </w:pPr>
      <w:r>
        <w:rPr/>
        <w:t>详见附件：供应商资质证明文件</w:t>
      </w:r>
    </w:p>
    <w:p>
      <w:pPr>
        <w:pStyle w:val="null3"/>
        <w:ind w:firstLine="960"/>
      </w:pPr>
      <w:r>
        <w:rPr/>
        <w:t>详见附件：对磋商文件及合同条款的承诺</w:t>
      </w:r>
    </w:p>
    <w:p>
      <w:pPr>
        <w:pStyle w:val="null3"/>
        <w:ind w:firstLine="960"/>
      </w:pPr>
      <w:r>
        <w:rPr/>
        <w:t>详见附件：响应方案说明</w:t>
      </w:r>
    </w:p>
    <w:p>
      <w:pPr>
        <w:pStyle w:val="null3"/>
        <w:ind w:firstLine="960"/>
      </w:pPr>
      <w:r>
        <w:rPr/>
        <w:t>详见附件：供应商承诺书</w:t>
      </w:r>
    </w:p>
    <w:p>
      <w:pPr>
        <w:pStyle w:val="null3"/>
      </w:pPr>
      <w:r>
        <w:rPr/>
        <w:t xml:space="preserve"> </w:t>
      </w:r>
    </w:p>
    <w:p>
      <w:pPr>
        <w:pStyle w:val="null3"/>
        <w:jc w:val="center"/>
        <w:outlineLvl w:val="1"/>
      </w:pPr>
      <w:r>
        <w:rPr>
          <w:b/>
          <w:sz w:val="36"/>
        </w:rPr>
        <w:t>第八章 拟签订采购合同文本</w:t>
      </w:r>
    </w:p>
    <w:p>
      <w:pPr>
        <w:pStyle w:val="null3"/>
      </w:pPr>
      <w:r>
        <w:rPr/>
        <w:t>详见附件：合同草案条款.docx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