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47" w:lineRule="auto"/>
        <w:rPr>
          <w:highlight w:val="none"/>
        </w:rPr>
      </w:pPr>
    </w:p>
    <w:p>
      <w:pPr>
        <w:spacing w:before="188" w:line="221" w:lineRule="auto"/>
        <w:ind w:left="2650"/>
        <w:outlineLvl w:val="9"/>
        <w:rPr>
          <w:rFonts w:ascii="宋体" w:hAnsi="宋体" w:eastAsia="宋体" w:cs="宋体"/>
          <w:sz w:val="58"/>
          <w:szCs w:val="58"/>
          <w:highlight w:val="none"/>
        </w:rPr>
      </w:pPr>
      <w:r>
        <w:rPr>
          <w:rFonts w:ascii="宋体" w:hAnsi="宋体" w:eastAsia="宋体" w:cs="宋体"/>
          <w:spacing w:val="-22"/>
          <w:sz w:val="58"/>
          <w:szCs w:val="58"/>
          <w:highlight w:val="none"/>
        </w:rPr>
        <w:t>磋 商</w:t>
      </w:r>
      <w:r>
        <w:rPr>
          <w:rFonts w:ascii="宋体" w:hAnsi="宋体" w:eastAsia="宋体" w:cs="宋体"/>
          <w:spacing w:val="-32"/>
          <w:sz w:val="58"/>
          <w:szCs w:val="58"/>
          <w:highlight w:val="none"/>
        </w:rPr>
        <w:t xml:space="preserve"> </w:t>
      </w:r>
      <w:r>
        <w:rPr>
          <w:rFonts w:ascii="宋体" w:hAnsi="宋体" w:eastAsia="宋体" w:cs="宋体"/>
          <w:spacing w:val="-22"/>
          <w:sz w:val="58"/>
          <w:szCs w:val="58"/>
          <w:highlight w:val="none"/>
        </w:rPr>
        <w:t>文</w:t>
      </w:r>
      <w:r>
        <w:rPr>
          <w:rFonts w:ascii="宋体" w:hAnsi="宋体" w:eastAsia="宋体" w:cs="宋体"/>
          <w:spacing w:val="-40"/>
          <w:sz w:val="58"/>
          <w:szCs w:val="58"/>
          <w:highlight w:val="none"/>
        </w:rPr>
        <w:t xml:space="preserve"> </w:t>
      </w:r>
      <w:r>
        <w:rPr>
          <w:rFonts w:ascii="宋体" w:hAnsi="宋体" w:eastAsia="宋体" w:cs="宋体"/>
          <w:spacing w:val="-22"/>
          <w:sz w:val="58"/>
          <w:szCs w:val="58"/>
          <w:highlight w:val="none"/>
        </w:rPr>
        <w:t>件</w:t>
      </w:r>
    </w:p>
    <w:p>
      <w:pPr>
        <w:pStyle w:val="3"/>
        <w:spacing w:line="263" w:lineRule="auto"/>
        <w:rPr>
          <w:highlight w:val="none"/>
        </w:rPr>
      </w:pPr>
    </w:p>
    <w:p>
      <w:pPr>
        <w:pStyle w:val="3"/>
        <w:spacing w:line="263" w:lineRule="auto"/>
        <w:rPr>
          <w:highlight w:val="none"/>
        </w:rPr>
      </w:pPr>
    </w:p>
    <w:p>
      <w:pPr>
        <w:pStyle w:val="3"/>
        <w:spacing w:line="263" w:lineRule="auto"/>
        <w:rPr>
          <w:highlight w:val="none"/>
        </w:rPr>
      </w:pPr>
    </w:p>
    <w:p>
      <w:pPr>
        <w:pStyle w:val="3"/>
        <w:spacing w:line="264" w:lineRule="auto"/>
        <w:rPr>
          <w:highlight w:val="none"/>
        </w:rPr>
      </w:pPr>
    </w:p>
    <w:p>
      <w:pPr>
        <w:spacing w:before="95" w:line="221" w:lineRule="auto"/>
        <w:ind w:left="3416"/>
        <w:rPr>
          <w:rFonts w:ascii="宋体" w:hAnsi="宋体" w:eastAsia="宋体" w:cs="宋体"/>
          <w:sz w:val="29"/>
          <w:szCs w:val="29"/>
          <w:highlight w:val="none"/>
        </w:rPr>
      </w:pPr>
      <w:r>
        <w:rPr>
          <w:rFonts w:ascii="宋体" w:hAnsi="宋体" w:eastAsia="宋体" w:cs="宋体"/>
          <w:spacing w:val="4"/>
          <w:sz w:val="29"/>
          <w:szCs w:val="29"/>
          <w:highlight w:val="none"/>
        </w:rPr>
        <w:t>（</w:t>
      </w:r>
      <w:r>
        <w:rPr>
          <w:rFonts w:ascii="宋体" w:hAnsi="宋体" w:eastAsia="宋体" w:cs="宋体"/>
          <w:spacing w:val="4"/>
          <w:sz w:val="31"/>
          <w:szCs w:val="31"/>
        </w:rPr>
        <w:t>服务类</w:t>
      </w:r>
      <w:r>
        <w:rPr>
          <w:rFonts w:ascii="宋体" w:hAnsi="宋体" w:eastAsia="宋体" w:cs="宋体"/>
          <w:spacing w:val="4"/>
          <w:sz w:val="29"/>
          <w:szCs w:val="29"/>
          <w:highlight w:val="none"/>
        </w:rPr>
        <w:t>）</w:t>
      </w:r>
    </w:p>
    <w:p>
      <w:pPr>
        <w:pStyle w:val="3"/>
        <w:spacing w:line="258" w:lineRule="auto"/>
        <w:rPr>
          <w:highlight w:val="none"/>
        </w:rPr>
      </w:pPr>
    </w:p>
    <w:p>
      <w:pPr>
        <w:pStyle w:val="3"/>
        <w:spacing w:line="258" w:lineRule="auto"/>
        <w:rPr>
          <w:highlight w:val="none"/>
        </w:rPr>
      </w:pPr>
    </w:p>
    <w:p>
      <w:pPr>
        <w:pStyle w:val="3"/>
        <w:spacing w:line="258" w:lineRule="auto"/>
        <w:rPr>
          <w:highlight w:val="none"/>
        </w:rPr>
      </w:pPr>
    </w:p>
    <w:p>
      <w:pPr>
        <w:pStyle w:val="3"/>
        <w:spacing w:line="258" w:lineRule="auto"/>
        <w:rPr>
          <w:highlight w:val="none"/>
        </w:rPr>
      </w:pPr>
    </w:p>
    <w:p>
      <w:pPr>
        <w:pStyle w:val="3"/>
        <w:spacing w:line="258" w:lineRule="auto"/>
        <w:rPr>
          <w:highlight w:val="none"/>
        </w:rPr>
      </w:pPr>
    </w:p>
    <w:p>
      <w:pPr>
        <w:pStyle w:val="3"/>
        <w:spacing w:line="258" w:lineRule="auto"/>
        <w:rPr>
          <w:highlight w:val="none"/>
        </w:rPr>
      </w:pPr>
    </w:p>
    <w:p>
      <w:pPr>
        <w:pStyle w:val="3"/>
        <w:spacing w:line="258" w:lineRule="auto"/>
        <w:rPr>
          <w:highlight w:val="none"/>
        </w:rPr>
      </w:pPr>
    </w:p>
    <w:p>
      <w:pPr>
        <w:pStyle w:val="3"/>
        <w:spacing w:line="259" w:lineRule="auto"/>
        <w:rPr>
          <w:highlight w:val="none"/>
        </w:rPr>
      </w:pPr>
    </w:p>
    <w:p>
      <w:pPr>
        <w:pStyle w:val="3"/>
        <w:spacing w:line="259" w:lineRule="auto"/>
        <w:rPr>
          <w:highlight w:val="none"/>
        </w:rPr>
      </w:pPr>
    </w:p>
    <w:p>
      <w:pPr>
        <w:pStyle w:val="3"/>
        <w:spacing w:line="259" w:lineRule="auto"/>
        <w:rPr>
          <w:highlight w:val="none"/>
        </w:rPr>
      </w:pPr>
    </w:p>
    <w:p>
      <w:pPr>
        <w:pStyle w:val="3"/>
        <w:spacing w:line="259" w:lineRule="auto"/>
        <w:rPr>
          <w:highlight w:val="none"/>
        </w:r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jc w:val="center"/>
        <w:textAlignment w:val="baseline"/>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spacing w:val="11"/>
          <w:sz w:val="20"/>
          <w:szCs w:val="20"/>
          <w:highlight w:val="none"/>
        </w:rPr>
        <w:t>采购项目</w:t>
      </w:r>
      <w:r>
        <w:rPr>
          <w:rFonts w:ascii="宋体" w:hAnsi="宋体" w:eastAsia="宋体" w:cs="宋体"/>
          <w:color w:val="000000" w:themeColor="text1"/>
          <w:spacing w:val="11"/>
          <w:sz w:val="20"/>
          <w:szCs w:val="20"/>
          <w:highlight w:val="none"/>
          <w14:textFill>
            <w14:solidFill>
              <w14:schemeClr w14:val="tx1"/>
            </w14:solidFill>
          </w14:textFill>
        </w:rPr>
        <w:t>名称：</w:t>
      </w:r>
      <w:r>
        <w:rPr>
          <w:rFonts w:hint="eastAsia" w:ascii="宋体" w:hAnsi="宋体" w:eastAsia="宋体" w:cs="宋体"/>
          <w:color w:val="000000" w:themeColor="text1"/>
          <w:spacing w:val="11"/>
          <w:sz w:val="20"/>
          <w:szCs w:val="20"/>
          <w:highlight w:val="none"/>
          <w14:textFill>
            <w14:solidFill>
              <w14:schemeClr w14:val="tx1"/>
            </w14:solidFill>
          </w14:textFill>
        </w:rPr>
        <w:t>西安市灞桥区城市管理综合行政执法大队智慧城管服务项目</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jc w:val="center"/>
        <w:textAlignment w:val="baseline"/>
        <w:rPr>
          <w:rFonts w:hint="eastAsia" w:ascii="宋体" w:hAnsi="宋体" w:eastAsia="宋体" w:cs="宋体"/>
          <w:color w:val="000000" w:themeColor="text1"/>
          <w:spacing w:val="11"/>
          <w:sz w:val="20"/>
          <w:szCs w:val="20"/>
          <w:highlight w:val="none"/>
          <w14:textFill>
            <w14:solidFill>
              <w14:schemeClr w14:val="tx1"/>
            </w14:solidFill>
          </w14:textFill>
        </w:rPr>
      </w:pPr>
      <w:r>
        <w:rPr>
          <w:rFonts w:ascii="宋体" w:hAnsi="宋体" w:eastAsia="宋体" w:cs="宋体"/>
          <w:color w:val="000000" w:themeColor="text1"/>
          <w:spacing w:val="11"/>
          <w:sz w:val="20"/>
          <w:szCs w:val="20"/>
          <w:highlight w:val="none"/>
          <w14:textFill>
            <w14:solidFill>
              <w14:schemeClr w14:val="tx1"/>
            </w14:solidFill>
          </w14:textFill>
        </w:rPr>
        <w:t>采购项目编号：</w:t>
      </w:r>
      <w:r>
        <w:rPr>
          <w:rFonts w:hint="eastAsia" w:ascii="宋体" w:hAnsi="宋体" w:eastAsia="宋体" w:cs="宋体"/>
          <w:color w:val="000000" w:themeColor="text1"/>
          <w:spacing w:val="11"/>
          <w:sz w:val="20"/>
          <w:szCs w:val="20"/>
          <w:highlight w:val="none"/>
          <w14:textFill>
            <w14:solidFill>
              <w14:schemeClr w14:val="tx1"/>
            </w14:solidFill>
          </w14:textFill>
        </w:rPr>
        <w:t>SXLX24-01-024Z(F)</w:t>
      </w: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rPr>
          <w:color w:val="000000" w:themeColor="text1"/>
          <w:highlight w:val="none"/>
          <w14:textFill>
            <w14:solidFill>
              <w14:schemeClr w14:val="tx1"/>
            </w14:solidFill>
          </w14:textFill>
        </w:rPr>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rPr>
          <w:color w:val="000000" w:themeColor="text1"/>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2469"/>
        <w:textAlignment w:val="baseline"/>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西安市灞桥区城市管理综合行政执法大队</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2469"/>
        <w:textAlignment w:val="baseline"/>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1"/>
          <w:sz w:val="20"/>
          <w:szCs w:val="20"/>
          <w:highlight w:val="none"/>
          <w14:textFill>
            <w14:solidFill>
              <w14:schemeClr w14:val="tx1"/>
            </w14:solidFill>
          </w14:textFill>
        </w:rPr>
        <w:t>陕西隆信项目管理有限公司共同编制</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3272"/>
        <w:textAlignment w:val="baseline"/>
        <w:rPr>
          <w:rFonts w:ascii="宋体" w:hAnsi="宋体" w:eastAsia="宋体" w:cs="宋体"/>
          <w:color w:val="000000" w:themeColor="text1"/>
          <w:sz w:val="20"/>
          <w:szCs w:val="20"/>
          <w:highlight w:val="none"/>
          <w14:textFill>
            <w14:solidFill>
              <w14:schemeClr w14:val="tx1"/>
            </w14:solidFill>
          </w14:textFill>
        </w:rPr>
      </w:pPr>
      <w:r>
        <w:rPr>
          <w:rFonts w:ascii="Microsoft JhengHei" w:hAnsi="Microsoft JhengHei" w:eastAsia="Microsoft JhengHei" w:cs="Microsoft JhengHei"/>
          <w:b/>
          <w:bCs/>
          <w:color w:val="000000" w:themeColor="text1"/>
          <w:spacing w:val="20"/>
          <w:sz w:val="20"/>
          <w:szCs w:val="20"/>
          <w:highlight w:val="none"/>
          <w14:textFill>
            <w14:solidFill>
              <w14:schemeClr w14:val="tx1"/>
            </w14:solidFill>
          </w14:textFill>
        </w:rPr>
        <w:t>20</w:t>
      </w:r>
      <w:r>
        <w:rPr>
          <w:rFonts w:hint="eastAsia" w:ascii="Microsoft JhengHei" w:hAnsi="Microsoft JhengHei" w:eastAsia="宋体" w:cs="Microsoft JhengHei"/>
          <w:b/>
          <w:bCs/>
          <w:color w:val="000000" w:themeColor="text1"/>
          <w:spacing w:val="20"/>
          <w:sz w:val="20"/>
          <w:szCs w:val="20"/>
          <w:highlight w:val="none"/>
          <w:lang w:val="en-US" w:eastAsia="zh-CN"/>
          <w14:textFill>
            <w14:solidFill>
              <w14:schemeClr w14:val="tx1"/>
            </w14:solidFill>
          </w14:textFill>
        </w:rPr>
        <w:t>24</w:t>
      </w:r>
      <w:r>
        <w:rPr>
          <w:rFonts w:ascii="宋体" w:hAnsi="宋体" w:eastAsia="宋体" w:cs="宋体"/>
          <w:color w:val="000000" w:themeColor="text1"/>
          <w:spacing w:val="20"/>
          <w:sz w:val="20"/>
          <w:szCs w:val="20"/>
          <w:highlight w:val="none"/>
          <w14:textFill>
            <w14:solidFill>
              <w14:schemeClr w14:val="tx1"/>
            </w14:solidFill>
          </w14:textFill>
        </w:rPr>
        <w:t>年</w:t>
      </w:r>
      <w:r>
        <w:rPr>
          <w:rFonts w:hint="eastAsia" w:ascii="Microsoft JhengHei" w:hAnsi="Microsoft JhengHei" w:eastAsia="宋体" w:cs="Microsoft JhengHei"/>
          <w:b/>
          <w:bCs/>
          <w:color w:val="000000" w:themeColor="text1"/>
          <w:spacing w:val="20"/>
          <w:sz w:val="20"/>
          <w:szCs w:val="20"/>
          <w:highlight w:val="none"/>
          <w:lang w:val="en-US" w:eastAsia="zh-CN"/>
          <w14:textFill>
            <w14:solidFill>
              <w14:schemeClr w14:val="tx1"/>
            </w14:solidFill>
          </w14:textFill>
        </w:rPr>
        <w:t>4</w:t>
      </w:r>
      <w:r>
        <w:rPr>
          <w:rFonts w:ascii="宋体" w:hAnsi="宋体" w:eastAsia="宋体" w:cs="宋体"/>
          <w:color w:val="000000" w:themeColor="text1"/>
          <w:spacing w:val="20"/>
          <w:sz w:val="20"/>
          <w:szCs w:val="20"/>
          <w:highlight w:val="none"/>
          <w14:textFill>
            <w14:solidFill>
              <w14:schemeClr w14:val="tx1"/>
            </w14:solidFill>
          </w14:textFill>
        </w:rPr>
        <w:t>月</w:t>
      </w:r>
      <w:r>
        <w:rPr>
          <w:rFonts w:hint="eastAsia" w:ascii="Microsoft JhengHei" w:hAnsi="Microsoft JhengHei" w:eastAsia="宋体" w:cs="Microsoft JhengHei"/>
          <w:b/>
          <w:bCs/>
          <w:color w:val="000000" w:themeColor="text1"/>
          <w:spacing w:val="20"/>
          <w:sz w:val="20"/>
          <w:szCs w:val="20"/>
          <w:highlight w:val="none"/>
          <w:lang w:val="en-US" w:eastAsia="zh-CN"/>
          <w14:textFill>
            <w14:solidFill>
              <w14:schemeClr w14:val="tx1"/>
            </w14:solidFill>
          </w14:textFill>
        </w:rPr>
        <w:t>8</w:t>
      </w:r>
      <w:r>
        <w:rPr>
          <w:rFonts w:ascii="宋体" w:hAnsi="宋体" w:eastAsia="宋体" w:cs="宋体"/>
          <w:color w:val="000000" w:themeColor="text1"/>
          <w:spacing w:val="20"/>
          <w:sz w:val="20"/>
          <w:szCs w:val="20"/>
          <w:highlight w:val="none"/>
          <w14:textFill>
            <w14:solidFill>
              <w14:schemeClr w14:val="tx1"/>
            </w14:solidFill>
          </w14:textFill>
        </w:rPr>
        <w:t>日</w:t>
      </w:r>
    </w:p>
    <w:p>
      <w:pPr>
        <w:spacing w:line="189" w:lineRule="auto"/>
        <w:rPr>
          <w:rFonts w:ascii="宋体" w:hAnsi="宋体" w:eastAsia="宋体" w:cs="宋体"/>
          <w:sz w:val="20"/>
          <w:szCs w:val="20"/>
          <w:highlight w:val="none"/>
        </w:rPr>
        <w:sectPr>
          <w:pgSz w:w="11900" w:h="16840"/>
          <w:pgMar w:top="1431" w:right="1785" w:bottom="276" w:left="1785" w:header="0" w:footer="0" w:gutter="0"/>
          <w:cols w:space="720" w:num="1"/>
        </w:sectPr>
      </w:pPr>
    </w:p>
    <w:p>
      <w:pPr>
        <w:spacing w:before="58" w:line="220" w:lineRule="auto"/>
        <w:ind w:left="3720"/>
        <w:outlineLvl w:val="0"/>
        <w:rPr>
          <w:rFonts w:ascii="宋体" w:hAnsi="宋体" w:eastAsia="宋体" w:cs="宋体"/>
          <w:sz w:val="29"/>
          <w:szCs w:val="29"/>
          <w:highlight w:val="none"/>
        </w:rPr>
      </w:pPr>
      <w:r>
        <w:rPr>
          <w:rFonts w:ascii="宋体" w:hAnsi="宋体" w:eastAsia="宋体" w:cs="宋体"/>
          <w:spacing w:val="6"/>
          <w:sz w:val="29"/>
          <w:szCs w:val="29"/>
          <w:highlight w:val="none"/>
        </w:rPr>
        <w:t>第一章 竞争性磋商邀请</w:t>
      </w:r>
    </w:p>
    <w:p>
      <w:pPr>
        <w:pStyle w:val="3"/>
        <w:spacing w:line="334" w:lineRule="auto"/>
        <w:rPr>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陕西隆信项目管理有限公司（以下简称</w:t>
      </w:r>
      <w:r>
        <w:rPr>
          <w:rFonts w:hint="eastAsia" w:eastAsia="宋体"/>
          <w:highlight w:val="none"/>
          <w:lang w:eastAsia="zh-CN"/>
        </w:rPr>
        <w:t>“</w:t>
      </w:r>
      <w:r>
        <w:rPr>
          <w:highlight w:val="none"/>
        </w:rPr>
        <w:t>代理机构</w:t>
      </w:r>
      <w:r>
        <w:rPr>
          <w:rFonts w:hint="eastAsia" w:eastAsia="宋体"/>
          <w:highlight w:val="none"/>
          <w:lang w:eastAsia="zh-CN"/>
        </w:rPr>
        <w:t>”</w:t>
      </w:r>
      <w:r>
        <w:rPr>
          <w:highlight w:val="none"/>
        </w:rPr>
        <w:t>）受</w:t>
      </w:r>
      <w:r>
        <w:rPr>
          <w:rFonts w:hint="eastAsia" w:eastAsia="宋体"/>
          <w:highlight w:val="none"/>
          <w:lang w:eastAsia="zh-CN"/>
        </w:rPr>
        <w:t>西安市灞桥区城市管理综合行政执法大队</w:t>
      </w:r>
      <w:r>
        <w:rPr>
          <w:highlight w:val="none"/>
        </w:rPr>
        <w:t>委托，拟对</w:t>
      </w:r>
      <w:r>
        <w:rPr>
          <w:rFonts w:hint="eastAsia" w:eastAsia="宋体"/>
          <w:highlight w:val="none"/>
          <w:lang w:eastAsia="zh-CN"/>
        </w:rPr>
        <w:t>智慧城管服务项目</w:t>
      </w:r>
      <w:r>
        <w:rPr>
          <w:highlight w:val="none"/>
        </w:rPr>
        <w:t>采用竞争性磋商采购方式进行采购，兹邀请供应商参加本项目的竞争性磋商。</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0" w:beforeLines="50" w:after="0" w:afterLines="50" w:line="360" w:lineRule="auto"/>
        <w:ind w:right="-199" w:rightChars="-95" w:firstLine="420" w:firstLineChars="200"/>
        <w:textAlignment w:val="baseline"/>
        <w:rPr>
          <w:rFonts w:hint="eastAsia" w:eastAsia="宋体"/>
          <w:b w:val="0"/>
          <w:bCs w:val="0"/>
          <w:highlight w:val="none"/>
          <w:lang w:eastAsia="zh-CN"/>
        </w:rPr>
      </w:pPr>
      <w:r>
        <w:rPr>
          <w:b/>
          <w:bCs/>
          <w:highlight w:val="none"/>
        </w:rPr>
        <w:t>采购项目编号：</w:t>
      </w:r>
      <w:r>
        <w:rPr>
          <w:rFonts w:hint="eastAsia" w:eastAsia="宋体"/>
          <w:b w:val="0"/>
          <w:bCs w:val="0"/>
          <w:highlight w:val="none"/>
          <w:lang w:eastAsia="zh-CN"/>
        </w:rPr>
        <w:t xml:space="preserve"> SXLX24-01-024Z(F)</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360" w:lineRule="auto"/>
        <w:ind w:right="-199" w:rightChars="-95" w:firstLine="420" w:firstLineChars="200"/>
        <w:textAlignment w:val="baseline"/>
        <w:rPr>
          <w:rFonts w:hint="eastAsia" w:eastAsia="宋体"/>
          <w:highlight w:val="none"/>
          <w:lang w:eastAsia="zh-CN"/>
        </w:rPr>
      </w:pPr>
      <w:r>
        <w:rPr>
          <w:b/>
          <w:bCs/>
          <w:highlight w:val="none"/>
        </w:rPr>
        <w:t>二、采购项目名称：</w:t>
      </w:r>
      <w:r>
        <w:rPr>
          <w:rFonts w:hint="eastAsia" w:eastAsia="宋体"/>
          <w:highlight w:val="none"/>
          <w:lang w:eastAsia="zh-CN"/>
        </w:rPr>
        <w:t>智慧城管服务项目</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199" w:rightChars="-95" w:firstLine="420" w:firstLineChars="200"/>
        <w:textAlignment w:val="baseline"/>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三、磋商项目简介</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199" w:rightChars="-95" w:firstLine="420" w:firstLineChars="200"/>
        <w:textAlignment w:val="baseline"/>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灞桥区数字化城市管理监督指挥中心“城管通”服务</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199" w:rightChars="-95" w:firstLine="420" w:firstLineChars="200"/>
        <w:textAlignment w:val="baseline"/>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四、邀请供应商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本次采购采</w:t>
      </w:r>
      <w:r>
        <w:rPr>
          <w:color w:val="000000" w:themeColor="text1"/>
          <w:highlight w:val="none"/>
          <w14:textFill>
            <w14:solidFill>
              <w14:schemeClr w14:val="tx1"/>
            </w14:solidFill>
          </w14:textFill>
        </w:rPr>
        <w:t>取公告征集邀请</w:t>
      </w:r>
      <w:r>
        <w:rPr>
          <w:highlight w:val="none"/>
        </w:rPr>
        <w:t>磋商的供应商。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公告征集：本次竞争性磋商在</w:t>
      </w:r>
      <w:r>
        <w:rPr>
          <w:rFonts w:hint="eastAsia" w:eastAsia="宋体"/>
          <w:highlight w:val="none"/>
          <w:lang w:eastAsia="zh-CN"/>
        </w:rPr>
        <w:t>“</w:t>
      </w:r>
      <w:r>
        <w:rPr>
          <w:highlight w:val="none"/>
        </w:rPr>
        <w:t>陕西省政府采购网（www.ccgp-shaanxi.gov.cn）</w:t>
      </w:r>
      <w:r>
        <w:rPr>
          <w:rFonts w:hint="eastAsia" w:eastAsia="宋体"/>
          <w:highlight w:val="none"/>
          <w:lang w:eastAsia="zh-CN"/>
        </w:rPr>
        <w:t>”</w:t>
      </w:r>
      <w:r>
        <w:rPr>
          <w:highlight w:val="none"/>
        </w:rPr>
        <w:t>上以公告形式发布，兹邀请符合本次采购要求的供应商参加本项目的竞争性磋商。</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199" w:rightChars="-95" w:firstLine="420" w:firstLineChars="200"/>
        <w:textAlignment w:val="baseline"/>
        <w:rPr>
          <w:b/>
          <w:bCs/>
          <w:highlight w:val="none"/>
        </w:rPr>
      </w:pPr>
      <w:r>
        <w:rPr>
          <w:b/>
          <w:bCs/>
          <w:highlight w:val="none"/>
        </w:rPr>
        <w:t>五、供应商参加本次政府采购活动应具备的条件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（一）满足《中华人民共和国政府采购法》第二十二条规定；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（二）落实政府采购政策需满足的资格要求：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执行政府采购促进中小企业发展的相关政策：</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采购包1（</w:t>
      </w:r>
      <w:r>
        <w:rPr>
          <w:rFonts w:hint="eastAsia"/>
          <w:highlight w:val="none"/>
        </w:rPr>
        <w:t>西安市碑林区城市管理和综合执法局</w:t>
      </w:r>
      <w:r>
        <w:rPr>
          <w:rFonts w:hint="eastAsia" w:eastAsia="宋体"/>
          <w:highlight w:val="none"/>
          <w:lang w:eastAsia="zh-CN"/>
        </w:rPr>
        <w:t>智慧城管服务项目</w:t>
      </w:r>
      <w:r>
        <w:rPr>
          <w:highlight w:val="none"/>
        </w:rPr>
        <w:t>）：</w:t>
      </w:r>
      <w:r>
        <w:rPr>
          <w:rFonts w:hint="eastAsia" w:eastAsia="宋体"/>
          <w:color w:val="000000" w:themeColor="text1"/>
          <w:highlight w:val="none"/>
          <w:lang w:val="en-US" w:eastAsia="zh-CN"/>
          <w14:textFill>
            <w14:solidFill>
              <w14:schemeClr w14:val="tx1"/>
            </w14:solidFill>
          </w14:textFill>
        </w:rPr>
        <w:t>无</w:t>
      </w:r>
      <w:r>
        <w:rPr>
          <w:color w:val="000000" w:themeColor="text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（三）本项目的特定资格要求：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采购包1：</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eastAsia="宋体"/>
          <w:color w:val="FF0000"/>
          <w:highlight w:val="none"/>
          <w:lang w:eastAsia="zh-CN"/>
        </w:rPr>
      </w:pPr>
      <w:r>
        <w:rPr>
          <w:rFonts w:hint="eastAsia" w:eastAsia="宋体"/>
          <w:color w:val="FF0000"/>
          <w:highlight w:val="none"/>
          <w:lang w:eastAsia="zh-CN"/>
        </w:rPr>
        <w:t>无</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199" w:rightChars="-95" w:firstLine="420" w:firstLineChars="200"/>
        <w:textAlignment w:val="baseline"/>
        <w:rPr>
          <w:b/>
          <w:bCs/>
          <w:highlight w:val="none"/>
        </w:rPr>
      </w:pPr>
      <w:r>
        <w:rPr>
          <w:b/>
          <w:bCs/>
          <w:highlight w:val="none"/>
        </w:rPr>
        <w:t>六、电子化采购相关事项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本项目实行电子化采购，使用的电子化交易系统为：陕西省政府采购综合管理平台的项目电子化交易系统（以下简称</w:t>
      </w:r>
      <w:r>
        <w:rPr>
          <w:rFonts w:hint="eastAsia" w:eastAsia="宋体"/>
          <w:highlight w:val="none"/>
          <w:lang w:eastAsia="zh-CN"/>
        </w:rPr>
        <w:t>“</w:t>
      </w:r>
      <w:r>
        <w:rPr>
          <w:highlight w:val="none"/>
        </w:rPr>
        <w:t>项目电子化交易系统</w:t>
      </w:r>
      <w:r>
        <w:rPr>
          <w:rFonts w:hint="eastAsia" w:eastAsia="宋体"/>
          <w:highlight w:val="none"/>
          <w:lang w:eastAsia="zh-CN"/>
        </w:rPr>
        <w:t>”</w:t>
      </w:r>
      <w:r>
        <w:rPr>
          <w:highlight w:val="none"/>
        </w:rPr>
        <w:t>），登录方式及地址：通过陕西省政府采购网（http://www.ccgp-shaanxi.gov.cn/）首页供应商用户登录陕西省政府采购综合管理平台（以下简称</w:t>
      </w:r>
      <w:r>
        <w:rPr>
          <w:rFonts w:hint="eastAsia" w:eastAsia="宋体"/>
          <w:highlight w:val="none"/>
          <w:lang w:eastAsia="zh-CN"/>
        </w:rPr>
        <w:t>“</w:t>
      </w:r>
      <w:r>
        <w:rPr>
          <w:highlight w:val="none"/>
        </w:rPr>
        <w:t>政府采购平台</w:t>
      </w:r>
      <w:r>
        <w:rPr>
          <w:rFonts w:hint="eastAsia" w:eastAsia="宋体"/>
          <w:highlight w:val="none"/>
          <w:lang w:eastAsia="zh-CN"/>
        </w:rPr>
        <w:t>”</w:t>
      </w:r>
      <w:r>
        <w:rPr>
          <w:highlight w:val="none"/>
        </w:rPr>
        <w:t>），进入项目电子化交易系统。供应商应当按照以下要求，参与本次电子化采购活动。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一)供应商应当自行在陕西省政府采购网-服务专区查看相应的系统操作指南，并严格按照操作指南要求进行系统操作。在登录、使用政府采购平台前，应当按照要求完成供应商注册和信息完善，加入政府采购平台供应商库。</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(二)供应商应当使用纳入陕西省政府采购综合管理平台数字证书互认范围的数字证书及签章（以下简称</w:t>
      </w:r>
      <w:r>
        <w:rPr>
          <w:rFonts w:hint="eastAsia" w:eastAsia="宋体"/>
          <w:highlight w:val="none"/>
          <w:lang w:eastAsia="zh-CN"/>
        </w:rPr>
        <w:t>“</w:t>
      </w:r>
      <w:r>
        <w:rPr>
          <w:highlight w:val="none"/>
        </w:rPr>
        <w:t>互认的证书及签章</w:t>
      </w:r>
      <w:r>
        <w:rPr>
          <w:rFonts w:hint="eastAsia" w:eastAsia="宋体"/>
          <w:highlight w:val="none"/>
          <w:lang w:eastAsia="zh-CN"/>
        </w:rPr>
        <w:t>”</w:t>
      </w:r>
      <w:r>
        <w:rPr>
          <w:highlight w:val="none"/>
        </w:rPr>
        <w:t>）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CA及签章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供应商应当加强互认的证书及签章日常校验和妥善保管，确保在参加采购活动期间互认的证书及签章能够正常使用；供应商应当严格互认的证书及签章的内部授权管理，防止非授权操作。</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（三）供应商应当自行准备电子化采购所需的计算机终端、软硬件及网络环境，承担因准备不足产生的不利后果。</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（四）政府采购平台技术支持：</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在线客服：通过陕西省政府采购网-在线客服进行咨询</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技术服务电话：029-96702</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CA及签章服务：通过陕西省政府采购网-服务专区-CA及签章服务进行查询</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199" w:rightChars="-95" w:firstLine="420" w:firstLineChars="200"/>
        <w:textAlignment w:val="baseline"/>
        <w:rPr>
          <w:b/>
          <w:bCs/>
          <w:highlight w:val="none"/>
        </w:rPr>
      </w:pPr>
      <w:r>
        <w:rPr>
          <w:b/>
          <w:bCs/>
          <w:highlight w:val="none"/>
        </w:rPr>
        <w:t>七、竞争性磋商文件获取时间、方式及地址</w:t>
      </w:r>
    </w:p>
    <w:p>
      <w:pPr>
        <w:keepNext w:val="0"/>
        <w:keepLines w:val="0"/>
        <w:pageBreakBefore w:val="0"/>
        <w:widowControl/>
        <w:kinsoku/>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（一）磋商文件获取时间：详见采购公告或邀请书</w:t>
      </w:r>
    </w:p>
    <w:p>
      <w:pPr>
        <w:keepNext w:val="0"/>
        <w:keepLines w:val="0"/>
        <w:pageBreakBefore w:val="0"/>
        <w:widowControl/>
        <w:kinsoku/>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二）在磋商文件获取开始时间前，采购人或代理机构将本项目磋商文件上传至项目电子化交易系统，向供应商提供。供应商通过项目电子化交易系统获取磋商文件。成功获取磋商文件的，供应商将收到已获取磋商文件的回执函。未成功获取磋商文件的供应商，不得参与本次采购活动，不得对磋商文件提起质疑。</w:t>
      </w:r>
    </w:p>
    <w:p>
      <w:pPr>
        <w:keepNext w:val="0"/>
        <w:keepLines w:val="0"/>
        <w:pageBreakBefore w:val="0"/>
        <w:widowControl/>
        <w:kinsoku/>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成功获取磋商文件后，采购人或代理机构进行澄清或者修改的，澄清或者修改的内容可能影响响应文件编制的，采购人或代理机构将通过项目电子化交易系统发布澄清或者修改后的磋商文件，供应商应当重新获取磋商文件；澄清或者修改后的磋商文件发布日期距提交响应文件截止日期不足5日的，采购人或代理机构顺延提交响应文件的截止时间。供应商未重新获取磋商文件或者未按照澄清或者修改后的磋商文件编制响应文件进行响应的，自行承担不利后果。</w:t>
      </w:r>
    </w:p>
    <w:p>
      <w:pPr>
        <w:keepNext w:val="0"/>
        <w:keepLines w:val="0"/>
        <w:pageBreakBefore w:val="0"/>
        <w:widowControl/>
        <w:kinsoku/>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注：获取的磋商文件主体格式包括pdf、word两种格式版本，其中以pdf格式为准。</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199" w:rightChars="-95" w:firstLine="420" w:firstLineChars="200"/>
        <w:textAlignment w:val="baseline"/>
        <w:rPr>
          <w:b/>
          <w:bCs/>
          <w:highlight w:val="none"/>
        </w:rPr>
      </w:pPr>
      <w:r>
        <w:rPr>
          <w:b/>
          <w:bCs/>
          <w:highlight w:val="none"/>
        </w:rPr>
        <w:t>八、提交首次响应文件截止时间及开启时间、地点、方式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（一）提交首次响应文件截止时间及开启时间：详见采购公告或邀请书。</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（二）响应文件提交方式、地点：供应商应当在提交首次响应文件截止时间前，通过项目电子化交易系统提交响应文件。成功提交的，供应商将收到已提交响应文件的回执函。</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199" w:rightChars="-95" w:firstLine="420" w:firstLineChars="200"/>
        <w:textAlignment w:val="baseline"/>
        <w:rPr>
          <w:b/>
          <w:bCs/>
          <w:highlight w:val="none"/>
        </w:rPr>
      </w:pPr>
      <w:r>
        <w:rPr>
          <w:b/>
          <w:bCs/>
          <w:highlight w:val="none"/>
        </w:rPr>
        <w:t>九、磋商方式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本项目磋商小组与供应商通过项目电子化交易系统以在线方式进行磋商。磋商会议由磋商小组在线主持，供应商代表在线参加。供应商应随时关注项目电子化交易系统信息，及时参与在线磋商。供应商登录项目电子化交易系统，与磋商小组进行在线磋商、提交供应商响应表，供应商响应表应加盖供应商（法定名称）电子印章。</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199" w:rightChars="-95" w:firstLine="420" w:firstLineChars="200"/>
        <w:textAlignment w:val="baseline"/>
        <w:rPr>
          <w:b/>
          <w:bCs/>
          <w:highlight w:val="none"/>
        </w:rPr>
      </w:pPr>
      <w:r>
        <w:rPr>
          <w:b/>
          <w:bCs/>
          <w:highlight w:val="none"/>
        </w:rPr>
        <w:t>十、供应商信用融资</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釆购网—信用融资平台（http://www.ccgp-shaanxi.gov.cn/zcdservice/zcd/shanxi/），选择符合自身情况的</w:t>
      </w:r>
      <w:r>
        <w:rPr>
          <w:rFonts w:hint="eastAsia" w:eastAsia="宋体"/>
          <w:highlight w:val="none"/>
          <w:lang w:eastAsia="zh-CN"/>
        </w:rPr>
        <w:t>“</w:t>
      </w:r>
      <w:r>
        <w:rPr>
          <w:highlight w:val="none"/>
        </w:rPr>
        <w:t>政采贷</w:t>
      </w:r>
      <w:r>
        <w:rPr>
          <w:rFonts w:hint="eastAsia" w:eastAsia="宋体"/>
          <w:highlight w:val="none"/>
          <w:lang w:eastAsia="zh-CN"/>
        </w:rPr>
        <w:t>”</w:t>
      </w:r>
      <w:r>
        <w:rPr>
          <w:highlight w:val="none"/>
        </w:rPr>
        <w:t>银行及其产品，凭项目中标（成交）结果、中标（成交）通知书等信息在线向银行提出贷款意向申请、查看贷款审批情况等。</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highlight w:val="none"/>
        </w:rPr>
      </w:pPr>
      <w:r>
        <w:rPr>
          <w:highlight w:val="none"/>
        </w:rPr>
        <w:t>十一、联系方式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eastAsia="宋体"/>
          <w:color w:val="FF0000"/>
          <w:highlight w:val="none"/>
          <w:lang w:eastAsia="zh-CN"/>
        </w:rPr>
      </w:pPr>
      <w:r>
        <w:rPr>
          <w:color w:val="FF0000"/>
          <w:highlight w:val="none"/>
        </w:rPr>
        <w:t xml:space="preserve">采购人： </w:t>
      </w:r>
      <w:r>
        <w:rPr>
          <w:rFonts w:hint="eastAsia" w:eastAsia="宋体"/>
          <w:color w:val="FF0000"/>
          <w:highlight w:val="none"/>
          <w:lang w:eastAsia="zh-CN"/>
        </w:rPr>
        <w:t>西安市灞桥区城市管理综合行政执法大队</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color w:val="FF0000"/>
          <w:highlight w:val="none"/>
        </w:rPr>
      </w:pPr>
      <w:r>
        <w:rPr>
          <w:color w:val="FF0000"/>
          <w:highlight w:val="none"/>
        </w:rPr>
        <w:t>地址：</w:t>
      </w:r>
      <w:r>
        <w:rPr>
          <w:rFonts w:hint="eastAsia" w:eastAsia="宋体"/>
          <w:color w:val="FF0000"/>
          <w:highlight w:val="none"/>
          <w:lang w:val="en-US" w:eastAsia="zh-CN"/>
        </w:rPr>
        <w:t>西安市灞桥区</w:t>
      </w:r>
      <w:r>
        <w:rPr>
          <w:rFonts w:hint="eastAsia"/>
          <w:color w:val="FF0000"/>
          <w:highlight w:val="none"/>
        </w:rPr>
        <w:t>柳雪路九号</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eastAsia="宋体"/>
          <w:color w:val="FF0000"/>
          <w:highlight w:val="none"/>
          <w:lang w:val="en-US" w:eastAsia="zh-CN"/>
        </w:rPr>
      </w:pPr>
      <w:r>
        <w:rPr>
          <w:color w:val="FF0000"/>
          <w:highlight w:val="none"/>
        </w:rPr>
        <w:t>邮编：</w:t>
      </w:r>
      <w:r>
        <w:rPr>
          <w:rFonts w:hint="eastAsia" w:eastAsia="宋体"/>
          <w:color w:val="FF0000"/>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color w:val="FF0000"/>
          <w:highlight w:val="none"/>
        </w:rPr>
      </w:pPr>
      <w:r>
        <w:rPr>
          <w:color w:val="FF0000"/>
          <w:highlight w:val="none"/>
        </w:rPr>
        <w:t>联系人：</w:t>
      </w:r>
      <w:r>
        <w:rPr>
          <w:rFonts w:hint="eastAsia"/>
          <w:color w:val="FF0000"/>
          <w:highlight w:val="none"/>
        </w:rPr>
        <w:t>于红娟</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color w:val="FF0000"/>
          <w:highlight w:val="none"/>
        </w:rPr>
      </w:pPr>
      <w:r>
        <w:rPr>
          <w:color w:val="FF0000"/>
          <w:highlight w:val="none"/>
        </w:rPr>
        <w:t>联系电话：</w:t>
      </w:r>
      <w:r>
        <w:rPr>
          <w:rFonts w:hint="eastAsia"/>
          <w:color w:val="FF0000"/>
          <w:highlight w:val="none"/>
          <w:lang w:val="en-US" w:eastAsia="zh-CN"/>
        </w:rPr>
        <w:t>029-</w:t>
      </w:r>
      <w:r>
        <w:rPr>
          <w:rFonts w:hint="eastAsia"/>
          <w:color w:val="FF0000"/>
          <w:highlight w:val="none"/>
        </w:rPr>
        <w:t xml:space="preserve"> 83513954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代理机构： 陕西隆信项目管理有限公司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地址： 西安市碑林区丰登南路9号怡景花园酒店裙楼（A座）二层</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邮编：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联系人：</w:t>
      </w:r>
      <w:r>
        <w:rPr>
          <w:rFonts w:hint="eastAsia"/>
          <w:color w:val="000000" w:themeColor="text1"/>
          <w:highlight w:val="none"/>
          <w14:textFill>
            <w14:solidFill>
              <w14:schemeClr w14:val="tx1"/>
            </w14:solidFill>
          </w14:textFill>
        </w:rPr>
        <w:t>任甜、郑婧婧、袁歆雨、冷冰</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 xml:space="preserve"> 联系电话： 029-88489979-8106</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采购监督机构：西安市灞桥区政府采购管理股</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联系人：唐鹏翙</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联系电话：83519160</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color w:val="000000" w:themeColor="text1"/>
          <w:highlight w:val="none"/>
          <w14:textFill>
            <w14:solidFill>
              <w14:schemeClr w14:val="tx1"/>
            </w14:solidFill>
          </w14:textFill>
        </w:rPr>
      </w:pPr>
    </w:p>
    <w:p>
      <w:pPr>
        <w:spacing w:line="211" w:lineRule="auto"/>
        <w:rPr>
          <w:rFonts w:ascii="Lucida Sans Unicode" w:hAnsi="Lucida Sans Unicode" w:eastAsia="Lucida Sans Unicode" w:cs="Lucida Sans Unicode"/>
          <w:sz w:val="18"/>
          <w:szCs w:val="18"/>
          <w:highlight w:val="none"/>
        </w:rPr>
        <w:sectPr>
          <w:footerReference r:id="rId5" w:type="default"/>
          <w:pgSz w:w="11900" w:h="16840"/>
          <w:pgMar w:top="1440" w:right="1360" w:bottom="1440" w:left="1080" w:header="0" w:footer="0" w:gutter="0"/>
          <w:cols w:space="720" w:num="1"/>
        </w:sectPr>
      </w:pPr>
    </w:p>
    <w:p>
      <w:pPr>
        <w:spacing w:before="58" w:line="220" w:lineRule="auto"/>
        <w:ind w:left="3720"/>
        <w:outlineLvl w:val="0"/>
        <w:rPr>
          <w:rFonts w:ascii="宋体" w:hAnsi="宋体" w:eastAsia="宋体" w:cs="宋体"/>
          <w:spacing w:val="6"/>
          <w:sz w:val="29"/>
          <w:szCs w:val="29"/>
          <w:highlight w:val="none"/>
        </w:rPr>
      </w:pPr>
      <w:r>
        <w:rPr>
          <w:rFonts w:ascii="宋体" w:hAnsi="宋体" w:eastAsia="宋体" w:cs="宋体"/>
          <w:spacing w:val="6"/>
          <w:sz w:val="29"/>
          <w:szCs w:val="29"/>
          <w:highlight w:val="none"/>
        </w:rPr>
        <w:t>第二章 供应商须知</w:t>
      </w:r>
    </w:p>
    <w:p>
      <w:pPr>
        <w:pStyle w:val="3"/>
        <w:spacing w:line="242" w:lineRule="auto"/>
        <w:rPr>
          <w:highlight w:val="none"/>
        </w:rPr>
      </w:pPr>
    </w:p>
    <w:p>
      <w:pPr>
        <w:pStyle w:val="3"/>
        <w:spacing w:line="243" w:lineRule="auto"/>
        <w:rPr>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pacing w:val="15"/>
          <w:sz w:val="28"/>
          <w:szCs w:val="28"/>
          <w:highlight w:val="none"/>
        </w:rPr>
      </w:pPr>
      <w:r>
        <w:rPr>
          <w:rFonts w:hint="default" w:ascii="Times New Roman" w:hAnsi="Times New Roman" w:eastAsia="宋体" w:cs="Times New Roman"/>
          <w:b/>
          <w:bCs/>
          <w:spacing w:val="15"/>
          <w:sz w:val="28"/>
          <w:szCs w:val="28"/>
          <w:highlight w:val="none"/>
        </w:rPr>
        <w:t>2.1供应商须知前附表</w:t>
      </w:r>
    </w:p>
    <w:p>
      <w:pPr>
        <w:spacing w:line="115" w:lineRule="exact"/>
        <w:rPr>
          <w:highlight w:val="none"/>
        </w:rPr>
      </w:pPr>
    </w:p>
    <w:tbl>
      <w:tblPr>
        <w:tblStyle w:val="20"/>
        <w:tblW w:w="10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2043"/>
        <w:gridCol w:w="7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36" w:type="dxa"/>
            <w:vAlign w:val="center"/>
          </w:tcPr>
          <w:p>
            <w:pPr>
              <w:jc w:val="center"/>
              <w:rPr>
                <w:sz w:val="21"/>
                <w:szCs w:val="21"/>
                <w:highlight w:val="none"/>
              </w:rPr>
            </w:pPr>
            <w:r>
              <w:rPr>
                <w:sz w:val="21"/>
                <w:szCs w:val="21"/>
                <w:highlight w:val="none"/>
              </w:rPr>
              <w:t>序号</w:t>
            </w:r>
          </w:p>
        </w:tc>
        <w:tc>
          <w:tcPr>
            <w:tcW w:w="2043" w:type="dxa"/>
            <w:vAlign w:val="center"/>
          </w:tcPr>
          <w:p>
            <w:pPr>
              <w:jc w:val="center"/>
              <w:rPr>
                <w:sz w:val="21"/>
                <w:szCs w:val="21"/>
                <w:highlight w:val="none"/>
              </w:rPr>
            </w:pPr>
            <w:r>
              <w:rPr>
                <w:sz w:val="21"/>
                <w:szCs w:val="21"/>
                <w:highlight w:val="none"/>
              </w:rPr>
              <w:t>应知事项</w:t>
            </w:r>
          </w:p>
        </w:tc>
        <w:tc>
          <w:tcPr>
            <w:tcW w:w="7240" w:type="dxa"/>
            <w:vAlign w:val="center"/>
          </w:tcPr>
          <w:p>
            <w:pPr>
              <w:jc w:val="center"/>
              <w:rPr>
                <w:sz w:val="21"/>
                <w:szCs w:val="21"/>
                <w:highlight w:val="none"/>
              </w:rPr>
            </w:pPr>
            <w:r>
              <w:rPr>
                <w:sz w:val="21"/>
                <w:szCs w:val="21"/>
                <w:highlight w:val="none"/>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36" w:type="dxa"/>
            <w:vAlign w:val="center"/>
          </w:tcPr>
          <w:p>
            <w:pPr>
              <w:numPr>
                <w:ilvl w:val="0"/>
                <w:numId w:val="2"/>
              </w:numPr>
              <w:ind w:left="425" w:leftChars="0" w:hanging="425" w:firstLineChars="0"/>
              <w:jc w:val="center"/>
              <w:rPr>
                <w:sz w:val="21"/>
                <w:szCs w:val="21"/>
                <w:highlight w:val="none"/>
              </w:rPr>
            </w:pPr>
          </w:p>
        </w:tc>
        <w:tc>
          <w:tcPr>
            <w:tcW w:w="2043" w:type="dxa"/>
            <w:vAlign w:val="center"/>
          </w:tcPr>
          <w:p>
            <w:pPr>
              <w:jc w:val="center"/>
              <w:rPr>
                <w:sz w:val="21"/>
                <w:szCs w:val="21"/>
                <w:highlight w:val="none"/>
              </w:rPr>
            </w:pPr>
            <w:r>
              <w:rPr>
                <w:sz w:val="21"/>
                <w:szCs w:val="21"/>
                <w:highlight w:val="none"/>
              </w:rPr>
              <w:t>采购预算</w:t>
            </w:r>
          </w:p>
          <w:p>
            <w:pPr>
              <w:jc w:val="center"/>
              <w:rPr>
                <w:sz w:val="21"/>
                <w:szCs w:val="21"/>
                <w:highlight w:val="none"/>
              </w:rPr>
            </w:pPr>
            <w:r>
              <w:rPr>
                <w:sz w:val="21"/>
                <w:szCs w:val="21"/>
                <w:highlight w:val="none"/>
              </w:rPr>
              <w:t>（实质性要求）</w:t>
            </w:r>
          </w:p>
        </w:tc>
        <w:tc>
          <w:tcPr>
            <w:tcW w:w="7240" w:type="dxa"/>
            <w:vAlign w:val="top"/>
          </w:tcPr>
          <w:p>
            <w:pPr>
              <w:spacing w:line="360" w:lineRule="auto"/>
              <w:ind w:left="216" w:leftChars="103" w:right="265" w:rightChars="126" w:firstLine="0" w:firstLineChars="0"/>
              <w:rPr>
                <w:sz w:val="21"/>
                <w:szCs w:val="21"/>
                <w:highlight w:val="none"/>
              </w:rPr>
            </w:pPr>
            <w:r>
              <w:rPr>
                <w:sz w:val="21"/>
                <w:szCs w:val="21"/>
                <w:highlight w:val="none"/>
              </w:rPr>
              <w:t>本项目各包采购预算金额如下：</w:t>
            </w:r>
          </w:p>
          <w:p>
            <w:pPr>
              <w:spacing w:line="360" w:lineRule="auto"/>
              <w:ind w:left="216" w:leftChars="103" w:right="265" w:rightChars="126" w:firstLine="0" w:firstLineChars="0"/>
              <w:rPr>
                <w:sz w:val="21"/>
                <w:szCs w:val="21"/>
                <w:highlight w:val="none"/>
              </w:rPr>
            </w:pPr>
            <w:r>
              <w:rPr>
                <w:sz w:val="21"/>
                <w:szCs w:val="21"/>
                <w:highlight w:val="none"/>
              </w:rPr>
              <w:t>采购包1：</w:t>
            </w:r>
            <w:r>
              <w:rPr>
                <w:rFonts w:hint="eastAsia" w:eastAsia="宋体"/>
                <w:color w:val="000000" w:themeColor="text1"/>
                <w:sz w:val="21"/>
                <w:szCs w:val="21"/>
                <w:highlight w:val="none"/>
                <w:lang w:eastAsia="zh-CN"/>
                <w14:textFill>
                  <w14:solidFill>
                    <w14:schemeClr w14:val="tx1"/>
                  </w14:solidFill>
                </w14:textFill>
              </w:rPr>
              <w:t>320,000.00</w:t>
            </w:r>
            <w:r>
              <w:rPr>
                <w:color w:val="000000" w:themeColor="text1"/>
                <w:sz w:val="21"/>
                <w:szCs w:val="21"/>
                <w:highlight w:val="none"/>
                <w14:textFill>
                  <w14:solidFill>
                    <w14:schemeClr w14:val="tx1"/>
                  </w14:solidFill>
                </w14:textFill>
              </w:rPr>
              <w:t>元</w:t>
            </w:r>
          </w:p>
          <w:p>
            <w:pPr>
              <w:spacing w:line="360" w:lineRule="auto"/>
              <w:ind w:left="216" w:leftChars="103" w:right="265" w:rightChars="126" w:firstLine="0" w:firstLineChars="0"/>
              <w:rPr>
                <w:sz w:val="21"/>
                <w:szCs w:val="21"/>
                <w:highlight w:val="none"/>
              </w:rPr>
            </w:pPr>
            <w:r>
              <w:rPr>
                <w:sz w:val="21"/>
                <w:szCs w:val="21"/>
                <w:highlight w:val="none"/>
              </w:rPr>
              <w:t>供应商采购包报价高于采购包采购预算的，其响应文件将按无效处理。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736" w:type="dxa"/>
            <w:vAlign w:val="center"/>
          </w:tcPr>
          <w:p>
            <w:pPr>
              <w:numPr>
                <w:ilvl w:val="0"/>
                <w:numId w:val="2"/>
              </w:numPr>
              <w:ind w:left="425" w:leftChars="0" w:hanging="425" w:firstLineChars="0"/>
              <w:jc w:val="center"/>
              <w:rPr>
                <w:sz w:val="21"/>
                <w:szCs w:val="21"/>
                <w:highlight w:val="none"/>
              </w:rPr>
            </w:pPr>
          </w:p>
        </w:tc>
        <w:tc>
          <w:tcPr>
            <w:tcW w:w="2043" w:type="dxa"/>
            <w:vAlign w:val="center"/>
          </w:tcPr>
          <w:p>
            <w:pPr>
              <w:jc w:val="center"/>
              <w:rPr>
                <w:sz w:val="21"/>
                <w:szCs w:val="21"/>
                <w:highlight w:val="none"/>
              </w:rPr>
            </w:pPr>
            <w:r>
              <w:rPr>
                <w:sz w:val="21"/>
                <w:szCs w:val="21"/>
                <w:highlight w:val="none"/>
              </w:rPr>
              <w:t>最高限价</w:t>
            </w:r>
          </w:p>
          <w:p>
            <w:pPr>
              <w:jc w:val="center"/>
              <w:rPr>
                <w:sz w:val="21"/>
                <w:szCs w:val="21"/>
                <w:highlight w:val="none"/>
              </w:rPr>
            </w:pPr>
            <w:r>
              <w:rPr>
                <w:sz w:val="21"/>
                <w:szCs w:val="21"/>
                <w:highlight w:val="none"/>
              </w:rPr>
              <w:t>（实质性要求）</w:t>
            </w:r>
          </w:p>
        </w:tc>
        <w:tc>
          <w:tcPr>
            <w:tcW w:w="7240" w:type="dxa"/>
            <w:vAlign w:val="top"/>
          </w:tcPr>
          <w:p>
            <w:pPr>
              <w:spacing w:line="360" w:lineRule="auto"/>
              <w:ind w:left="216" w:leftChars="103" w:right="265" w:rightChars="126" w:firstLine="0" w:firstLineChars="0"/>
              <w:rPr>
                <w:sz w:val="21"/>
                <w:szCs w:val="21"/>
                <w:highlight w:val="none"/>
              </w:rPr>
            </w:pPr>
            <w:r>
              <w:rPr>
                <w:sz w:val="21"/>
                <w:szCs w:val="21"/>
                <w:highlight w:val="none"/>
              </w:rPr>
              <w:t>详见第三章。</w:t>
            </w:r>
          </w:p>
          <w:p>
            <w:pPr>
              <w:spacing w:line="360" w:lineRule="auto"/>
              <w:ind w:left="216" w:leftChars="103" w:right="265" w:rightChars="126" w:firstLine="0" w:firstLineChars="0"/>
              <w:rPr>
                <w:sz w:val="21"/>
                <w:szCs w:val="21"/>
                <w:highlight w:val="none"/>
              </w:rPr>
            </w:pPr>
            <w:r>
              <w:rPr>
                <w:sz w:val="21"/>
                <w:szCs w:val="21"/>
                <w:highlight w:val="none"/>
              </w:rPr>
              <w:t>供应商的采购包响应报价高于最高限价的，其响应文件将按无效处理。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36" w:type="dxa"/>
            <w:vAlign w:val="center"/>
          </w:tcPr>
          <w:p>
            <w:pPr>
              <w:numPr>
                <w:ilvl w:val="0"/>
                <w:numId w:val="2"/>
              </w:numPr>
              <w:ind w:left="425" w:leftChars="0" w:hanging="425" w:firstLineChars="0"/>
              <w:jc w:val="center"/>
              <w:rPr>
                <w:sz w:val="21"/>
                <w:szCs w:val="21"/>
                <w:highlight w:val="none"/>
              </w:rPr>
            </w:pPr>
          </w:p>
        </w:tc>
        <w:tc>
          <w:tcPr>
            <w:tcW w:w="2043" w:type="dxa"/>
            <w:vAlign w:val="center"/>
          </w:tcPr>
          <w:p>
            <w:pPr>
              <w:jc w:val="center"/>
              <w:rPr>
                <w:sz w:val="21"/>
                <w:szCs w:val="21"/>
                <w:highlight w:val="none"/>
              </w:rPr>
            </w:pPr>
            <w:r>
              <w:rPr>
                <w:sz w:val="21"/>
                <w:szCs w:val="21"/>
                <w:highlight w:val="none"/>
              </w:rPr>
              <w:t>评审方法</w:t>
            </w:r>
          </w:p>
        </w:tc>
        <w:tc>
          <w:tcPr>
            <w:tcW w:w="7240" w:type="dxa"/>
            <w:vAlign w:val="top"/>
          </w:tcPr>
          <w:p>
            <w:pPr>
              <w:spacing w:line="360" w:lineRule="auto"/>
              <w:ind w:left="216" w:leftChars="103" w:right="265" w:rightChars="126" w:firstLine="0" w:firstLineChars="0"/>
              <w:rPr>
                <w:sz w:val="21"/>
                <w:szCs w:val="21"/>
                <w:highlight w:val="none"/>
              </w:rPr>
            </w:pPr>
            <w:r>
              <w:rPr>
                <w:sz w:val="21"/>
                <w:szCs w:val="21"/>
                <w:highlight w:val="none"/>
              </w:rPr>
              <w:t>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9" w:hRule="atLeast"/>
        </w:trPr>
        <w:tc>
          <w:tcPr>
            <w:tcW w:w="736" w:type="dxa"/>
            <w:vAlign w:val="center"/>
          </w:tcPr>
          <w:p>
            <w:pPr>
              <w:numPr>
                <w:ilvl w:val="0"/>
                <w:numId w:val="2"/>
              </w:numPr>
              <w:ind w:left="425" w:leftChars="0" w:hanging="425" w:firstLineChars="0"/>
              <w:jc w:val="center"/>
              <w:rPr>
                <w:sz w:val="21"/>
                <w:szCs w:val="21"/>
                <w:highlight w:val="none"/>
              </w:rPr>
            </w:pPr>
          </w:p>
        </w:tc>
        <w:tc>
          <w:tcPr>
            <w:tcW w:w="2043" w:type="dxa"/>
            <w:vAlign w:val="center"/>
          </w:tcPr>
          <w:p>
            <w:pPr>
              <w:jc w:val="center"/>
              <w:rPr>
                <w:sz w:val="21"/>
                <w:szCs w:val="21"/>
                <w:highlight w:val="none"/>
              </w:rPr>
            </w:pPr>
            <w:r>
              <w:rPr>
                <w:sz w:val="21"/>
                <w:szCs w:val="21"/>
                <w:highlight w:val="none"/>
              </w:rPr>
              <w:t>是否接受联合体</w:t>
            </w:r>
          </w:p>
        </w:tc>
        <w:tc>
          <w:tcPr>
            <w:tcW w:w="7240" w:type="dxa"/>
            <w:vAlign w:val="top"/>
          </w:tcPr>
          <w:p>
            <w:pPr>
              <w:spacing w:line="360" w:lineRule="auto"/>
              <w:ind w:left="216" w:leftChars="103" w:right="265" w:rightChars="126" w:firstLine="0" w:firstLineChars="0"/>
              <w:rPr>
                <w:sz w:val="21"/>
                <w:szCs w:val="21"/>
                <w:highlight w:val="none"/>
              </w:rPr>
            </w:pPr>
            <w:r>
              <w:rPr>
                <w:sz w:val="21"/>
                <w:szCs w:val="21"/>
                <w:highlight w:val="none"/>
              </w:rPr>
              <w:t>采购包1</w:t>
            </w:r>
            <w:r>
              <w:rPr>
                <w:color w:val="000000" w:themeColor="text1"/>
                <w:sz w:val="21"/>
                <w:szCs w:val="21"/>
                <w:highlight w:val="none"/>
                <w14:textFill>
                  <w14:solidFill>
                    <w14:schemeClr w14:val="tx1"/>
                  </w14:solidFill>
                </w14:textFill>
              </w:rPr>
              <w:t>：不接受</w:t>
            </w:r>
          </w:p>
          <w:p>
            <w:pPr>
              <w:spacing w:line="360" w:lineRule="auto"/>
              <w:ind w:left="216" w:leftChars="103" w:right="176" w:rightChars="84" w:firstLine="0" w:firstLineChars="0"/>
              <w:rPr>
                <w:sz w:val="21"/>
                <w:szCs w:val="21"/>
                <w:highlight w:val="none"/>
              </w:rPr>
            </w:pPr>
            <w:r>
              <w:rPr>
                <w:sz w:val="21"/>
                <w:szCs w:val="21"/>
                <w:highlight w:val="none"/>
              </w:rPr>
              <w:t>如以联合体响应的，联合体各方均应当具备本磋商文件要求的资格条件和能力。</w:t>
            </w:r>
          </w:p>
          <w:p>
            <w:pPr>
              <w:spacing w:line="360" w:lineRule="auto"/>
              <w:ind w:left="216" w:leftChars="103" w:right="265" w:rightChars="126" w:firstLine="0" w:firstLineChars="0"/>
              <w:rPr>
                <w:sz w:val="21"/>
                <w:szCs w:val="21"/>
                <w:highlight w:val="none"/>
              </w:rPr>
            </w:pPr>
            <w:r>
              <w:rPr>
                <w:sz w:val="21"/>
                <w:szCs w:val="21"/>
                <w:highlight w:val="none"/>
              </w:rPr>
              <w:t>（1）联合体各方均应具有承担本磋商项目必备的条件，如相应的人力、物力、资金等。</w:t>
            </w:r>
          </w:p>
          <w:p>
            <w:pPr>
              <w:spacing w:line="360" w:lineRule="auto"/>
              <w:ind w:left="216" w:leftChars="103" w:right="265" w:rightChars="126" w:firstLine="0" w:firstLineChars="0"/>
              <w:rPr>
                <w:sz w:val="21"/>
                <w:szCs w:val="21"/>
                <w:highlight w:val="none"/>
              </w:rPr>
            </w:pPr>
            <w:r>
              <w:rPr>
                <w:sz w:val="21"/>
                <w:szCs w:val="21"/>
                <w:highlight w:val="none"/>
              </w:rPr>
              <w:t>（2）磋商文件对供应商资格条件有特殊要求的，联合体各个成员都应当具备规定的相应资格条件。</w:t>
            </w:r>
          </w:p>
          <w:p>
            <w:pPr>
              <w:spacing w:line="360" w:lineRule="auto"/>
              <w:ind w:left="216" w:leftChars="103" w:right="265" w:rightChars="126" w:firstLine="0" w:firstLineChars="0"/>
              <w:rPr>
                <w:sz w:val="21"/>
                <w:szCs w:val="21"/>
                <w:highlight w:val="none"/>
              </w:rPr>
            </w:pPr>
            <w:r>
              <w:rPr>
                <w:sz w:val="21"/>
                <w:szCs w:val="21"/>
                <w:highlight w:val="none"/>
              </w:rPr>
              <w:t>（3）同一专业的单位组成的联合体，应当按照资质等级较低的单位确定联合体的资质等级。如：某联合体由三个单位组成，其中两个单位资质等级为甲级，另一单位资质等级为乙级，则该联合体资质等级为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6" w:type="dxa"/>
            <w:vAlign w:val="center"/>
          </w:tcPr>
          <w:p>
            <w:pPr>
              <w:numPr>
                <w:ilvl w:val="0"/>
                <w:numId w:val="2"/>
              </w:numPr>
              <w:ind w:left="425" w:leftChars="0" w:hanging="425" w:firstLineChars="0"/>
              <w:jc w:val="center"/>
              <w:rPr>
                <w:sz w:val="21"/>
                <w:szCs w:val="21"/>
                <w:highlight w:val="none"/>
              </w:rPr>
            </w:pPr>
          </w:p>
        </w:tc>
        <w:tc>
          <w:tcPr>
            <w:tcW w:w="2043" w:type="dxa"/>
            <w:vAlign w:val="center"/>
          </w:tcPr>
          <w:p>
            <w:pPr>
              <w:jc w:val="center"/>
              <w:rPr>
                <w:sz w:val="21"/>
                <w:szCs w:val="21"/>
                <w:highlight w:val="none"/>
              </w:rPr>
            </w:pPr>
            <w:r>
              <w:rPr>
                <w:sz w:val="21"/>
                <w:szCs w:val="21"/>
                <w:highlight w:val="none"/>
              </w:rPr>
              <w:t>落实节能、环保、无线局域网、信息安全产品政策</w:t>
            </w:r>
          </w:p>
        </w:tc>
        <w:tc>
          <w:tcPr>
            <w:tcW w:w="7240" w:type="dxa"/>
            <w:vAlign w:val="top"/>
          </w:tcPr>
          <w:p>
            <w:pPr>
              <w:spacing w:line="360" w:lineRule="auto"/>
              <w:ind w:left="216" w:leftChars="103" w:right="265" w:rightChars="126" w:firstLine="0" w:firstLineChars="0"/>
              <w:rPr>
                <w:color w:val="000000" w:themeColor="text1"/>
                <w:sz w:val="21"/>
                <w:szCs w:val="21"/>
                <w:highlight w:val="none"/>
                <w14:textFill>
                  <w14:solidFill>
                    <w14:schemeClr w14:val="tx1"/>
                  </w14:solidFill>
                </w14:textFill>
              </w:rPr>
            </w:pPr>
            <w:r>
              <w:rPr>
                <w:sz w:val="21"/>
                <w:szCs w:val="21"/>
                <w:highlight w:val="none"/>
              </w:rPr>
              <w:t>1.根据《财政部 发展改革委 生态环境部 市场监管总局关于调整优化节能产品、环境标志产品政府采 购执行机制的通知》（财库〔2019〕9号）相关要求，政府采购节能产品、环境标志产品实施品目清单管理。财政部、发展改革委、生态环境部等部门确定实施政府优先采购和强制采购的产品类别，以品目</w:t>
            </w:r>
            <w:r>
              <w:rPr>
                <w:color w:val="000000" w:themeColor="text1"/>
                <w:sz w:val="21"/>
                <w:szCs w:val="21"/>
                <w:highlight w:val="none"/>
                <w14:textFill>
                  <w14:solidFill>
                    <w14:schemeClr w14:val="tx1"/>
                  </w14:solidFill>
                </w14:textFill>
              </w:rPr>
              <w:t>清单的形式发布并适时调整。</w:t>
            </w:r>
          </w:p>
          <w:p>
            <w:pPr>
              <w:spacing w:line="360" w:lineRule="auto"/>
              <w:ind w:left="216" w:leftChars="103" w:right="265" w:rightChars="126" w:firstLine="0" w:firstLineChars="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2.本项目采购</w:t>
            </w:r>
            <w:r>
              <w:rPr>
                <w:rFonts w:hint="eastAsia" w:eastAsia="宋体"/>
                <w:color w:val="000000" w:themeColor="text1"/>
                <w:sz w:val="21"/>
                <w:szCs w:val="21"/>
                <w:highlight w:val="none"/>
                <w:lang w:eastAsia="zh-CN"/>
                <w14:textFill>
                  <w14:solidFill>
                    <w14:schemeClr w14:val="tx1"/>
                  </w14:solidFill>
                </w14:textFill>
              </w:rPr>
              <w:t>的</w:t>
            </w:r>
            <w:r>
              <w:rPr>
                <w:rFonts w:hint="eastAsia" w:eastAsia="宋体"/>
                <w:color w:val="000000" w:themeColor="text1"/>
                <w:sz w:val="21"/>
                <w:szCs w:val="21"/>
                <w:highlight w:val="none"/>
                <w:u w:val="single"/>
                <w:lang w:val="en-US" w:eastAsia="zh-CN"/>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无</w:t>
            </w:r>
            <w:r>
              <w:rPr>
                <w:rFonts w:hint="eastAsia" w:eastAsia="宋体"/>
                <w:color w:val="000000" w:themeColor="text1"/>
                <w:sz w:val="21"/>
                <w:szCs w:val="21"/>
                <w:highlight w:val="none"/>
                <w:u w:val="single"/>
                <w:lang w:val="en-US" w:eastAsia="zh-CN"/>
                <w14:textFill>
                  <w14:solidFill>
                    <w14:schemeClr w14:val="tx1"/>
                  </w14:solidFill>
                </w14:textFill>
              </w:rPr>
              <w:t xml:space="preserve">     </w:t>
            </w:r>
            <w:r>
              <w:rPr>
                <w:rFonts w:hint="eastAsia" w:eastAsia="宋体"/>
                <w:color w:val="000000" w:themeColor="text1"/>
                <w:sz w:val="21"/>
                <w:szCs w:val="21"/>
                <w:highlight w:val="none"/>
                <w:u w:val="none"/>
                <w:lang w:val="en-US" w:eastAsia="zh-CN"/>
                <w14:textFill>
                  <w14:solidFill>
                    <w14:schemeClr w14:val="tx1"/>
                  </w14:solidFill>
                </w14:textFill>
              </w:rPr>
              <w:t>产品属于节能产品政府采购品目清单中应强制采购的产品范围，供应商应当提供国家确定的认证机构出具的、处于有效期之内的节能产品认证证书，否则作无效响应处理</w:t>
            </w:r>
            <w:r>
              <w:rPr>
                <w:color w:val="000000" w:themeColor="text1"/>
                <w:sz w:val="21"/>
                <w:szCs w:val="21"/>
                <w:highlight w:val="none"/>
                <w14:textFill>
                  <w14:solidFill>
                    <w14:schemeClr w14:val="tx1"/>
                  </w14:solidFill>
                </w14:textFill>
              </w:rPr>
              <w:t>。</w:t>
            </w:r>
          </w:p>
          <w:p>
            <w:pPr>
              <w:spacing w:line="360" w:lineRule="auto"/>
              <w:ind w:left="216" w:leftChars="103" w:right="265" w:rightChars="126" w:firstLine="0" w:firstLineChars="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3.本项目采购</w:t>
            </w:r>
            <w:r>
              <w:rPr>
                <w:rFonts w:hint="eastAsia" w:eastAsia="宋体"/>
                <w:color w:val="000000" w:themeColor="text1"/>
                <w:sz w:val="21"/>
                <w:szCs w:val="21"/>
                <w:highlight w:val="none"/>
                <w:lang w:eastAsia="zh-CN"/>
                <w14:textFill>
                  <w14:solidFill>
                    <w14:schemeClr w14:val="tx1"/>
                  </w14:solidFill>
                </w14:textFill>
              </w:rPr>
              <w:t>的</w:t>
            </w:r>
            <w:r>
              <w:rPr>
                <w:rFonts w:hint="eastAsia" w:eastAsia="宋体"/>
                <w:color w:val="000000" w:themeColor="text1"/>
                <w:sz w:val="21"/>
                <w:szCs w:val="21"/>
                <w:highlight w:val="none"/>
                <w:u w:val="single"/>
                <w:lang w:val="en-US" w:eastAsia="zh-CN"/>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无</w:t>
            </w:r>
            <w:r>
              <w:rPr>
                <w:rFonts w:hint="eastAsia" w:eastAsia="宋体"/>
                <w:color w:val="000000" w:themeColor="text1"/>
                <w:sz w:val="21"/>
                <w:szCs w:val="21"/>
                <w:highlight w:val="none"/>
                <w:u w:val="singl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产品属于节能产品政府采购品目清单中应优先采购的产品范围，本项目采购</w:t>
            </w:r>
            <w:r>
              <w:rPr>
                <w:rFonts w:hint="eastAsia" w:eastAsia="宋体"/>
                <w:color w:val="000000" w:themeColor="text1"/>
                <w:sz w:val="21"/>
                <w:szCs w:val="21"/>
                <w:highlight w:val="none"/>
                <w:lang w:eastAsia="zh-CN"/>
                <w14:textFill>
                  <w14:solidFill>
                    <w14:schemeClr w14:val="tx1"/>
                  </w14:solidFill>
                </w14:textFill>
              </w:rPr>
              <w:t>的</w:t>
            </w:r>
            <w:r>
              <w:rPr>
                <w:rFonts w:hint="eastAsia" w:eastAsia="宋体"/>
                <w:color w:val="000000" w:themeColor="text1"/>
                <w:sz w:val="21"/>
                <w:szCs w:val="21"/>
                <w:highlight w:val="none"/>
                <w:u w:val="single"/>
                <w:lang w:val="en-US" w:eastAsia="zh-CN"/>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无</w:t>
            </w:r>
            <w:r>
              <w:rPr>
                <w:rFonts w:hint="eastAsia" w:eastAsia="宋体"/>
                <w:color w:val="000000" w:themeColor="text1"/>
                <w:sz w:val="21"/>
                <w:szCs w:val="21"/>
                <w:highlight w:val="none"/>
                <w:u w:val="singl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产品属于环境标志产品政府采购品目清单中应优先采购的产品范围，</w:t>
            </w:r>
            <w:r>
              <w:rPr>
                <w:rFonts w:hint="eastAsia"/>
                <w:color w:val="000000" w:themeColor="text1"/>
                <w:sz w:val="21"/>
                <w:szCs w:val="21"/>
                <w:highlight w:val="none"/>
                <w14:textFill>
                  <w14:solidFill>
                    <w14:schemeClr w14:val="tx1"/>
                  </w14:solidFill>
                </w14:textFill>
              </w:rPr>
              <w:t>评审得分相同的，按供应商提供的优先采购产品认证证书数量由多到少顺序排列。</w:t>
            </w:r>
          </w:p>
          <w:p>
            <w:pPr>
              <w:spacing w:line="360" w:lineRule="auto"/>
              <w:ind w:left="216" w:leftChars="103" w:right="265" w:rightChars="126" w:firstLine="0" w:firstLineChars="0"/>
              <w:rPr>
                <w:sz w:val="21"/>
                <w:szCs w:val="21"/>
                <w:highlight w:val="none"/>
              </w:rPr>
            </w:pPr>
            <w:r>
              <w:rPr>
                <w:sz w:val="21"/>
                <w:szCs w:val="21"/>
                <w:highlight w:val="none"/>
              </w:rPr>
              <w:t>4.响应产品属于中国政府采购网公布的《无线局域网认证产品政府采购清单》且在有效期内的，按《  财政部 国家发展改革委 信息产业部关于印发无线局域网产品政府采购实施意见的通知》（财库〔2005〕366号）要求优先采购。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6" w:hRule="atLeast"/>
        </w:trPr>
        <w:tc>
          <w:tcPr>
            <w:tcW w:w="736" w:type="dxa"/>
            <w:vAlign w:val="center"/>
          </w:tcPr>
          <w:p>
            <w:pPr>
              <w:numPr>
                <w:ilvl w:val="0"/>
                <w:numId w:val="2"/>
              </w:numPr>
              <w:spacing w:before="70" w:line="186" w:lineRule="auto"/>
              <w:ind w:left="425" w:leftChars="0" w:hanging="425" w:firstLineChars="0"/>
              <w:jc w:val="center"/>
              <w:rPr>
                <w:rFonts w:ascii="Lucida Sans Unicode" w:hAnsi="Lucida Sans Unicode" w:eastAsia="Lucida Sans Unicode" w:cs="Lucida Sans Unicode"/>
                <w:sz w:val="21"/>
                <w:szCs w:val="21"/>
                <w:highlight w:val="none"/>
              </w:rPr>
            </w:pPr>
          </w:p>
        </w:tc>
        <w:tc>
          <w:tcPr>
            <w:tcW w:w="2043" w:type="dxa"/>
            <w:vAlign w:val="top"/>
          </w:tcPr>
          <w:p>
            <w:pPr>
              <w:pStyle w:val="21"/>
              <w:spacing w:before="84" w:line="369" w:lineRule="auto"/>
              <w:ind w:left="93" w:right="217" w:firstLine="4"/>
              <w:jc w:val="both"/>
              <w:rPr>
                <w:sz w:val="21"/>
                <w:szCs w:val="21"/>
                <w:highlight w:val="none"/>
              </w:rPr>
            </w:pPr>
            <w:r>
              <w:rPr>
                <w:spacing w:val="-2"/>
                <w:sz w:val="21"/>
                <w:szCs w:val="21"/>
                <w:highlight w:val="none"/>
              </w:rPr>
              <w:t>小微企业（监狱企业、残疾人福利性单位视同小微企业）价格扣除（仅非预留份额采购项目或预留份额采购项目中的非预留部分采购包适用）</w:t>
            </w:r>
          </w:p>
        </w:tc>
        <w:tc>
          <w:tcPr>
            <w:tcW w:w="7240" w:type="dxa"/>
            <w:vAlign w:val="top"/>
          </w:tcPr>
          <w:p>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96" w:right="102" w:firstLine="1"/>
              <w:textAlignment w:val="baseline"/>
              <w:rPr>
                <w:rFonts w:ascii="Arial" w:hAnsi="Arial" w:eastAsia="Arial" w:cs="Arial"/>
                <w:snapToGrid w:val="0"/>
                <w:color w:val="000000"/>
                <w:kern w:val="0"/>
                <w:sz w:val="21"/>
                <w:szCs w:val="21"/>
                <w:highlight w:val="none"/>
                <w:lang w:val="en-US" w:eastAsia="en-US" w:bidi="ar-SA"/>
              </w:rPr>
            </w:pPr>
            <w:r>
              <w:rPr>
                <w:rFonts w:ascii="Arial" w:hAnsi="Arial" w:eastAsia="Arial" w:cs="Arial"/>
                <w:snapToGrid w:val="0"/>
                <w:color w:val="000000"/>
                <w:kern w:val="0"/>
                <w:sz w:val="21"/>
                <w:szCs w:val="21"/>
                <w:highlight w:val="none"/>
                <w:lang w:val="en-US" w:eastAsia="en-US" w:bidi="ar-SA"/>
              </w:rPr>
              <w:t>（仅非预留份额采购项目或预留份额采购项目中的非预留部分采购包适用）根据《政府采购促进中小企业发展管理办法》（财库〔2020〕46号）第九条和《关于进一步加大政府采购支持中小企业力度的通知》（财库〔2022〕19号）的规定。</w:t>
            </w:r>
          </w:p>
          <w:p>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96" w:right="102" w:firstLine="1"/>
              <w:textAlignment w:val="baseline"/>
              <w:rPr>
                <w:rFonts w:ascii="Arial" w:hAnsi="Arial" w:eastAsia="Arial" w:cs="Arial"/>
                <w:snapToGrid w:val="0"/>
                <w:color w:val="000000"/>
                <w:kern w:val="0"/>
                <w:sz w:val="21"/>
                <w:szCs w:val="21"/>
                <w:highlight w:val="none"/>
                <w:lang w:val="en-US" w:eastAsia="en-US" w:bidi="ar-SA"/>
              </w:rPr>
            </w:pPr>
            <w:r>
              <w:rPr>
                <w:rFonts w:ascii="Arial" w:hAnsi="Arial" w:eastAsia="Arial" w:cs="Arial"/>
                <w:snapToGrid w:val="0"/>
                <w:color w:val="000000"/>
                <w:kern w:val="0"/>
                <w:sz w:val="21"/>
                <w:szCs w:val="21"/>
                <w:highlight w:val="none"/>
                <w:lang w:val="en-US" w:eastAsia="en-US" w:bidi="ar-SA"/>
              </w:rPr>
              <w:t>关于本项目采购包中执行小微企业（监狱企业、残疾人福利性单位视同小微企业）价格扣除情况、具体扣除比例和规则详见第六章。</w:t>
            </w:r>
          </w:p>
          <w:p>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96" w:right="102" w:firstLine="1"/>
              <w:textAlignment w:val="baseline"/>
              <w:rPr>
                <w:sz w:val="21"/>
                <w:szCs w:val="21"/>
                <w:highlight w:val="none"/>
              </w:rPr>
            </w:pPr>
            <w:r>
              <w:rPr>
                <w:rFonts w:ascii="Arial" w:hAnsi="Arial" w:eastAsia="Arial" w:cs="Arial"/>
                <w:snapToGrid w:val="0"/>
                <w:color w:val="000000"/>
                <w:kern w:val="0"/>
                <w:sz w:val="21"/>
                <w:szCs w:val="21"/>
                <w:highlight w:val="none"/>
                <w:lang w:val="en-US" w:eastAsia="en-US" w:bidi="ar-SA"/>
              </w:rPr>
              <w:t>（其他情形）不适用。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736" w:type="dxa"/>
            <w:vAlign w:val="center"/>
          </w:tcPr>
          <w:p>
            <w:pPr>
              <w:numPr>
                <w:ilvl w:val="0"/>
                <w:numId w:val="2"/>
              </w:numPr>
              <w:spacing w:before="69" w:line="184" w:lineRule="auto"/>
              <w:ind w:left="425" w:leftChars="0" w:hanging="425" w:firstLineChars="0"/>
              <w:jc w:val="center"/>
              <w:rPr>
                <w:rFonts w:ascii="Lucida Sans Unicode" w:hAnsi="Lucida Sans Unicode" w:eastAsia="Lucida Sans Unicode" w:cs="Lucida Sans Unicode"/>
                <w:sz w:val="21"/>
                <w:szCs w:val="21"/>
                <w:highlight w:val="none"/>
              </w:rPr>
            </w:pPr>
          </w:p>
        </w:tc>
        <w:tc>
          <w:tcPr>
            <w:tcW w:w="2043" w:type="dxa"/>
            <w:vAlign w:val="center"/>
          </w:tcPr>
          <w:p>
            <w:pPr>
              <w:pStyle w:val="21"/>
              <w:spacing w:before="59" w:line="369" w:lineRule="auto"/>
              <w:ind w:left="94" w:right="217" w:firstLine="1"/>
              <w:jc w:val="center"/>
              <w:rPr>
                <w:spacing w:val="-2"/>
                <w:sz w:val="21"/>
                <w:szCs w:val="21"/>
                <w:highlight w:val="none"/>
              </w:rPr>
            </w:pPr>
            <w:r>
              <w:rPr>
                <w:spacing w:val="-2"/>
                <w:sz w:val="21"/>
                <w:szCs w:val="21"/>
                <w:highlight w:val="none"/>
              </w:rPr>
              <w:t>充分、公平竞争保障措施</w:t>
            </w:r>
          </w:p>
          <w:p>
            <w:pPr>
              <w:pStyle w:val="21"/>
              <w:spacing w:before="59" w:line="369" w:lineRule="auto"/>
              <w:ind w:left="94" w:right="217" w:firstLine="1"/>
              <w:jc w:val="center"/>
              <w:rPr>
                <w:sz w:val="21"/>
                <w:szCs w:val="21"/>
                <w:highlight w:val="none"/>
              </w:rPr>
            </w:pPr>
            <w:r>
              <w:rPr>
                <w:spacing w:val="-2"/>
                <w:sz w:val="21"/>
                <w:szCs w:val="21"/>
                <w:highlight w:val="none"/>
              </w:rPr>
              <w:t>（实质</w:t>
            </w:r>
            <w:r>
              <w:rPr>
                <w:spacing w:val="-3"/>
                <w:sz w:val="21"/>
                <w:szCs w:val="21"/>
                <w:highlight w:val="none"/>
              </w:rPr>
              <w:t>性要求）</w:t>
            </w:r>
          </w:p>
        </w:tc>
        <w:tc>
          <w:tcPr>
            <w:tcW w:w="7240" w:type="dxa"/>
            <w:vAlign w:val="top"/>
          </w:tcPr>
          <w:p>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96" w:right="181" w:hanging="1"/>
              <w:textAlignment w:val="baseline"/>
              <w:rPr>
                <w:rFonts w:ascii="Arial" w:hAnsi="Arial" w:eastAsia="Arial" w:cs="Arial"/>
                <w:snapToGrid w:val="0"/>
                <w:color w:val="000000"/>
                <w:kern w:val="0"/>
                <w:sz w:val="21"/>
                <w:szCs w:val="21"/>
                <w:highlight w:val="none"/>
                <w:lang w:val="en-US" w:eastAsia="en-US" w:bidi="ar-SA"/>
              </w:rPr>
            </w:pPr>
            <w:r>
              <w:rPr>
                <w:rFonts w:ascii="Arial" w:hAnsi="Arial" w:eastAsia="Arial" w:cs="Arial"/>
                <w:snapToGrid w:val="0"/>
                <w:color w:val="000000"/>
                <w:kern w:val="0"/>
                <w:sz w:val="21"/>
                <w:szCs w:val="21"/>
                <w:highlight w:val="none"/>
                <w:lang w:val="en-US" w:eastAsia="en-US" w:bidi="ar-SA"/>
              </w:rPr>
              <w:t xml:space="preserve">核心产品允许有多个，不同供应商提供了任意一个相同品牌的核心产品，即视为提供相同品牌的供应商。提供相同品牌产品且通过资格审查、符合性审查的不同供应商参加同一合同项下采购活动的，按一家供应商计算，评审后得分最高的同品牌供应商获得成交供应商推荐资格；最后评审得分相同的，由采购人或者采购人委托磋商小组采取随机抽取方式确定一个供应商获得成交供应商推荐资格，其他同品牌供应商不作为成交候选人。 </w:t>
            </w:r>
          </w:p>
          <w:p>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96" w:right="181" w:hanging="1"/>
              <w:textAlignment w:val="baseline"/>
              <w:rPr>
                <w:rFonts w:ascii="Arial" w:hAnsi="Arial" w:eastAsia="Arial" w:cs="Arial"/>
                <w:snapToGrid w:val="0"/>
                <w:color w:val="000000"/>
                <w:kern w:val="0"/>
                <w:sz w:val="21"/>
                <w:szCs w:val="21"/>
                <w:highlight w:val="none"/>
                <w:lang w:val="en-US" w:eastAsia="en-US" w:bidi="ar-SA"/>
              </w:rPr>
            </w:pPr>
            <w:r>
              <w:rPr>
                <w:rFonts w:ascii="Arial" w:hAnsi="Arial" w:eastAsia="Arial" w:cs="Arial"/>
                <w:snapToGrid w:val="0"/>
                <w:color w:val="000000"/>
                <w:kern w:val="0"/>
                <w:sz w:val="21"/>
                <w:szCs w:val="21"/>
                <w:highlight w:val="none"/>
                <w:lang w:val="en-US" w:eastAsia="en-US" w:bidi="ar-SA"/>
              </w:rPr>
              <w:t>核心产品清单详见第三章。</w:t>
            </w:r>
          </w:p>
          <w:p>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96" w:right="181" w:hanging="1"/>
              <w:textAlignment w:val="baseline"/>
              <w:rPr>
                <w:sz w:val="21"/>
                <w:szCs w:val="21"/>
                <w:highlight w:val="none"/>
              </w:rPr>
            </w:pPr>
            <w:r>
              <w:rPr>
                <w:rFonts w:ascii="Arial" w:hAnsi="Arial" w:eastAsia="Arial" w:cs="Arial"/>
                <w:snapToGrid w:val="0"/>
                <w:color w:val="000000"/>
                <w:kern w:val="0"/>
                <w:sz w:val="21"/>
                <w:szCs w:val="21"/>
                <w:highlight w:val="none"/>
                <w:lang w:val="en-US" w:eastAsia="en-US" w:bidi="ar-SA"/>
              </w:rPr>
              <w:t>在符合性审查、有效报价环节提供核心产品品牌不足3个的，视为有效响应供应商不足3家。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736" w:type="dxa"/>
            <w:vAlign w:val="center"/>
          </w:tcPr>
          <w:p>
            <w:pPr>
              <w:numPr>
                <w:ilvl w:val="0"/>
                <w:numId w:val="2"/>
              </w:numPr>
              <w:spacing w:before="69" w:line="186" w:lineRule="auto"/>
              <w:ind w:left="425" w:leftChars="0" w:hanging="425" w:firstLineChars="0"/>
              <w:jc w:val="center"/>
              <w:rPr>
                <w:rFonts w:ascii="Lucida Sans Unicode" w:hAnsi="Lucida Sans Unicode" w:eastAsia="Lucida Sans Unicode" w:cs="Lucida Sans Unicode"/>
                <w:sz w:val="21"/>
                <w:szCs w:val="21"/>
                <w:highlight w:val="none"/>
              </w:rPr>
            </w:pPr>
          </w:p>
        </w:tc>
        <w:tc>
          <w:tcPr>
            <w:tcW w:w="2043" w:type="dxa"/>
            <w:vAlign w:val="center"/>
          </w:tcPr>
          <w:p>
            <w:pPr>
              <w:pStyle w:val="21"/>
              <w:spacing w:before="58" w:line="369" w:lineRule="auto"/>
              <w:ind w:left="93" w:right="161" w:firstLine="2"/>
              <w:jc w:val="center"/>
              <w:rPr>
                <w:sz w:val="21"/>
                <w:szCs w:val="21"/>
                <w:highlight w:val="none"/>
              </w:rPr>
            </w:pPr>
            <w:r>
              <w:rPr>
                <w:spacing w:val="-2"/>
                <w:sz w:val="21"/>
                <w:szCs w:val="21"/>
                <w:highlight w:val="none"/>
              </w:rPr>
              <w:t>不正当竞争预防措施（实质性要</w:t>
            </w:r>
            <w:r>
              <w:rPr>
                <w:spacing w:val="-5"/>
                <w:sz w:val="21"/>
                <w:szCs w:val="21"/>
                <w:highlight w:val="none"/>
              </w:rPr>
              <w:t>求）</w:t>
            </w:r>
          </w:p>
        </w:tc>
        <w:tc>
          <w:tcPr>
            <w:tcW w:w="7240" w:type="dxa"/>
            <w:vAlign w:val="top"/>
          </w:tcPr>
          <w:p>
            <w:pPr>
              <w:pStyle w:val="21"/>
              <w:spacing w:before="81" w:line="369" w:lineRule="auto"/>
              <w:ind w:left="94" w:right="237"/>
              <w:jc w:val="both"/>
              <w:rPr>
                <w:sz w:val="21"/>
                <w:szCs w:val="21"/>
                <w:highlight w:val="none"/>
              </w:rPr>
            </w:pPr>
            <w:r>
              <w:rPr>
                <w:sz w:val="21"/>
                <w:szCs w:val="21"/>
                <w:highlight w:val="none"/>
              </w:rPr>
              <w:t>在磋商过程中，磋商小组认为供应商报价明显低于其他通过符合性审查供应商的</w:t>
            </w:r>
            <w:r>
              <w:rPr>
                <w:spacing w:val="-1"/>
                <w:sz w:val="21"/>
                <w:szCs w:val="21"/>
                <w:highlight w:val="none"/>
              </w:rPr>
              <w:t>报价，有可能影响产</w:t>
            </w:r>
            <w:r>
              <w:rPr>
                <w:sz w:val="21"/>
                <w:szCs w:val="21"/>
                <w:highlight w:val="none"/>
              </w:rPr>
              <w:t>品质量或者不能诚信履约的，磋商小组应当要求其在合理的时间内通过项目电子</w:t>
            </w:r>
            <w:r>
              <w:rPr>
                <w:spacing w:val="-1"/>
                <w:sz w:val="21"/>
                <w:szCs w:val="21"/>
                <w:highlight w:val="none"/>
              </w:rPr>
              <w:t>化交易系统进行书面</w:t>
            </w:r>
            <w:r>
              <w:rPr>
                <w:sz w:val="21"/>
                <w:szCs w:val="21"/>
                <w:highlight w:val="none"/>
              </w:rPr>
              <w:t>说明，必要时提交相关证明材料。供应商提交的书面说明和相关证明材料，应当</w:t>
            </w:r>
            <w:r>
              <w:rPr>
                <w:spacing w:val="-1"/>
                <w:sz w:val="21"/>
                <w:szCs w:val="21"/>
                <w:highlight w:val="none"/>
              </w:rPr>
              <w:t>加盖供应商公章，在</w:t>
            </w:r>
            <w:r>
              <w:rPr>
                <w:sz w:val="21"/>
                <w:szCs w:val="21"/>
                <w:highlight w:val="none"/>
              </w:rPr>
              <w:t>磋商小组要求的时间内通过项目电子化交易系统进行提交，否则提交的相关材料</w:t>
            </w:r>
            <w:r>
              <w:rPr>
                <w:spacing w:val="-1"/>
                <w:sz w:val="21"/>
                <w:szCs w:val="21"/>
                <w:highlight w:val="none"/>
              </w:rPr>
              <w:t>无效，视为不能证明</w:t>
            </w:r>
            <w:r>
              <w:rPr>
                <w:sz w:val="21"/>
                <w:szCs w:val="21"/>
                <w:highlight w:val="none"/>
              </w:rPr>
              <w:t>其响应报价合理性。供应商不能证明其响应报价合理性的，磋商小组应当将</w:t>
            </w:r>
            <w:r>
              <w:rPr>
                <w:spacing w:val="-1"/>
                <w:sz w:val="21"/>
                <w:szCs w:val="21"/>
                <w:highlight w:val="none"/>
              </w:rPr>
              <w:t>其响应文件作为无效处理</w:t>
            </w:r>
            <w:r>
              <w:rPr>
                <w:position w:val="1"/>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36" w:type="dxa"/>
            <w:vAlign w:val="center"/>
          </w:tcPr>
          <w:p>
            <w:pPr>
              <w:numPr>
                <w:ilvl w:val="0"/>
                <w:numId w:val="2"/>
              </w:numPr>
              <w:spacing w:before="100" w:line="186" w:lineRule="auto"/>
              <w:ind w:left="425" w:leftChars="0" w:hanging="425" w:firstLineChars="0"/>
              <w:jc w:val="center"/>
              <w:rPr>
                <w:rFonts w:ascii="Lucida Sans Unicode" w:hAnsi="Lucida Sans Unicode" w:eastAsia="Lucida Sans Unicode" w:cs="Lucida Sans Unicode"/>
                <w:sz w:val="21"/>
                <w:szCs w:val="21"/>
                <w:highlight w:val="none"/>
              </w:rPr>
            </w:pPr>
          </w:p>
        </w:tc>
        <w:tc>
          <w:tcPr>
            <w:tcW w:w="2043" w:type="dxa"/>
            <w:vAlign w:val="center"/>
          </w:tcPr>
          <w:p>
            <w:pPr>
              <w:pStyle w:val="21"/>
              <w:spacing w:before="81" w:line="220" w:lineRule="auto"/>
              <w:ind w:left="92"/>
              <w:jc w:val="center"/>
              <w:rPr>
                <w:sz w:val="21"/>
                <w:szCs w:val="21"/>
                <w:highlight w:val="none"/>
              </w:rPr>
            </w:pPr>
            <w:r>
              <w:rPr>
                <w:spacing w:val="-2"/>
                <w:sz w:val="21"/>
                <w:szCs w:val="21"/>
                <w:highlight w:val="none"/>
              </w:rPr>
              <w:t>磋商保证金</w:t>
            </w:r>
          </w:p>
        </w:tc>
        <w:tc>
          <w:tcPr>
            <w:tcW w:w="7240" w:type="dxa"/>
            <w:vAlign w:val="top"/>
          </w:tcPr>
          <w:p>
            <w:pPr>
              <w:pStyle w:val="21"/>
              <w:spacing w:before="82" w:line="219" w:lineRule="auto"/>
              <w:ind w:left="94"/>
              <w:rPr>
                <w:sz w:val="21"/>
                <w:szCs w:val="21"/>
                <w:highlight w:val="none"/>
              </w:rPr>
            </w:pPr>
            <w:r>
              <w:rPr>
                <w:color w:val="000000" w:themeColor="text1"/>
                <w:spacing w:val="1"/>
                <w:sz w:val="21"/>
                <w:szCs w:val="21"/>
                <w:highlight w:val="none"/>
                <w14:textFill>
                  <w14:solidFill>
                    <w14:schemeClr w14:val="tx1"/>
                  </w14:solidFill>
                </w14:textFill>
              </w:rPr>
              <w:t>缴交方式：否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trPr>
        <w:tc>
          <w:tcPr>
            <w:tcW w:w="736" w:type="dxa"/>
            <w:vAlign w:val="center"/>
          </w:tcPr>
          <w:p>
            <w:pPr>
              <w:numPr>
                <w:ilvl w:val="0"/>
                <w:numId w:val="2"/>
              </w:numPr>
              <w:spacing w:before="100" w:line="186" w:lineRule="auto"/>
              <w:ind w:left="425" w:leftChars="0" w:hanging="425" w:firstLineChars="0"/>
              <w:jc w:val="center"/>
              <w:rPr>
                <w:rFonts w:ascii="Lucida Sans Unicode" w:hAnsi="Lucida Sans Unicode" w:eastAsia="Lucida Sans Unicode" w:cs="Lucida Sans Unicode"/>
                <w:sz w:val="21"/>
                <w:szCs w:val="21"/>
                <w:highlight w:val="none"/>
              </w:rPr>
            </w:pPr>
          </w:p>
        </w:tc>
        <w:tc>
          <w:tcPr>
            <w:tcW w:w="2043" w:type="dxa"/>
            <w:vAlign w:val="center"/>
          </w:tcPr>
          <w:p>
            <w:pPr>
              <w:pStyle w:val="21"/>
              <w:spacing w:before="81" w:line="219" w:lineRule="auto"/>
              <w:ind w:left="94"/>
              <w:jc w:val="center"/>
              <w:rPr>
                <w:sz w:val="21"/>
                <w:szCs w:val="21"/>
                <w:highlight w:val="none"/>
              </w:rPr>
            </w:pPr>
            <w:r>
              <w:rPr>
                <w:spacing w:val="-2"/>
                <w:sz w:val="21"/>
                <w:szCs w:val="21"/>
                <w:highlight w:val="none"/>
              </w:rPr>
              <w:t>标书费信息</w:t>
            </w:r>
          </w:p>
        </w:tc>
        <w:tc>
          <w:tcPr>
            <w:tcW w:w="7240" w:type="dxa"/>
            <w:vAlign w:val="top"/>
          </w:tcPr>
          <w:p>
            <w:pPr>
              <w:pStyle w:val="21"/>
              <w:spacing w:before="82" w:line="219" w:lineRule="auto"/>
              <w:ind w:left="99"/>
              <w:rPr>
                <w:sz w:val="21"/>
                <w:szCs w:val="21"/>
                <w:highlight w:val="none"/>
              </w:rPr>
            </w:pPr>
            <w:r>
              <w:rPr>
                <w:spacing w:val="-4"/>
                <w:sz w:val="21"/>
                <w:szCs w:val="21"/>
                <w:highlight w:val="none"/>
              </w:rPr>
              <w:t>免费获取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36" w:type="dxa"/>
            <w:vAlign w:val="center"/>
          </w:tcPr>
          <w:p>
            <w:pPr>
              <w:numPr>
                <w:ilvl w:val="0"/>
                <w:numId w:val="2"/>
              </w:numPr>
              <w:spacing w:before="69" w:line="184" w:lineRule="auto"/>
              <w:ind w:left="425" w:leftChars="0" w:hanging="425" w:firstLineChars="0"/>
              <w:jc w:val="center"/>
              <w:rPr>
                <w:rFonts w:ascii="Lucida Sans Unicode" w:hAnsi="Lucida Sans Unicode" w:eastAsia="Lucida Sans Unicode" w:cs="Lucida Sans Unicode"/>
                <w:sz w:val="21"/>
                <w:szCs w:val="21"/>
                <w:highlight w:val="none"/>
              </w:rPr>
            </w:pPr>
          </w:p>
        </w:tc>
        <w:tc>
          <w:tcPr>
            <w:tcW w:w="2043" w:type="dxa"/>
            <w:vAlign w:val="center"/>
          </w:tcPr>
          <w:p>
            <w:pPr>
              <w:pStyle w:val="21"/>
              <w:spacing w:before="59" w:line="360" w:lineRule="exact"/>
              <w:ind w:left="92"/>
              <w:jc w:val="center"/>
              <w:rPr>
                <w:spacing w:val="-2"/>
                <w:sz w:val="21"/>
                <w:szCs w:val="21"/>
                <w:highlight w:val="none"/>
              </w:rPr>
            </w:pPr>
            <w:r>
              <w:rPr>
                <w:spacing w:val="-2"/>
                <w:sz w:val="21"/>
                <w:szCs w:val="21"/>
                <w:highlight w:val="none"/>
              </w:rPr>
              <w:t>履约保证金</w:t>
            </w:r>
          </w:p>
          <w:p>
            <w:pPr>
              <w:pStyle w:val="21"/>
              <w:spacing w:before="59" w:line="360" w:lineRule="exact"/>
              <w:ind w:left="92"/>
              <w:jc w:val="center"/>
              <w:rPr>
                <w:spacing w:val="-2"/>
                <w:sz w:val="21"/>
                <w:szCs w:val="21"/>
                <w:highlight w:val="none"/>
              </w:rPr>
            </w:pPr>
            <w:r>
              <w:rPr>
                <w:spacing w:val="-2"/>
                <w:sz w:val="21"/>
                <w:szCs w:val="21"/>
                <w:highlight w:val="none"/>
              </w:rPr>
              <w:t>（实质性要求）</w:t>
            </w:r>
          </w:p>
        </w:tc>
        <w:tc>
          <w:tcPr>
            <w:tcW w:w="7240" w:type="dxa"/>
            <w:vAlign w:val="top"/>
          </w:tcPr>
          <w:p>
            <w:pPr>
              <w:pStyle w:val="21"/>
              <w:spacing w:before="120" w:line="208" w:lineRule="auto"/>
              <w:rPr>
                <w:color w:val="FF0000"/>
                <w:sz w:val="21"/>
                <w:szCs w:val="21"/>
                <w:highlight w:val="none"/>
              </w:rPr>
            </w:pPr>
            <w:r>
              <w:t>采购包1：不缴纳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736" w:type="dxa"/>
            <w:vAlign w:val="center"/>
          </w:tcPr>
          <w:p>
            <w:pPr>
              <w:numPr>
                <w:ilvl w:val="0"/>
                <w:numId w:val="2"/>
              </w:numPr>
              <w:spacing w:before="282" w:line="186" w:lineRule="auto"/>
              <w:ind w:left="425" w:leftChars="0" w:hanging="425" w:firstLineChars="0"/>
              <w:jc w:val="center"/>
              <w:rPr>
                <w:rFonts w:ascii="Lucida Sans Unicode" w:hAnsi="Lucida Sans Unicode" w:eastAsia="Lucida Sans Unicode" w:cs="Lucida Sans Unicode"/>
                <w:sz w:val="21"/>
                <w:szCs w:val="21"/>
                <w:highlight w:val="none"/>
              </w:rPr>
            </w:pPr>
          </w:p>
        </w:tc>
        <w:tc>
          <w:tcPr>
            <w:tcW w:w="2043" w:type="dxa"/>
            <w:vAlign w:val="center"/>
          </w:tcPr>
          <w:p>
            <w:pPr>
              <w:pStyle w:val="21"/>
              <w:spacing w:before="59" w:line="360" w:lineRule="exact"/>
              <w:ind w:left="92"/>
              <w:jc w:val="center"/>
              <w:rPr>
                <w:spacing w:val="-2"/>
                <w:sz w:val="21"/>
                <w:szCs w:val="21"/>
                <w:highlight w:val="none"/>
              </w:rPr>
            </w:pPr>
            <w:r>
              <w:rPr>
                <w:spacing w:val="-2"/>
                <w:sz w:val="21"/>
                <w:szCs w:val="21"/>
                <w:highlight w:val="none"/>
              </w:rPr>
              <w:t>响应有效期</w:t>
            </w:r>
          </w:p>
          <w:p>
            <w:pPr>
              <w:pStyle w:val="21"/>
              <w:spacing w:before="59" w:line="360" w:lineRule="exact"/>
              <w:ind w:left="92"/>
              <w:jc w:val="center"/>
              <w:rPr>
                <w:spacing w:val="-2"/>
                <w:sz w:val="21"/>
                <w:szCs w:val="21"/>
                <w:highlight w:val="none"/>
              </w:rPr>
            </w:pPr>
            <w:r>
              <w:rPr>
                <w:spacing w:val="-2"/>
                <w:sz w:val="21"/>
                <w:szCs w:val="21"/>
                <w:highlight w:val="none"/>
              </w:rPr>
              <w:t>（实质性要求）</w:t>
            </w:r>
          </w:p>
        </w:tc>
        <w:tc>
          <w:tcPr>
            <w:tcW w:w="7240" w:type="dxa"/>
            <w:vAlign w:val="top"/>
          </w:tcPr>
          <w:p>
            <w:pPr>
              <w:pStyle w:val="21"/>
              <w:spacing w:before="263" w:line="209" w:lineRule="auto"/>
              <w:ind w:left="97"/>
              <w:rPr>
                <w:sz w:val="21"/>
                <w:szCs w:val="21"/>
                <w:highlight w:val="none"/>
              </w:rPr>
            </w:pPr>
            <w:r>
              <w:rPr>
                <w:spacing w:val="-1"/>
                <w:sz w:val="21"/>
                <w:szCs w:val="21"/>
                <w:highlight w:val="none"/>
              </w:rPr>
              <w:t>提交首次响应文件</w:t>
            </w:r>
            <w:r>
              <w:rPr>
                <w:rFonts w:hint="eastAsia"/>
                <w:spacing w:val="-1"/>
                <w:sz w:val="21"/>
                <w:szCs w:val="21"/>
                <w:highlight w:val="none"/>
                <w:lang w:eastAsia="zh-CN"/>
              </w:rPr>
              <w:t>的</w:t>
            </w:r>
            <w:r>
              <w:rPr>
                <w:spacing w:val="-1"/>
                <w:sz w:val="21"/>
                <w:szCs w:val="21"/>
                <w:highlight w:val="none"/>
              </w:rPr>
              <w:t>截止之日起不</w:t>
            </w:r>
            <w:r>
              <w:rPr>
                <w:color w:val="000000" w:themeColor="text1"/>
                <w:spacing w:val="-1"/>
                <w:sz w:val="21"/>
                <w:szCs w:val="21"/>
                <w:highlight w:val="none"/>
                <w14:textFill>
                  <w14:solidFill>
                    <w14:schemeClr w14:val="tx1"/>
                  </w14:solidFill>
                </w14:textFill>
              </w:rPr>
              <w:t>少于</w:t>
            </w:r>
            <w:r>
              <w:rPr>
                <w:rFonts w:ascii="Lucida Sans Unicode" w:hAnsi="Lucida Sans Unicode" w:eastAsia="Lucida Sans Unicode" w:cs="Lucida Sans Unicode"/>
                <w:color w:val="000000" w:themeColor="text1"/>
                <w:spacing w:val="-1"/>
                <w:sz w:val="21"/>
                <w:szCs w:val="21"/>
                <w:highlight w:val="none"/>
                <w14:textFill>
                  <w14:solidFill>
                    <w14:schemeClr w14:val="tx1"/>
                  </w14:solidFill>
                </w14:textFill>
              </w:rPr>
              <w:t>90</w:t>
            </w:r>
            <w:r>
              <w:rPr>
                <w:color w:val="000000" w:themeColor="text1"/>
                <w:spacing w:val="-1"/>
                <w:sz w:val="21"/>
                <w:szCs w:val="21"/>
                <w:highlight w:val="none"/>
                <w14:textFill>
                  <w14:solidFill>
                    <w14:schemeClr w14:val="tx1"/>
                  </w14:solidFill>
                </w14:textFill>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9" w:hRule="atLeast"/>
        </w:trPr>
        <w:tc>
          <w:tcPr>
            <w:tcW w:w="736" w:type="dxa"/>
            <w:vAlign w:val="center"/>
          </w:tcPr>
          <w:p>
            <w:pPr>
              <w:numPr>
                <w:ilvl w:val="0"/>
                <w:numId w:val="2"/>
              </w:numPr>
              <w:spacing w:before="69" w:line="184" w:lineRule="auto"/>
              <w:ind w:left="425" w:leftChars="0" w:hanging="425" w:firstLineChars="0"/>
              <w:jc w:val="center"/>
              <w:rPr>
                <w:rFonts w:ascii="Lucida Sans Unicode" w:hAnsi="Lucida Sans Unicode" w:eastAsia="Lucida Sans Unicode" w:cs="Lucida Sans Unicode"/>
                <w:sz w:val="21"/>
                <w:szCs w:val="21"/>
                <w:highlight w:val="none"/>
              </w:rPr>
            </w:pPr>
          </w:p>
        </w:tc>
        <w:tc>
          <w:tcPr>
            <w:tcW w:w="2043" w:type="dxa"/>
            <w:vAlign w:val="center"/>
          </w:tcPr>
          <w:p>
            <w:pPr>
              <w:pStyle w:val="21"/>
              <w:spacing w:before="59" w:line="360" w:lineRule="exact"/>
              <w:ind w:left="92"/>
              <w:jc w:val="center"/>
              <w:rPr>
                <w:spacing w:val="-2"/>
                <w:sz w:val="21"/>
                <w:szCs w:val="21"/>
                <w:highlight w:val="none"/>
              </w:rPr>
            </w:pPr>
            <w:r>
              <w:rPr>
                <w:spacing w:val="-2"/>
                <w:sz w:val="21"/>
                <w:szCs w:val="21"/>
                <w:highlight w:val="none"/>
              </w:rPr>
              <w:t>代理服务费</w:t>
            </w:r>
          </w:p>
          <w:p>
            <w:pPr>
              <w:pStyle w:val="21"/>
              <w:spacing w:before="59" w:line="360" w:lineRule="exact"/>
              <w:ind w:left="92"/>
              <w:jc w:val="center"/>
              <w:rPr>
                <w:sz w:val="21"/>
                <w:szCs w:val="21"/>
                <w:highlight w:val="none"/>
              </w:rPr>
            </w:pPr>
            <w:r>
              <w:rPr>
                <w:spacing w:val="-2"/>
                <w:sz w:val="21"/>
                <w:szCs w:val="21"/>
                <w:highlight w:val="none"/>
              </w:rPr>
              <w:t>（实质性要求）</w:t>
            </w:r>
          </w:p>
        </w:tc>
        <w:tc>
          <w:tcPr>
            <w:tcW w:w="7240" w:type="dxa"/>
            <w:vAlign w:val="top"/>
          </w:tcPr>
          <w:p>
            <w:pPr>
              <w:pStyle w:val="21"/>
              <w:spacing w:before="83" w:line="360" w:lineRule="auto"/>
              <w:ind w:left="96" w:right="88" w:rightChars="42"/>
              <w:rPr>
                <w:rFonts w:ascii="Arial" w:hAnsi="Arial" w:eastAsia="Arial" w:cs="Arial"/>
                <w:snapToGrid w:val="0"/>
                <w:color w:val="000000" w:themeColor="text1"/>
                <w:kern w:val="0"/>
                <w:sz w:val="21"/>
                <w:szCs w:val="21"/>
                <w:highlight w:val="none"/>
                <w:lang w:val="en-US" w:eastAsia="en-US" w:bidi="ar-SA"/>
                <w14:textFill>
                  <w14:solidFill>
                    <w14:schemeClr w14:val="tx1"/>
                  </w14:solidFill>
                </w14:textFill>
              </w:rPr>
            </w:pPr>
            <w:r>
              <w:rPr>
                <w:rFonts w:ascii="Arial" w:hAnsi="Arial" w:eastAsia="Arial" w:cs="Arial"/>
                <w:snapToGrid w:val="0"/>
                <w:color w:val="000000" w:themeColor="text1"/>
                <w:kern w:val="0"/>
                <w:sz w:val="21"/>
                <w:szCs w:val="21"/>
                <w:highlight w:val="none"/>
                <w:lang w:val="en-US" w:eastAsia="en-US" w:bidi="ar-SA"/>
                <w14:textFill>
                  <w14:solidFill>
                    <w14:schemeClr w14:val="tx1"/>
                  </w14:solidFill>
                </w14:textFill>
              </w:rPr>
              <w:t>本项目收取代理服务费</w:t>
            </w:r>
          </w:p>
          <w:p>
            <w:pPr>
              <w:pStyle w:val="21"/>
              <w:spacing w:before="83" w:line="360" w:lineRule="auto"/>
              <w:ind w:left="96" w:right="88" w:rightChars="42"/>
              <w:rPr>
                <w:rFonts w:ascii="Arial" w:hAnsi="Arial" w:eastAsia="Arial" w:cs="Arial"/>
                <w:snapToGrid w:val="0"/>
                <w:color w:val="000000" w:themeColor="text1"/>
                <w:kern w:val="0"/>
                <w:sz w:val="21"/>
                <w:szCs w:val="21"/>
                <w:highlight w:val="none"/>
                <w:lang w:val="en-US" w:eastAsia="en-US" w:bidi="ar-SA"/>
                <w14:textFill>
                  <w14:solidFill>
                    <w14:schemeClr w14:val="tx1"/>
                  </w14:solidFill>
                </w14:textFill>
              </w:rPr>
            </w:pPr>
            <w:r>
              <w:rPr>
                <w:rFonts w:ascii="Arial" w:hAnsi="Arial" w:eastAsia="Arial" w:cs="Arial"/>
                <w:snapToGrid w:val="0"/>
                <w:color w:val="000000" w:themeColor="text1"/>
                <w:kern w:val="0"/>
                <w:sz w:val="21"/>
                <w:szCs w:val="21"/>
                <w:highlight w:val="none"/>
                <w:lang w:val="en-US" w:eastAsia="en-US" w:bidi="ar-SA"/>
                <w14:textFill>
                  <w14:solidFill>
                    <w14:schemeClr w14:val="tx1"/>
                  </w14:solidFill>
                </w14:textFill>
              </w:rPr>
              <w:t>代理服务费用收取对象：中标/成交供应商</w:t>
            </w:r>
          </w:p>
          <w:p>
            <w:pPr>
              <w:pStyle w:val="21"/>
              <w:spacing w:before="81" w:line="360" w:lineRule="auto"/>
              <w:ind w:left="94" w:right="88" w:rightChars="42"/>
              <w:jc w:val="both"/>
              <w:rPr>
                <w:rFonts w:hint="eastAsia" w:ascii="Arial" w:hAnsi="Arial" w:eastAsia="Arial" w:cs="Arial"/>
                <w:snapToGrid w:val="0"/>
                <w:color w:val="000000" w:themeColor="text1"/>
                <w:kern w:val="0"/>
                <w:sz w:val="21"/>
                <w:szCs w:val="21"/>
                <w:highlight w:val="none"/>
                <w:lang w:val="en-US" w:eastAsia="en-US" w:bidi="ar-SA"/>
                <w14:textFill>
                  <w14:solidFill>
                    <w14:schemeClr w14:val="tx1"/>
                  </w14:solidFill>
                </w14:textFill>
              </w:rPr>
            </w:pPr>
            <w:r>
              <w:rPr>
                <w:rFonts w:ascii="Arial" w:hAnsi="Arial" w:eastAsia="Arial" w:cs="Arial"/>
                <w:snapToGrid w:val="0"/>
                <w:color w:val="000000" w:themeColor="text1"/>
                <w:kern w:val="0"/>
                <w:sz w:val="21"/>
                <w:szCs w:val="21"/>
                <w:highlight w:val="none"/>
                <w:lang w:val="en-US" w:eastAsia="en-US" w:bidi="ar-SA"/>
                <w14:textFill>
                  <w14:solidFill>
                    <w14:schemeClr w14:val="tx1"/>
                  </w14:solidFill>
                </w14:textFill>
              </w:rPr>
              <w:t>代理服务费收费标准：</w:t>
            </w:r>
            <w:r>
              <w:rPr>
                <w:rFonts w:hint="eastAsia" w:ascii="Arial" w:hAnsi="Arial" w:eastAsia="Arial" w:cs="Arial"/>
                <w:snapToGrid w:val="0"/>
                <w:color w:val="000000" w:themeColor="text1"/>
                <w:kern w:val="0"/>
                <w:sz w:val="21"/>
                <w:szCs w:val="21"/>
                <w:highlight w:val="none"/>
                <w:lang w:val="en-US" w:eastAsia="en-US" w:bidi="ar-SA"/>
                <w14:textFill>
                  <w14:solidFill>
                    <w14:schemeClr w14:val="tx1"/>
                  </w14:solidFill>
                </w14:textFill>
              </w:rPr>
              <w:t>根据《关于进一步放开建设项目专项业务服务价格的通知》（发改价格[2015]299号）规定，</w:t>
            </w:r>
            <w:r>
              <w:rPr>
                <w:rFonts w:ascii="Arial" w:hAnsi="Arial" w:eastAsia="Arial" w:cs="Arial"/>
                <w:snapToGrid w:val="0"/>
                <w:color w:val="000000" w:themeColor="text1"/>
                <w:kern w:val="0"/>
                <w:sz w:val="21"/>
                <w:szCs w:val="21"/>
                <w:highlight w:val="none"/>
                <w:lang w:val="en-US" w:eastAsia="en-US" w:bidi="ar-SA"/>
                <w14:textFill>
                  <w14:solidFill>
                    <w14:schemeClr w14:val="tx1"/>
                  </w14:solidFill>
                </w14:textFill>
              </w:rPr>
              <w:t>采购代理服务费</w:t>
            </w:r>
            <w:r>
              <w:rPr>
                <w:rFonts w:hint="eastAsia" w:ascii="Arial" w:hAnsi="Arial" w:eastAsia="宋体" w:cs="Arial"/>
                <w:snapToGrid w:val="0"/>
                <w:color w:val="000000" w:themeColor="text1"/>
                <w:kern w:val="0"/>
                <w:sz w:val="21"/>
                <w:szCs w:val="21"/>
                <w:highlight w:val="none"/>
                <w:lang w:val="en-US" w:eastAsia="zh-CN" w:bidi="ar-SA"/>
                <w14:textFill>
                  <w14:solidFill>
                    <w14:schemeClr w14:val="tx1"/>
                  </w14:solidFill>
                </w14:textFill>
              </w:rPr>
              <w:t>不足陆仟元，</w:t>
            </w:r>
            <w:r>
              <w:rPr>
                <w:rFonts w:hint="eastAsia" w:ascii="Arial" w:hAnsi="Arial" w:eastAsia="Arial" w:cs="Arial"/>
                <w:snapToGrid w:val="0"/>
                <w:color w:val="000000" w:themeColor="text1"/>
                <w:kern w:val="0"/>
                <w:sz w:val="21"/>
                <w:szCs w:val="21"/>
                <w:highlight w:val="none"/>
                <w:lang w:val="en-US" w:eastAsia="en-US" w:bidi="ar-SA"/>
                <w14:textFill>
                  <w14:solidFill>
                    <w14:schemeClr w14:val="tx1"/>
                  </w14:solidFill>
                </w14:textFill>
              </w:rPr>
              <w:t>按人民币</w:t>
            </w:r>
            <w:r>
              <w:rPr>
                <w:rFonts w:hint="eastAsia" w:ascii="Arial" w:hAnsi="Arial" w:eastAsia="Arial" w:cs="Arial"/>
                <w:snapToGrid w:val="0"/>
                <w:color w:val="000000" w:themeColor="text1"/>
                <w:kern w:val="0"/>
                <w:sz w:val="21"/>
                <w:szCs w:val="21"/>
                <w:highlight w:val="none"/>
                <w:u w:val="single"/>
                <w:lang w:val="en-US" w:eastAsia="en-US" w:bidi="ar-SA"/>
                <w14:textFill>
                  <w14:solidFill>
                    <w14:schemeClr w14:val="tx1"/>
                  </w14:solidFill>
                </w14:textFill>
              </w:rPr>
              <w:t xml:space="preserve">   </w:t>
            </w:r>
            <w:r>
              <w:rPr>
                <w:rFonts w:hint="eastAsia" w:ascii="Arial" w:hAnsi="Arial" w:eastAsia="宋体" w:cs="Arial"/>
                <w:snapToGrid w:val="0"/>
                <w:color w:val="000000" w:themeColor="text1"/>
                <w:kern w:val="0"/>
                <w:sz w:val="21"/>
                <w:szCs w:val="21"/>
                <w:highlight w:val="none"/>
                <w:u w:val="single"/>
                <w:lang w:val="en-US" w:eastAsia="zh-CN" w:bidi="ar-SA"/>
                <w14:textFill>
                  <w14:solidFill>
                    <w14:schemeClr w14:val="tx1"/>
                  </w14:solidFill>
                </w14:textFill>
              </w:rPr>
              <w:t>陆仟元</w:t>
            </w:r>
            <w:r>
              <w:rPr>
                <w:rFonts w:hint="eastAsia" w:ascii="Arial" w:hAnsi="Arial" w:eastAsia="Arial" w:cs="Arial"/>
                <w:snapToGrid w:val="0"/>
                <w:color w:val="000000" w:themeColor="text1"/>
                <w:kern w:val="0"/>
                <w:sz w:val="21"/>
                <w:szCs w:val="21"/>
                <w:highlight w:val="none"/>
                <w:u w:val="single"/>
                <w:lang w:val="en-US" w:eastAsia="en-US" w:bidi="ar-SA"/>
                <w14:textFill>
                  <w14:solidFill>
                    <w14:schemeClr w14:val="tx1"/>
                  </w14:solidFill>
                </w14:textFill>
              </w:rPr>
              <w:t xml:space="preserve">   </w:t>
            </w:r>
            <w:r>
              <w:rPr>
                <w:rFonts w:hint="eastAsia" w:ascii="Arial" w:hAnsi="Arial" w:eastAsia="Arial" w:cs="Arial"/>
                <w:snapToGrid w:val="0"/>
                <w:color w:val="000000" w:themeColor="text1"/>
                <w:kern w:val="0"/>
                <w:sz w:val="21"/>
                <w:szCs w:val="21"/>
                <w:highlight w:val="none"/>
                <w:lang w:val="en-US" w:eastAsia="en-US" w:bidi="ar-SA"/>
                <w14:textFill>
                  <w14:solidFill>
                    <w14:schemeClr w14:val="tx1"/>
                  </w14:solidFill>
                </w14:textFill>
              </w:rPr>
              <w:t>元收取。</w:t>
            </w:r>
          </w:p>
          <w:p>
            <w:pPr>
              <w:spacing w:line="360" w:lineRule="auto"/>
              <w:ind w:left="0" w:leftChars="0" w:firstLine="219" w:firstLineChars="104"/>
              <w:rPr>
                <w:rFonts w:hint="eastAsia" w:ascii="Arial" w:hAnsi="Arial" w:eastAsia="Arial" w:cs="Arial"/>
                <w:b/>
                <w:bCs/>
                <w:snapToGrid w:val="0"/>
                <w:color w:val="000000" w:themeColor="text1"/>
                <w:kern w:val="0"/>
                <w:sz w:val="21"/>
                <w:szCs w:val="21"/>
                <w:highlight w:val="none"/>
                <w:lang w:val="zh-CN" w:eastAsia="en-US" w:bidi="ar-SA"/>
                <w14:textFill>
                  <w14:solidFill>
                    <w14:schemeClr w14:val="tx1"/>
                  </w14:solidFill>
                </w14:textFill>
              </w:rPr>
            </w:pPr>
            <w:r>
              <w:rPr>
                <w:rFonts w:hint="eastAsia" w:ascii="Arial" w:hAnsi="Arial" w:eastAsia="Arial" w:cs="Arial"/>
                <w:b/>
                <w:bCs/>
                <w:snapToGrid w:val="0"/>
                <w:color w:val="000000" w:themeColor="text1"/>
                <w:kern w:val="0"/>
                <w:sz w:val="21"/>
                <w:szCs w:val="21"/>
                <w:highlight w:val="none"/>
                <w:lang w:val="zh-CN" w:eastAsia="en-US" w:bidi="ar-SA"/>
                <w14:textFill>
                  <w14:solidFill>
                    <w14:schemeClr w14:val="tx1"/>
                  </w14:solidFill>
                </w14:textFill>
              </w:rPr>
              <w:t>请将采购代理服务费汇至下列指定账户：</w:t>
            </w:r>
          </w:p>
          <w:p>
            <w:pPr>
              <w:widowControl/>
              <w:spacing w:line="360" w:lineRule="auto"/>
              <w:ind w:left="0" w:leftChars="0" w:right="-197" w:rightChars="-94" w:firstLine="218" w:firstLineChars="104"/>
              <w:jc w:val="left"/>
              <w:rPr>
                <w:rFonts w:hint="eastAsia" w:ascii="Arial" w:hAnsi="Arial" w:eastAsia="Arial" w:cs="Arial"/>
                <w:snapToGrid w:val="0"/>
                <w:color w:val="000000" w:themeColor="text1"/>
                <w:kern w:val="0"/>
                <w:sz w:val="21"/>
                <w:szCs w:val="21"/>
                <w:highlight w:val="none"/>
                <w:lang w:val="en-US" w:eastAsia="en-US" w:bidi="ar-SA"/>
                <w14:textFill>
                  <w14:solidFill>
                    <w14:schemeClr w14:val="tx1"/>
                  </w14:solidFill>
                </w14:textFill>
              </w:rPr>
            </w:pPr>
            <w:r>
              <w:rPr>
                <w:rFonts w:hint="eastAsia" w:ascii="Arial" w:hAnsi="Arial" w:eastAsia="Arial" w:cs="Arial"/>
                <w:snapToGrid w:val="0"/>
                <w:color w:val="000000" w:themeColor="text1"/>
                <w:kern w:val="0"/>
                <w:sz w:val="21"/>
                <w:szCs w:val="21"/>
                <w:highlight w:val="none"/>
                <w:lang w:val="en-US" w:eastAsia="en-US" w:bidi="ar-SA"/>
                <w14:textFill>
                  <w14:solidFill>
                    <w14:schemeClr w14:val="tx1"/>
                  </w14:solidFill>
                </w14:textFill>
              </w:rPr>
              <w:t>开户名称：陕西隆信项目管理有限公司</w:t>
            </w:r>
          </w:p>
          <w:p>
            <w:pPr>
              <w:widowControl/>
              <w:spacing w:line="360" w:lineRule="auto"/>
              <w:ind w:left="0" w:leftChars="0" w:right="-197" w:rightChars="-94" w:firstLine="218" w:firstLineChars="104"/>
              <w:jc w:val="left"/>
              <w:rPr>
                <w:rFonts w:hint="eastAsia" w:ascii="Arial" w:hAnsi="Arial" w:eastAsia="Arial" w:cs="Arial"/>
                <w:snapToGrid w:val="0"/>
                <w:color w:val="000000" w:themeColor="text1"/>
                <w:kern w:val="0"/>
                <w:sz w:val="21"/>
                <w:szCs w:val="21"/>
                <w:highlight w:val="none"/>
                <w:lang w:val="en-US" w:eastAsia="en-US" w:bidi="ar-SA"/>
                <w14:textFill>
                  <w14:solidFill>
                    <w14:schemeClr w14:val="tx1"/>
                  </w14:solidFill>
                </w14:textFill>
              </w:rPr>
            </w:pPr>
            <w:r>
              <w:rPr>
                <w:rFonts w:hint="eastAsia" w:ascii="Arial" w:hAnsi="Arial" w:eastAsia="Arial" w:cs="Arial"/>
                <w:snapToGrid w:val="0"/>
                <w:color w:val="000000" w:themeColor="text1"/>
                <w:kern w:val="0"/>
                <w:sz w:val="21"/>
                <w:szCs w:val="21"/>
                <w:highlight w:val="none"/>
                <w:lang w:val="en-US" w:eastAsia="en-US" w:bidi="ar-SA"/>
                <w14:textFill>
                  <w14:solidFill>
                    <w14:schemeClr w14:val="tx1"/>
                  </w14:solidFill>
                </w14:textFill>
              </w:rPr>
              <w:t>开 户 行：招商银行股份有限公司西安土门支行</w:t>
            </w:r>
          </w:p>
          <w:p>
            <w:pPr>
              <w:widowControl/>
              <w:spacing w:line="360" w:lineRule="auto"/>
              <w:ind w:left="0" w:leftChars="0" w:right="-197" w:rightChars="-94" w:firstLine="218" w:firstLineChars="104"/>
              <w:jc w:val="left"/>
              <w:rPr>
                <w:rFonts w:hint="eastAsia" w:ascii="Arial" w:hAnsi="Arial" w:eastAsia="Arial" w:cs="Arial"/>
                <w:snapToGrid w:val="0"/>
                <w:color w:val="000000" w:themeColor="text1"/>
                <w:kern w:val="0"/>
                <w:sz w:val="21"/>
                <w:szCs w:val="21"/>
                <w:highlight w:val="none"/>
                <w:lang w:val="en-US" w:eastAsia="en-US" w:bidi="ar-SA"/>
                <w14:textFill>
                  <w14:solidFill>
                    <w14:schemeClr w14:val="tx1"/>
                  </w14:solidFill>
                </w14:textFill>
              </w:rPr>
            </w:pPr>
            <w:r>
              <w:rPr>
                <w:rFonts w:hint="eastAsia" w:ascii="Arial" w:hAnsi="Arial" w:eastAsia="Arial" w:cs="Arial"/>
                <w:snapToGrid w:val="0"/>
                <w:color w:val="000000" w:themeColor="text1"/>
                <w:kern w:val="0"/>
                <w:sz w:val="21"/>
                <w:szCs w:val="21"/>
                <w:highlight w:val="none"/>
                <w:lang w:val="en-US" w:eastAsia="en-US" w:bidi="ar-SA"/>
                <w14:textFill>
                  <w14:solidFill>
                    <w14:schemeClr w14:val="tx1"/>
                  </w14:solidFill>
                </w14:textFill>
              </w:rPr>
              <w:t>账    号：129904064810902</w:t>
            </w:r>
          </w:p>
          <w:p>
            <w:pPr>
              <w:widowControl/>
              <w:spacing w:line="360" w:lineRule="auto"/>
              <w:ind w:left="0" w:leftChars="0" w:right="-197" w:rightChars="-94" w:firstLine="218" w:firstLineChars="104"/>
              <w:jc w:val="left"/>
              <w:rPr>
                <w:rFonts w:hint="eastAsia"/>
                <w:lang w:val="en-US" w:eastAsia="en-US"/>
              </w:rPr>
            </w:pPr>
            <w:r>
              <w:rPr>
                <w:rFonts w:hint="eastAsia" w:ascii="Arial" w:hAnsi="Arial" w:eastAsia="Arial" w:cs="Arial"/>
                <w:snapToGrid w:val="0"/>
                <w:color w:val="000000" w:themeColor="text1"/>
                <w:kern w:val="0"/>
                <w:sz w:val="21"/>
                <w:szCs w:val="21"/>
                <w:highlight w:val="none"/>
                <w:lang w:val="en-US" w:eastAsia="en-US" w:bidi="ar-SA"/>
                <w14:textFill>
                  <w14:solidFill>
                    <w14:schemeClr w14:val="tx1"/>
                  </w14:solidFill>
                </w14:textFill>
              </w:rPr>
              <w:t>财务部电话：029-88489979-8501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36" w:type="dxa"/>
            <w:vAlign w:val="center"/>
          </w:tcPr>
          <w:p>
            <w:pPr>
              <w:numPr>
                <w:ilvl w:val="0"/>
                <w:numId w:val="2"/>
              </w:numPr>
              <w:spacing w:before="107" w:line="184" w:lineRule="auto"/>
              <w:ind w:left="425" w:leftChars="0" w:hanging="425" w:firstLineChars="0"/>
              <w:jc w:val="center"/>
              <w:rPr>
                <w:rFonts w:ascii="Lucida Sans Unicode" w:hAnsi="Lucida Sans Unicode" w:eastAsia="Lucida Sans Unicode" w:cs="Lucida Sans Unicode"/>
                <w:sz w:val="21"/>
                <w:szCs w:val="21"/>
                <w:highlight w:val="none"/>
              </w:rPr>
            </w:pPr>
          </w:p>
        </w:tc>
        <w:tc>
          <w:tcPr>
            <w:tcW w:w="2043" w:type="dxa"/>
            <w:vAlign w:val="center"/>
          </w:tcPr>
          <w:p>
            <w:pPr>
              <w:pStyle w:val="21"/>
              <w:spacing w:before="86" w:line="360" w:lineRule="auto"/>
              <w:ind w:left="92"/>
              <w:jc w:val="center"/>
              <w:rPr>
                <w:sz w:val="21"/>
                <w:szCs w:val="21"/>
                <w:highlight w:val="none"/>
              </w:rPr>
            </w:pPr>
            <w:r>
              <w:rPr>
                <w:spacing w:val="-2"/>
                <w:sz w:val="21"/>
                <w:szCs w:val="21"/>
                <w:highlight w:val="none"/>
              </w:rPr>
              <w:t>采购结果公告</w:t>
            </w:r>
          </w:p>
        </w:tc>
        <w:tc>
          <w:tcPr>
            <w:tcW w:w="7240" w:type="dxa"/>
            <w:vAlign w:val="top"/>
          </w:tcPr>
          <w:p>
            <w:pPr>
              <w:pStyle w:val="21"/>
              <w:spacing w:before="86" w:line="360" w:lineRule="auto"/>
              <w:ind w:left="94"/>
              <w:rPr>
                <w:sz w:val="21"/>
                <w:szCs w:val="21"/>
                <w:highlight w:val="none"/>
              </w:rPr>
            </w:pPr>
            <w:r>
              <w:rPr>
                <w:spacing w:val="-1"/>
                <w:sz w:val="21"/>
                <w:szCs w:val="21"/>
                <w:highlight w:val="none"/>
              </w:rPr>
              <w:t>采购结果将在陕西省政府采购网予以公告。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736" w:type="dxa"/>
            <w:vAlign w:val="center"/>
          </w:tcPr>
          <w:p>
            <w:pPr>
              <w:numPr>
                <w:ilvl w:val="0"/>
                <w:numId w:val="2"/>
              </w:numPr>
              <w:spacing w:before="285" w:line="186" w:lineRule="auto"/>
              <w:ind w:left="425" w:leftChars="0" w:hanging="425" w:firstLineChars="0"/>
              <w:jc w:val="center"/>
              <w:rPr>
                <w:rFonts w:ascii="Lucida Sans Unicode" w:hAnsi="Lucida Sans Unicode" w:eastAsia="Lucida Sans Unicode" w:cs="Lucida Sans Unicode"/>
                <w:sz w:val="21"/>
                <w:szCs w:val="21"/>
                <w:highlight w:val="none"/>
              </w:rPr>
            </w:pPr>
          </w:p>
        </w:tc>
        <w:tc>
          <w:tcPr>
            <w:tcW w:w="2043" w:type="dxa"/>
            <w:vAlign w:val="center"/>
          </w:tcPr>
          <w:p>
            <w:pPr>
              <w:pStyle w:val="21"/>
              <w:spacing w:before="266" w:line="360" w:lineRule="auto"/>
              <w:ind w:left="94"/>
              <w:jc w:val="center"/>
              <w:rPr>
                <w:sz w:val="21"/>
                <w:szCs w:val="21"/>
                <w:highlight w:val="none"/>
              </w:rPr>
            </w:pPr>
            <w:r>
              <w:rPr>
                <w:spacing w:val="-2"/>
                <w:sz w:val="21"/>
                <w:szCs w:val="21"/>
                <w:highlight w:val="none"/>
              </w:rPr>
              <w:t>成交通知书</w:t>
            </w:r>
          </w:p>
        </w:tc>
        <w:tc>
          <w:tcPr>
            <w:tcW w:w="7240" w:type="dxa"/>
            <w:vAlign w:val="top"/>
          </w:tcPr>
          <w:p>
            <w:pPr>
              <w:pStyle w:val="21"/>
              <w:spacing w:before="81" w:line="369" w:lineRule="auto"/>
              <w:ind w:left="94" w:right="90" w:rightChars="0"/>
              <w:jc w:val="both"/>
              <w:rPr>
                <w:spacing w:val="-1"/>
                <w:sz w:val="21"/>
                <w:szCs w:val="21"/>
                <w:highlight w:val="none"/>
              </w:rPr>
            </w:pPr>
            <w:r>
              <w:rPr>
                <w:spacing w:val="-1"/>
                <w:sz w:val="21"/>
                <w:szCs w:val="21"/>
                <w:highlight w:val="none"/>
              </w:rPr>
              <w:t>采购结果公告发布的同时，采购人或代理机构通过项目电子化交易系统向成交供应商发出成交通知书</w:t>
            </w:r>
            <w:r>
              <w:rPr>
                <w:rFonts w:hint="eastAsia"/>
                <w:spacing w:val="-1"/>
                <w:sz w:val="21"/>
                <w:szCs w:val="21"/>
                <w:highlight w:val="none"/>
                <w:lang w:eastAsia="zh-CN"/>
              </w:rPr>
              <w:t>；</w:t>
            </w:r>
            <w:r>
              <w:rPr>
                <w:spacing w:val="-1"/>
                <w:sz w:val="21"/>
                <w:szCs w:val="21"/>
                <w:highlight w:val="none"/>
              </w:rPr>
              <w:t>成交供应商通过项目电子化交易系统获取成交通知书。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736" w:type="dxa"/>
            <w:vAlign w:val="center"/>
          </w:tcPr>
          <w:p>
            <w:pPr>
              <w:numPr>
                <w:ilvl w:val="0"/>
                <w:numId w:val="2"/>
              </w:numPr>
              <w:spacing w:before="288" w:line="184" w:lineRule="auto"/>
              <w:ind w:left="425" w:leftChars="0" w:hanging="425" w:firstLineChars="0"/>
              <w:jc w:val="center"/>
              <w:rPr>
                <w:rFonts w:ascii="Lucida Sans Unicode" w:hAnsi="Lucida Sans Unicode" w:eastAsia="Lucida Sans Unicode" w:cs="Lucida Sans Unicode"/>
                <w:sz w:val="21"/>
                <w:szCs w:val="21"/>
                <w:highlight w:val="none"/>
              </w:rPr>
            </w:pPr>
          </w:p>
        </w:tc>
        <w:tc>
          <w:tcPr>
            <w:tcW w:w="2043" w:type="dxa"/>
            <w:vAlign w:val="center"/>
          </w:tcPr>
          <w:p>
            <w:pPr>
              <w:pStyle w:val="21"/>
              <w:spacing w:before="266" w:line="360" w:lineRule="auto"/>
              <w:ind w:left="94"/>
              <w:jc w:val="center"/>
              <w:rPr>
                <w:spacing w:val="-2"/>
                <w:sz w:val="21"/>
                <w:szCs w:val="21"/>
                <w:highlight w:val="none"/>
              </w:rPr>
            </w:pPr>
            <w:r>
              <w:rPr>
                <w:spacing w:val="-2"/>
                <w:sz w:val="21"/>
                <w:szCs w:val="21"/>
                <w:highlight w:val="none"/>
              </w:rPr>
              <w:t>政府采购合同公告、备案</w:t>
            </w:r>
          </w:p>
        </w:tc>
        <w:tc>
          <w:tcPr>
            <w:tcW w:w="7240" w:type="dxa"/>
            <w:vAlign w:val="top"/>
          </w:tcPr>
          <w:p>
            <w:pPr>
              <w:pStyle w:val="21"/>
              <w:spacing w:before="81" w:line="369" w:lineRule="auto"/>
              <w:ind w:left="94" w:right="90" w:rightChars="0"/>
              <w:jc w:val="both"/>
              <w:rPr>
                <w:spacing w:val="-1"/>
                <w:sz w:val="21"/>
                <w:szCs w:val="21"/>
                <w:highlight w:val="none"/>
              </w:rPr>
            </w:pPr>
            <w:r>
              <w:rPr>
                <w:spacing w:val="-1"/>
                <w:sz w:val="21"/>
                <w:szCs w:val="21"/>
                <w:highlight w:val="none"/>
              </w:rPr>
              <w:t>政府采购合同签订之日起2个工作日内，采购人将政府采购合同在</w:t>
            </w:r>
            <w:r>
              <w:rPr>
                <w:sz w:val="21"/>
                <w:szCs w:val="21"/>
                <w:highlight w:val="none"/>
              </w:rPr>
              <w:t>陕西省</w:t>
            </w:r>
            <w:r>
              <w:rPr>
                <w:spacing w:val="-1"/>
                <w:sz w:val="21"/>
                <w:szCs w:val="21"/>
                <w:highlight w:val="none"/>
              </w:rPr>
              <w:t>政府采购网予以公告；政府采购合同签订之日起7个工作日内，采购人将本项目采购合同通过政府采购平台进行备案。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736" w:type="dxa"/>
            <w:vAlign w:val="top"/>
          </w:tcPr>
          <w:p>
            <w:pPr>
              <w:numPr>
                <w:ilvl w:val="0"/>
                <w:numId w:val="2"/>
              </w:numPr>
              <w:spacing w:before="288" w:line="184" w:lineRule="auto"/>
              <w:ind w:left="425" w:leftChars="0" w:hanging="425" w:firstLineChars="0"/>
              <w:jc w:val="center"/>
              <w:rPr>
                <w:rFonts w:ascii="Lucida Sans Unicode" w:hAnsi="Lucida Sans Unicode" w:eastAsia="Lucida Sans Unicode" w:cs="Lucida Sans Unicode"/>
                <w:sz w:val="21"/>
                <w:szCs w:val="21"/>
                <w:highlight w:val="none"/>
              </w:rPr>
            </w:pPr>
          </w:p>
        </w:tc>
        <w:tc>
          <w:tcPr>
            <w:tcW w:w="2043" w:type="dxa"/>
            <w:vAlign w:val="center"/>
          </w:tcPr>
          <w:p>
            <w:pPr>
              <w:pStyle w:val="21"/>
              <w:spacing w:before="266" w:line="360" w:lineRule="auto"/>
              <w:ind w:left="94"/>
              <w:jc w:val="center"/>
              <w:rPr>
                <w:color w:val="000000" w:themeColor="text1"/>
                <w:spacing w:val="-2"/>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进口产品</w:t>
            </w:r>
          </w:p>
        </w:tc>
        <w:tc>
          <w:tcPr>
            <w:tcW w:w="7240" w:type="dxa"/>
            <w:vAlign w:val="center"/>
          </w:tcPr>
          <w:p>
            <w:pPr>
              <w:pStyle w:val="21"/>
              <w:spacing w:before="266" w:line="360" w:lineRule="auto"/>
              <w:ind w:left="94"/>
              <w:jc w:val="left"/>
              <w:rPr>
                <w:color w:val="000000" w:themeColor="text1"/>
                <w:spacing w:val="-2"/>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36" w:type="dxa"/>
            <w:vAlign w:val="top"/>
          </w:tcPr>
          <w:p>
            <w:pPr>
              <w:numPr>
                <w:ilvl w:val="0"/>
                <w:numId w:val="2"/>
              </w:numPr>
              <w:spacing w:before="288" w:line="184" w:lineRule="auto"/>
              <w:ind w:left="425" w:leftChars="0" w:hanging="425" w:firstLineChars="0"/>
              <w:jc w:val="center"/>
              <w:rPr>
                <w:rFonts w:ascii="Lucida Sans Unicode" w:hAnsi="Lucida Sans Unicode" w:eastAsia="Lucida Sans Unicode" w:cs="Lucida Sans Unicode"/>
                <w:sz w:val="21"/>
                <w:szCs w:val="21"/>
                <w:highlight w:val="none"/>
              </w:rPr>
            </w:pPr>
          </w:p>
        </w:tc>
        <w:tc>
          <w:tcPr>
            <w:tcW w:w="2043" w:type="dxa"/>
            <w:vAlign w:val="center"/>
          </w:tcPr>
          <w:p>
            <w:pPr>
              <w:pStyle w:val="21"/>
              <w:spacing w:before="266" w:line="360" w:lineRule="auto"/>
              <w:ind w:left="94"/>
              <w:jc w:val="center"/>
              <w:rPr>
                <w:color w:val="000000" w:themeColor="text1"/>
                <w:spacing w:val="-2"/>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是否组织潜在供应商现场考察</w:t>
            </w:r>
          </w:p>
        </w:tc>
        <w:tc>
          <w:tcPr>
            <w:tcW w:w="7240" w:type="dxa"/>
            <w:vAlign w:val="center"/>
          </w:tcPr>
          <w:p>
            <w:pPr>
              <w:pStyle w:val="21"/>
              <w:spacing w:before="266" w:line="360" w:lineRule="auto"/>
              <w:ind w:left="94"/>
              <w:jc w:val="left"/>
              <w:rPr>
                <w:color w:val="000000" w:themeColor="text1"/>
                <w:spacing w:val="-2"/>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采购包1：组织现场踏勘：否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5" w:hRule="atLeast"/>
        </w:trPr>
        <w:tc>
          <w:tcPr>
            <w:tcW w:w="736" w:type="dxa"/>
            <w:vAlign w:val="top"/>
          </w:tcPr>
          <w:p>
            <w:pPr>
              <w:numPr>
                <w:ilvl w:val="0"/>
                <w:numId w:val="2"/>
              </w:numPr>
              <w:spacing w:before="288" w:line="184" w:lineRule="auto"/>
              <w:ind w:left="425" w:leftChars="0" w:hanging="425" w:firstLineChars="0"/>
              <w:jc w:val="center"/>
              <w:rPr>
                <w:rFonts w:ascii="Lucida Sans Unicode" w:hAnsi="Lucida Sans Unicode" w:eastAsia="Lucida Sans Unicode" w:cs="Lucida Sans Unicode"/>
                <w:sz w:val="21"/>
                <w:szCs w:val="21"/>
                <w:highlight w:val="none"/>
              </w:rPr>
            </w:pPr>
          </w:p>
        </w:tc>
        <w:tc>
          <w:tcPr>
            <w:tcW w:w="2043" w:type="dxa"/>
            <w:vAlign w:val="center"/>
          </w:tcPr>
          <w:p>
            <w:pPr>
              <w:pStyle w:val="21"/>
              <w:spacing w:before="59" w:line="219" w:lineRule="auto"/>
              <w:ind w:left="93"/>
              <w:jc w:val="center"/>
              <w:rPr>
                <w:rFonts w:ascii="宋体" w:hAnsi="宋体" w:eastAsia="宋体" w:cs="宋体"/>
                <w:snapToGrid w:val="0"/>
                <w:color w:val="000000"/>
                <w:spacing w:val="-2"/>
                <w:kern w:val="0"/>
                <w:sz w:val="21"/>
                <w:szCs w:val="21"/>
                <w:highlight w:val="none"/>
                <w:lang w:val="en-US" w:eastAsia="en-US" w:bidi="ar-SA"/>
              </w:rPr>
            </w:pPr>
            <w:r>
              <w:rPr>
                <w:rFonts w:ascii="宋体" w:hAnsi="宋体" w:eastAsia="宋体" w:cs="宋体"/>
                <w:snapToGrid w:val="0"/>
                <w:color w:val="000000"/>
                <w:spacing w:val="-2"/>
                <w:kern w:val="0"/>
                <w:sz w:val="21"/>
                <w:szCs w:val="21"/>
                <w:highlight w:val="none"/>
                <w:lang w:val="en-US" w:eastAsia="en-US" w:bidi="ar-SA"/>
              </w:rPr>
              <w:t>特殊情况</w:t>
            </w:r>
          </w:p>
        </w:tc>
        <w:tc>
          <w:tcPr>
            <w:tcW w:w="7240" w:type="dxa"/>
            <w:vAlign w:val="top"/>
          </w:tcPr>
          <w:p>
            <w:pPr>
              <w:pStyle w:val="21"/>
              <w:keepNext w:val="0"/>
              <w:keepLines w:val="0"/>
              <w:pageBreakBefore w:val="0"/>
              <w:widowControl/>
              <w:tabs>
                <w:tab w:val="left" w:pos="7140"/>
              </w:tabs>
              <w:kinsoku w:val="0"/>
              <w:wordWrap/>
              <w:overflowPunct/>
              <w:topLinePunct w:val="0"/>
              <w:autoSpaceDE w:val="0"/>
              <w:autoSpaceDN w:val="0"/>
              <w:bidi w:val="0"/>
              <w:adjustRightInd w:val="0"/>
              <w:snapToGrid w:val="0"/>
              <w:spacing w:line="360" w:lineRule="auto"/>
              <w:ind w:left="96" w:right="90" w:rightChars="0"/>
              <w:jc w:val="both"/>
              <w:textAlignment w:val="baseline"/>
              <w:rPr>
                <w:sz w:val="21"/>
                <w:szCs w:val="21"/>
                <w:highlight w:val="none"/>
              </w:rPr>
            </w:pPr>
            <w:r>
              <w:rPr>
                <w:spacing w:val="-1"/>
                <w:sz w:val="21"/>
                <w:szCs w:val="21"/>
                <w:highlight w:val="none"/>
              </w:rPr>
              <w:t>出现下列情形之一的，采购人或者代理机构应当中止</w:t>
            </w:r>
            <w:r>
              <w:rPr>
                <w:sz w:val="21"/>
                <w:szCs w:val="21"/>
                <w:highlight w:val="none"/>
              </w:rPr>
              <w:t>电子化采购活动，并保留相关证明材料备查：</w:t>
            </w:r>
          </w:p>
          <w:p>
            <w:pPr>
              <w:pStyle w:val="21"/>
              <w:keepNext w:val="0"/>
              <w:keepLines w:val="0"/>
              <w:pageBreakBefore w:val="0"/>
              <w:widowControl/>
              <w:tabs>
                <w:tab w:val="left" w:pos="7140"/>
              </w:tabs>
              <w:kinsoku w:val="0"/>
              <w:wordWrap/>
              <w:overflowPunct/>
              <w:topLinePunct w:val="0"/>
              <w:autoSpaceDE w:val="0"/>
              <w:autoSpaceDN w:val="0"/>
              <w:bidi w:val="0"/>
              <w:adjustRightInd w:val="0"/>
              <w:snapToGrid w:val="0"/>
              <w:spacing w:line="360" w:lineRule="auto"/>
              <w:ind w:left="96" w:right="90" w:rightChars="0"/>
              <w:jc w:val="both"/>
              <w:textAlignment w:val="baseline"/>
              <w:rPr>
                <w:sz w:val="21"/>
                <w:szCs w:val="21"/>
                <w:highlight w:val="none"/>
              </w:rPr>
            </w:pPr>
            <w:r>
              <w:rPr>
                <w:sz w:val="21"/>
                <w:szCs w:val="21"/>
                <w:highlight w:val="none"/>
              </w:rPr>
              <w:t>（一）交易系统发生故障（包括感染病毒、应用或数据库出错）而无法正常使用的；</w:t>
            </w:r>
          </w:p>
          <w:p>
            <w:pPr>
              <w:pStyle w:val="21"/>
              <w:keepNext w:val="0"/>
              <w:keepLines w:val="0"/>
              <w:pageBreakBefore w:val="0"/>
              <w:widowControl/>
              <w:tabs>
                <w:tab w:val="left" w:pos="7140"/>
              </w:tabs>
              <w:kinsoku w:val="0"/>
              <w:wordWrap/>
              <w:overflowPunct/>
              <w:topLinePunct w:val="0"/>
              <w:autoSpaceDE w:val="0"/>
              <w:autoSpaceDN w:val="0"/>
              <w:bidi w:val="0"/>
              <w:adjustRightInd w:val="0"/>
              <w:snapToGrid w:val="0"/>
              <w:spacing w:line="360" w:lineRule="auto"/>
              <w:ind w:left="96" w:right="90" w:rightChars="0"/>
              <w:jc w:val="both"/>
              <w:textAlignment w:val="baseline"/>
              <w:rPr>
                <w:sz w:val="21"/>
                <w:szCs w:val="21"/>
                <w:highlight w:val="none"/>
              </w:rPr>
            </w:pPr>
            <w:r>
              <w:rPr>
                <w:sz w:val="21"/>
                <w:szCs w:val="21"/>
                <w:highlight w:val="none"/>
              </w:rPr>
              <w:t>（二）因组织场所停电、断网等原因，导致采购活动无法继续通过交易系统实施的；</w:t>
            </w:r>
          </w:p>
          <w:p>
            <w:pPr>
              <w:pStyle w:val="21"/>
              <w:keepNext w:val="0"/>
              <w:keepLines w:val="0"/>
              <w:pageBreakBefore w:val="0"/>
              <w:widowControl/>
              <w:tabs>
                <w:tab w:val="left" w:pos="7140"/>
              </w:tabs>
              <w:kinsoku w:val="0"/>
              <w:wordWrap/>
              <w:overflowPunct/>
              <w:topLinePunct w:val="0"/>
              <w:autoSpaceDE w:val="0"/>
              <w:autoSpaceDN w:val="0"/>
              <w:bidi w:val="0"/>
              <w:adjustRightInd w:val="0"/>
              <w:snapToGrid w:val="0"/>
              <w:spacing w:line="360" w:lineRule="auto"/>
              <w:ind w:left="96" w:right="90" w:rightChars="0"/>
              <w:jc w:val="both"/>
              <w:textAlignment w:val="baseline"/>
              <w:rPr>
                <w:sz w:val="21"/>
                <w:szCs w:val="21"/>
                <w:highlight w:val="none"/>
              </w:rPr>
            </w:pPr>
            <w:r>
              <w:rPr>
                <w:sz w:val="21"/>
                <w:szCs w:val="21"/>
                <w:highlight w:val="none"/>
              </w:rPr>
              <w:t>（三）其他无法保证电子化交易的公平、公正和安全的情况。</w:t>
            </w:r>
          </w:p>
          <w:p>
            <w:pPr>
              <w:pStyle w:val="21"/>
              <w:keepNext w:val="0"/>
              <w:keepLines w:val="0"/>
              <w:pageBreakBefore w:val="0"/>
              <w:widowControl/>
              <w:tabs>
                <w:tab w:val="left" w:pos="7140"/>
              </w:tabs>
              <w:kinsoku w:val="0"/>
              <w:wordWrap/>
              <w:overflowPunct/>
              <w:topLinePunct w:val="0"/>
              <w:autoSpaceDE w:val="0"/>
              <w:autoSpaceDN w:val="0"/>
              <w:bidi w:val="0"/>
              <w:adjustRightInd w:val="0"/>
              <w:snapToGrid w:val="0"/>
              <w:spacing w:line="360" w:lineRule="auto"/>
              <w:ind w:left="96" w:right="90" w:rightChars="0"/>
              <w:jc w:val="both"/>
              <w:textAlignment w:val="baseline"/>
              <w:rPr>
                <w:spacing w:val="-1"/>
                <w:sz w:val="21"/>
                <w:szCs w:val="21"/>
                <w:highlight w:val="none"/>
              </w:rPr>
            </w:pPr>
            <w:r>
              <w:rPr>
                <w:sz w:val="21"/>
                <w:szCs w:val="21"/>
                <w:highlight w:val="none"/>
              </w:rPr>
              <w:t>出现上述的情形，不影响采购公平、公正的，采购人或者代理机构可以待上述情形消除后继续组织采购活动；影响或者可能影响采购公平、公正的，采购人或者代理机构应当依法终止采购活动。</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pacing w:val="15"/>
          <w:sz w:val="28"/>
          <w:szCs w:val="28"/>
          <w:highlight w:val="none"/>
        </w:rPr>
        <w:t>2.2总则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pacing w:val="11"/>
          <w:sz w:val="24"/>
          <w:szCs w:val="24"/>
          <w:highlight w:val="none"/>
        </w:rPr>
        <w:t>2.2.1适用范围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69"/>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pacing w:val="-1"/>
          <w:sz w:val="21"/>
          <w:szCs w:val="21"/>
          <w:highlight w:val="none"/>
        </w:rPr>
        <w:t>一、本磋商文件仅适用于本次竞争性磋商采购项目。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9" w:right="136" w:firstLine="360"/>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sz w:val="21"/>
          <w:szCs w:val="21"/>
          <w:highlight w:val="none"/>
        </w:rPr>
        <w:t>二、本磋商文件的最终解释</w:t>
      </w:r>
      <w:r>
        <w:rPr>
          <w:rFonts w:hint="default" w:ascii="Times New Roman" w:hAnsi="Times New Roman" w:eastAsia="宋体" w:cs="Times New Roman"/>
          <w:color w:val="000000" w:themeColor="text1"/>
          <w:sz w:val="21"/>
          <w:szCs w:val="21"/>
          <w:highlight w:val="none"/>
          <w14:textFill>
            <w14:solidFill>
              <w14:schemeClr w14:val="tx1"/>
            </w14:solidFill>
          </w14:textFill>
        </w:rPr>
        <w:t>权由</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西安市灞桥区城市管理综合行政执法大队</w:t>
      </w:r>
      <w:r>
        <w:rPr>
          <w:rFonts w:hint="default" w:ascii="Times New Roman" w:hAnsi="Times New Roman" w:eastAsia="宋体" w:cs="Times New Roman"/>
          <w:color w:val="000000" w:themeColor="text1"/>
          <w:sz w:val="21"/>
          <w:szCs w:val="21"/>
          <w:highlight w:val="none"/>
          <w14:textFill>
            <w14:solidFill>
              <w14:schemeClr w14:val="tx1"/>
            </w14:solidFill>
          </w14:textFill>
        </w:rPr>
        <w:t>和陕西隆信项目管理有限公司享有。对磋商文</w:t>
      </w:r>
      <w:r>
        <w:rPr>
          <w:rFonts w:hint="default" w:ascii="Times New Roman" w:hAnsi="Times New Roman" w:eastAsia="宋体" w:cs="Times New Roman"/>
          <w:color w:val="000000" w:themeColor="text1"/>
          <w:spacing w:val="-1"/>
          <w:sz w:val="21"/>
          <w:szCs w:val="21"/>
          <w:highlight w:val="none"/>
          <w14:textFill>
            <w14:solidFill>
              <w14:schemeClr w14:val="tx1"/>
            </w14:solidFill>
          </w14:textFill>
        </w:rPr>
        <w:t>件中供应商参加本次政府采购</w:t>
      </w:r>
      <w:r>
        <w:rPr>
          <w:rFonts w:hint="default" w:ascii="Times New Roman" w:hAnsi="Times New Roman" w:eastAsia="宋体" w:cs="Times New Roman"/>
          <w:color w:val="000000" w:themeColor="text1"/>
          <w:sz w:val="21"/>
          <w:szCs w:val="21"/>
          <w:highlight w:val="none"/>
          <w14:textFill>
            <w14:solidFill>
              <w14:schemeClr w14:val="tx1"/>
            </w14:solidFill>
          </w14:textFill>
        </w:rPr>
        <w:t>活动应当具备的条件，磋商项目技术、服务、商务及其他要求，评审细则及标准由</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西安市灞桥区城市管理综合行政执法大队</w:t>
      </w:r>
      <w:r>
        <w:rPr>
          <w:rFonts w:hint="default" w:ascii="Times New Roman" w:hAnsi="Times New Roman" w:eastAsia="宋体" w:cs="Times New Roman"/>
          <w:color w:val="000000" w:themeColor="text1"/>
          <w:spacing w:val="-1"/>
          <w:sz w:val="21"/>
          <w:szCs w:val="21"/>
          <w:highlight w:val="none"/>
          <w14:textFill>
            <w14:solidFill>
              <w14:schemeClr w14:val="tx1"/>
            </w14:solidFill>
          </w14:textFill>
        </w:rPr>
        <w:t>负责解释。除上述磋商文件内容，其他内容由陕西隆信项目管理有限公司负责解释。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color w:val="000000" w:themeColor="text1"/>
          <w:spacing w:val="1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11"/>
          <w:sz w:val="24"/>
          <w:szCs w:val="24"/>
          <w:highlight w:val="none"/>
          <w14:textFill>
            <w14:solidFill>
              <w14:schemeClr w14:val="tx1"/>
            </w14:solidFill>
          </w14:textFill>
        </w:rPr>
        <w:t>2.2.2有关定义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采购人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是指依法进行政府采购的各级国家机关、事业单位、团体组织。本次磋商的采购人是</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西安市灞桥区城市管理综合行政执法大队</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供应商</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是指在按照磋商公告规定获取磋商文件，拟参加响应和向采购人提供货物及相应服务的法人、其他组织或自然人。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代理机构</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是指政府采购集中采购机构和从事政府采购代理业务的社会中介机构。本项目的代理机构是陕西隆信项目管理有限公司。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四、</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网上开启</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是指供应商通过项目电子化交易系统在线完成签到、响应文件解密后，采购人或者采购代理机构通过项目电子化交易系统在线完成已解密响应文件的开启工作。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五、</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电子评审</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是指通过项目电子化交易系统在线完成资格性审查小组、磋商小组组建，开展资格和符合性审查、比较与评价、出具磋商报告、推荐成交候选供应商等活动。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eastAsia" w:ascii="Times New Roman" w:hAnsi="Times New Roman" w:eastAsia="宋体" w:cs="Times New Roman"/>
          <w:b/>
          <w:bCs/>
          <w:spacing w:val="11"/>
          <w:sz w:val="24"/>
          <w:szCs w:val="24"/>
          <w:highlight w:val="none"/>
          <w:lang w:eastAsia="zh-CN"/>
        </w:rPr>
      </w:pPr>
      <w:r>
        <w:rPr>
          <w:rFonts w:hint="eastAsia" w:ascii="Times New Roman" w:hAnsi="Times New Roman" w:eastAsia="宋体" w:cs="Times New Roman"/>
          <w:b/>
          <w:bCs/>
          <w:spacing w:val="11"/>
          <w:sz w:val="24"/>
          <w:szCs w:val="24"/>
          <w:highlight w:val="none"/>
          <w:lang w:val="en-US" w:eastAsia="zh-CN"/>
        </w:rPr>
        <w:t>2.2.3</w:t>
      </w:r>
      <w:r>
        <w:rPr>
          <w:rFonts w:hint="default" w:ascii="Times New Roman" w:hAnsi="Times New Roman" w:eastAsia="宋体" w:cs="Times New Roman"/>
          <w:b/>
          <w:bCs/>
          <w:spacing w:val="11"/>
          <w:sz w:val="24"/>
          <w:szCs w:val="24"/>
          <w:highlight w:val="none"/>
        </w:rPr>
        <w:t>响应费用（实质性要求）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napToGrid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lang w:val="en-US" w:eastAsia="en-US" w:bidi="ar-SA"/>
        </w:rPr>
        <w:t>供应商应自行承担参加竞争性磋商采购</w:t>
      </w:r>
      <w:r>
        <w:rPr>
          <w:rFonts w:hint="default" w:ascii="Times New Roman" w:hAnsi="Times New Roman" w:eastAsia="宋体" w:cs="Times New Roman"/>
          <w:sz w:val="21"/>
          <w:szCs w:val="21"/>
          <w:highlight w:val="none"/>
          <w:lang w:val="en-US" w:eastAsia="en-US"/>
        </w:rPr>
        <w:t>活动</w:t>
      </w:r>
      <w:r>
        <w:rPr>
          <w:rFonts w:hint="default" w:ascii="Times New Roman" w:hAnsi="Times New Roman" w:eastAsia="宋体" w:cs="Times New Roman"/>
          <w:snapToGrid w:val="0"/>
          <w:color w:val="000000"/>
          <w:kern w:val="0"/>
          <w:sz w:val="21"/>
          <w:szCs w:val="21"/>
          <w:highlight w:val="none"/>
          <w:lang w:val="en-US" w:eastAsia="en-US" w:bidi="ar-SA"/>
        </w:rPr>
        <w:t>的全部费用。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pacing w:val="15"/>
          <w:sz w:val="28"/>
          <w:szCs w:val="28"/>
          <w:highlight w:val="none"/>
        </w:rPr>
      </w:pPr>
      <w:r>
        <w:rPr>
          <w:rFonts w:hint="default" w:ascii="Times New Roman" w:hAnsi="Times New Roman" w:eastAsia="宋体" w:cs="Times New Roman"/>
          <w:b/>
          <w:bCs/>
          <w:spacing w:val="15"/>
          <w:sz w:val="28"/>
          <w:szCs w:val="28"/>
          <w:highlight w:val="none"/>
        </w:rPr>
        <w:t>2.3磋商文件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pacing w:val="11"/>
          <w:sz w:val="24"/>
          <w:szCs w:val="24"/>
          <w:highlight w:val="none"/>
        </w:rPr>
        <w:t>2.3.1磋商文件的构成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磋商文件是供应商准备响应文件和参加响应的依据，同时也是评审的重要依据。磋商文件用以阐明磋商项目所需的资质、技术、服务及报价等要求、磋商程序、有关规定和注意事项以及合同草案条款等。本磋商文件包括以下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（一）竞争性磋商邀请；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（二）供应商须知；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（三）磋商项目技术、服务、商务及其他要求；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（四）资格审查；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（五）磋商过程中可实质性变动的内容；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（六）磋商办法；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（七）响应文件格式；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（八）拟签订采购合同文本。</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 w:right="136"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二、供应商应认真阅读和充分理解磋商文件中所有的事项、格式条款和规范要求。供应商没有对磋商文件全面作出实质性响应所产生的风险由供应商承担。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2.3.2磋商文件的澄清和修改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 w:right="136" w:firstLine="364"/>
        <w:jc w:val="both"/>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sz w:val="21"/>
          <w:szCs w:val="21"/>
          <w:highlight w:val="none"/>
          <w:lang w:eastAsia="zh-CN"/>
        </w:rPr>
        <w:t>一、</w:t>
      </w:r>
      <w:r>
        <w:rPr>
          <w:rFonts w:hint="default" w:ascii="Times New Roman" w:hAnsi="Times New Roman" w:eastAsia="宋体" w:cs="Times New Roman"/>
          <w:sz w:val="21"/>
          <w:szCs w:val="21"/>
          <w:highlight w:val="none"/>
        </w:rPr>
        <w:t>在提交首次响应文件截止时间前，采购人或者代理机构可以对已发出的磋商文件进行必要的澄清</w:t>
      </w:r>
      <w:r>
        <w:rPr>
          <w:rFonts w:hint="default" w:ascii="Times New Roman" w:hAnsi="Times New Roman" w:eastAsia="宋体" w:cs="Times New Roman"/>
          <w:color w:val="000000" w:themeColor="text1"/>
          <w:sz w:val="21"/>
          <w:szCs w:val="21"/>
          <w:highlight w:val="none"/>
          <w14:textFill>
            <w14:solidFill>
              <w14:schemeClr w14:val="tx1"/>
            </w14:solidFill>
          </w14:textFill>
        </w:rPr>
        <w:t>或者修改。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 w:right="136" w:firstLine="364"/>
        <w:jc w:val="both"/>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二、</w:t>
      </w:r>
      <w:r>
        <w:rPr>
          <w:rFonts w:hint="default" w:ascii="Times New Roman" w:hAnsi="Times New Roman" w:eastAsia="宋体" w:cs="Times New Roman"/>
          <w:color w:val="000000" w:themeColor="text1"/>
          <w:sz w:val="21"/>
          <w:szCs w:val="21"/>
          <w:highlight w:val="none"/>
          <w14:textFill>
            <w14:solidFill>
              <w14:schemeClr w14:val="tx1"/>
            </w14:solidFill>
          </w14:textFill>
        </w:rPr>
        <w:t>澄清或者修改的内容为磋商文件的组成部分，采购人或者代理机构将在陕西省政府采购网发布更正公告，供应商应及时关注本项目更正公告信息，按更正后公告要求进行响应。更正内容可能影响响应文件编制的，采购人或者代理机构将通过项目电子化交易系统发布更正后的磋商文件，供应商应依据更正后的磋商文件编制响应文件。若供应商未按前述要求进行响应的，自行承担不利后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pacing w:val="15"/>
          <w:sz w:val="28"/>
          <w:szCs w:val="28"/>
          <w:highlight w:val="none"/>
        </w:rPr>
      </w:pPr>
      <w:r>
        <w:rPr>
          <w:rFonts w:hint="default" w:ascii="Times New Roman" w:hAnsi="Times New Roman" w:eastAsia="宋体" w:cs="Times New Roman"/>
          <w:b/>
          <w:bCs/>
          <w:spacing w:val="15"/>
          <w:sz w:val="28"/>
          <w:szCs w:val="28"/>
          <w:highlight w:val="none"/>
        </w:rPr>
        <w:t>2.4响应文件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2.4.1响应文件的语言</w:t>
      </w:r>
    </w:p>
    <w:p>
      <w:pPr>
        <w:keepNext w:val="0"/>
        <w:keepLines w:val="0"/>
        <w:pageBreakBefore w:val="0"/>
        <w:widowControl/>
        <w:kinsoku/>
        <w:wordWrap/>
        <w:overflowPunct/>
        <w:topLinePunct w:val="0"/>
        <w:autoSpaceDE w:val="0"/>
        <w:autoSpaceDN w:val="0"/>
        <w:bidi w:val="0"/>
        <w:adjustRightInd w:val="0"/>
        <w:snapToGrid w:val="0"/>
        <w:spacing w:line="360" w:lineRule="auto"/>
        <w:ind w:left="6" w:right="136" w:firstLine="363"/>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供应商提交的响应文件以及供应商与磋商小组在磋商过程中的所有来往书面文件均须使用中文。响应文件中如附有外文资料，主要部分要对应翻译成中文并附在相关外文资料后面。未翻译的外文资料，磋商小组将视其为无效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 w:right="136" w:firstLine="364"/>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二、翻译的中文资料与外文资料如果出现差异和矛盾时，以中文为准。涉嫌提供虚假材料的按照相关法律法规处理。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6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pacing w:val="-1"/>
          <w:sz w:val="21"/>
          <w:szCs w:val="21"/>
          <w:highlight w:val="none"/>
        </w:rPr>
        <w:t>三、如因未翻译而造成对供应商的不利后果，由供应商承担。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2.4.2计量单位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71"/>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pacing w:val="-1"/>
          <w:sz w:val="21"/>
          <w:szCs w:val="21"/>
          <w:highlight w:val="none"/>
        </w:rPr>
        <w:t>除磋商文件中另有规定外，本项目均采用国家法定的计量单位。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2.4.3响应货币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61"/>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pacing w:val="-1"/>
          <w:sz w:val="21"/>
          <w:szCs w:val="21"/>
          <w:highlight w:val="none"/>
        </w:rPr>
        <w:t>本项目均以人民币报价。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2.4.4知识产权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一、供应商应保证在本项目中使用的任何技术、产品和服务（包括部</w:t>
      </w:r>
      <w:r>
        <w:rPr>
          <w:rFonts w:hint="default" w:ascii="Times New Roman" w:hAnsi="Times New Roman" w:eastAsia="宋体" w:cs="Times New Roman"/>
          <w:spacing w:val="-1"/>
          <w:sz w:val="21"/>
          <w:szCs w:val="21"/>
          <w:highlight w:val="none"/>
        </w:rPr>
        <w:t>分使用</w:t>
      </w:r>
      <w:r>
        <w:rPr>
          <w:rFonts w:hint="default" w:ascii="Times New Roman" w:hAnsi="Times New Roman" w:eastAsia="宋体" w:cs="Times New Roman"/>
          <w:spacing w:val="5"/>
          <w:sz w:val="21"/>
          <w:szCs w:val="21"/>
          <w:highlight w:val="none"/>
        </w:rPr>
        <w:t>），</w:t>
      </w:r>
      <w:r>
        <w:rPr>
          <w:rFonts w:hint="default" w:ascii="Times New Roman" w:hAnsi="Times New Roman" w:eastAsia="宋体" w:cs="Times New Roman"/>
          <w:spacing w:val="-1"/>
          <w:sz w:val="21"/>
          <w:szCs w:val="21"/>
          <w:highlight w:val="none"/>
        </w:rPr>
        <w:t>不会产生因第三方提出侵犯其专利权、商标权或</w:t>
      </w:r>
      <w:r>
        <w:rPr>
          <w:rFonts w:hint="default" w:ascii="Times New Roman" w:hAnsi="Times New Roman" w:eastAsia="宋体" w:cs="Times New Roman"/>
          <w:sz w:val="21"/>
          <w:szCs w:val="21"/>
          <w:highlight w:val="none"/>
        </w:rPr>
        <w:t>其它知识产权而引起的法律和经济纠纷，如因专利权、商标权或其它知识产权而引起法律和经济纠纷，由供</w:t>
      </w:r>
      <w:r>
        <w:rPr>
          <w:rFonts w:hint="default" w:ascii="Times New Roman" w:hAnsi="Times New Roman" w:eastAsia="宋体" w:cs="Times New Roman"/>
          <w:spacing w:val="-1"/>
          <w:sz w:val="21"/>
          <w:szCs w:val="21"/>
          <w:highlight w:val="none"/>
        </w:rPr>
        <w:t>应商承担所有相关责任。采购人享有本项目实施过程中产生的知识成果及知识产权。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三、如采用供应商所不拥有的知识产权，则在报价中必须包括合法使用该知识产权的相关费用。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四、构成本磋商文件的各组成部分，未经采购人书面同意，供应商不得擅自复印或用于非本磋商项目所需的其他目的。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2.4.5响应文件的组成（实质性要求）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供应商应按照磋商文件的规定和要求编制响应文件。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响应文件具体内容详见第七章。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2.4.6响应文件格式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一、供应商应按照磋商文件第七章中提供的</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响应文件格式</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填写相关内容。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二、对于没有格式要求的响应文件由供应商自行编写。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2.4.7响应报价（实质性要求）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一、供应商的报价是供应商响应磋商项目要求的全部工作内容的价格体现，包括供应商完成本项目所需的一切费用。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响应文件报价出现前后不一致的，按照磋商文件第五章磋商办法规定予以修正，修正后的报价经供应商通过项目电子化交易系统进行确认，并加盖供应商（法定名称）电子印章，供应商逾时确认的，其响应无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2.4.8响应有效期（实质性要求）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响应有效期详见第二章</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供应商须知前附表</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，响应文件未明确响应有效期或者响应有效期小于</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供应商须知前附表</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中响应有效期要求的，其响应文件按无效处理。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2.4.9响应文件的制作、签章和加密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一、投标文件应当根据招标文件进行编制，投标人应通过陕西省政府采购网-服务专区-CA及签章服务下载投标（响应）客户端，使用客户端编制投标文件。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二、供应商应按照客户端操作要求，对应磋商文件的每项实质性要求，逐一如实响应；未如实响应或者响应内容不符合磋商文件对应项的要求的，其响应文件作无效处理。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三、供应商完成响应文件编制后，应</w:t>
      </w:r>
      <w:r>
        <w:rPr>
          <w:rFonts w:hint="default" w:ascii="Times New Roman" w:hAnsi="Times New Roman" w:eastAsia="宋体" w:cs="Times New Roman"/>
          <w:color w:val="000000" w:themeColor="text1"/>
          <w:sz w:val="21"/>
          <w:szCs w:val="21"/>
          <w:highlight w:val="none"/>
          <w14:textFill>
            <w14:solidFill>
              <w14:schemeClr w14:val="tx1"/>
            </w14:solidFill>
          </w14:textFill>
        </w:rPr>
        <w:t>按照</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响应</w:t>
      </w:r>
      <w:r>
        <w:rPr>
          <w:rFonts w:hint="default" w:ascii="Times New Roman" w:hAnsi="Times New Roman" w:eastAsia="宋体" w:cs="Times New Roman"/>
          <w:color w:val="000000" w:themeColor="text1"/>
          <w:sz w:val="21"/>
          <w:szCs w:val="21"/>
          <w:highlight w:val="none"/>
          <w14:textFill>
            <w14:solidFill>
              <w14:schemeClr w14:val="tx1"/>
            </w14:solidFill>
          </w14:textFill>
        </w:rPr>
        <w:t>文件第1</w:t>
      </w:r>
      <w:r>
        <w:rPr>
          <w:rFonts w:hint="default" w:ascii="Times New Roman" w:hAnsi="Times New Roman" w:eastAsia="宋体" w:cs="Times New Roman"/>
          <w:sz w:val="21"/>
          <w:szCs w:val="21"/>
          <w:highlight w:val="none"/>
        </w:rPr>
        <w:t>章明确的签章要求，使用互认的证书及签章对响应文件进行电子签章和加密。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pacing w:val="1"/>
          <w:position w:val="13"/>
          <w:sz w:val="21"/>
          <w:szCs w:val="21"/>
          <w:highlight w:val="none"/>
        </w:rPr>
      </w:pPr>
      <w:r>
        <w:rPr>
          <w:rFonts w:hint="default" w:ascii="Times New Roman" w:hAnsi="Times New Roman" w:eastAsia="宋体" w:cs="Times New Roman"/>
          <w:sz w:val="21"/>
          <w:szCs w:val="21"/>
          <w:highlight w:val="none"/>
        </w:rPr>
        <w:t>四、磋商文件澄清或者修改的内容可能影响响应文件编制的，代理机构将重新发布澄清或者修改后的磋商文件，供应商应重新获取澄清或者修改后的磋商文件，按照澄清或者修改后的磋商文件进行响应文件编制、签章和加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2.4.10响应文件的提交（实质性要求）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一、供应商应当在提交首次响应文件截止时间前，通过项目电子化交易系统完成响应文件提交。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二、在提交首次响应文件截止时间后，代理机构不再接受供应商提交响应文件。供应商应充分考虑影响响应文件提交的各种因素，确保在提交首次响应文件截止时间前完成提交。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2.4.11响应文件的补充、修改（实质性要求）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响应文件提交截止时间前，供应商可以补充、修改或者撤回已成功提交的响应文件；对响应文件进行补充、修改的，应当先行撤回已提交的响应文件，补充、修改后重新提交。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供应商响应文件撤回后，视为未提交过响应文件。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pacing w:val="15"/>
          <w:sz w:val="28"/>
          <w:szCs w:val="28"/>
          <w:highlight w:val="none"/>
        </w:rPr>
      </w:pPr>
      <w:r>
        <w:rPr>
          <w:rFonts w:hint="default" w:ascii="Times New Roman" w:hAnsi="Times New Roman" w:eastAsia="宋体" w:cs="Times New Roman"/>
          <w:b/>
          <w:bCs/>
          <w:spacing w:val="15"/>
          <w:sz w:val="28"/>
          <w:szCs w:val="28"/>
          <w:highlight w:val="none"/>
        </w:rPr>
        <w:t>2.5开启、资格审查、磋商和确定成交供应商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2.5.1磋商开启程序</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363"/>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一、本项目为竞争性磋商项目。网上开启的开始时间为响应文件提交截止时间。成功提交或解密电子响应文件的供应商不足3家的，不予开启，采购人或代理机构将终止采购活动。</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363"/>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二、磋商开启准备工作</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363"/>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开标/开启前30分钟内，供应商需登录项目电子化交易系统- “供应商开标大厅”-进入开标选择对应项目包组操作签到，签到完成后等待代理机构开标/开启。</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363"/>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三、解密响应文件（实质性要求）</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363"/>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响应文件提交截止时间后，成功提交响应文件的供应商符合响应文件规定数量的，代理机构将启动响应文件解密程序，解密时间为</w:t>
      </w:r>
      <w:r>
        <w:rPr>
          <w:rFonts w:hint="eastAsia" w:ascii="Times New Roman" w:hAnsi="Times New Roman" w:eastAsia="宋体" w:cs="Times New Roman"/>
          <w:sz w:val="21"/>
          <w:szCs w:val="21"/>
          <w:highlight w:val="none"/>
          <w:lang w:val="en-US" w:eastAsia="zh-CN"/>
        </w:rPr>
        <w:t>60</w:t>
      </w:r>
      <w:r>
        <w:rPr>
          <w:rFonts w:hint="default" w:ascii="Times New Roman" w:hAnsi="Times New Roman" w:eastAsia="宋体" w:cs="Times New Roman"/>
          <w:sz w:val="21"/>
          <w:szCs w:val="21"/>
          <w:highlight w:val="none"/>
        </w:rPr>
        <w:t>分钟；供应商应在规定的解密时间内，使用互认的证书及签章通过项目电子化交易系统进行响应文件解密。供应商未在规定的解密时间内完成解密的，按无效响应处理。</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363"/>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开启过程中，各方主体均应遵守互联网有关规定，不得发表与采购活动无关的言论。供应商对开启过程和开启记录有疑义，以及认为采购人或代理机构相关工作人员有需要回避的情形的，及时向工作人员提出询问或者回避申请。采购人或代理机构对供应商提出的询问或者回避申请应当及时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2.5.2查询及使用信用记录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开启结束后，采购人或代理机构根据《关于在政府采购活动中查询及使用信用记录有关问题的通知》（财库〔2016〕125号）的要求，通过</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信用中国</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网站（www.creditchina.gov.cn）、</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中国政府采购网</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网站（www.ccgp.gov.cn）等渠道，查询供应商在响应文件提交截止时间前的信用记录并保存信用记录结果网页截图，拒绝列入失信被执行人名单、重大税收违法案件当事人名单、政府采购严重违法失信行为记录名单中的供应商参加本项目的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两个以上的自然人、法人或者其他组织组成一个联合体，以一个供应商的身份共同参加政府采购活动的，将对所有联合体成员进行信用记录查询，联合体成员存在不良信用记录的，视同联合体存在不良信用记录。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2.5.3资格审查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详见磋商文件第四章。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2.5.4磋商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详见磋商文件第六章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2.5.5成交通知书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一、采购人或者磋商小组确认成交供应商后，代理机构在陕西省政府采购网发布成交结果公告、通过项目电子化交易系统发出成交通知书，成交供应商通过项目电子化交易系统获取成交通知书。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成交通知书是采购人和成交供应商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三、成交通知书对采购人和成交供应商均具有法律效力。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pacing w:val="15"/>
          <w:sz w:val="28"/>
          <w:szCs w:val="28"/>
          <w:highlight w:val="none"/>
        </w:rPr>
      </w:pPr>
      <w:r>
        <w:rPr>
          <w:rFonts w:hint="default" w:ascii="Times New Roman" w:hAnsi="Times New Roman" w:eastAsia="宋体" w:cs="Times New Roman"/>
          <w:b/>
          <w:bCs/>
          <w:spacing w:val="15"/>
          <w:sz w:val="28"/>
          <w:szCs w:val="28"/>
          <w:highlight w:val="none"/>
        </w:rPr>
        <w:t>2.6签订及履行合同和验收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2.6.1签订合同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一、采购人应在成交通知书发出之日起三十日内与成交供应商签订采购合同。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二、采购人和成交供应商签订的采购合同不得对磋商文件确定的事项以及成交供应商的响应文件作实质性修改。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2.6.2合同分包和转包（实质性要求）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HYPERLINK "2.6.2.1"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2.6.2.1</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sz w:val="21"/>
          <w:szCs w:val="21"/>
          <w:highlight w:val="none"/>
        </w:rPr>
        <w:t>合同分包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供应商根据磋商文件的规定和采购项目的实际情况，拟在成交后将采购项目的非主体、非关键性工作分包的，应当在响应文件中载明分包承担主体，分包承担主体应当具备相应资质条件且不得再次分包。分包供应商履行的分包项目的品牌、规格型号及技术要求等，必须与成交的一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二、分包履行合同的部分应当为采购项目的非主体、非关键性工作，不属于成交供应商的主要合同义务。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三、采购合同实行分包履行的，成交供应商就采购项目和分包项目向采购人负责，分包供应商就分包项目承担责任。履行分包项目事项应当具备法定资质规定要求的，分包供应商应当具备相应资质。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四、中小企业依据《政府采购促进中小企业发展管理办法》（财库〔2020〕46号）规定的政策获取政府采购合同后，小型、微型企业不得将合同分包或转包给大型、中型企业，中型企业不得将合同分包或转包给大型企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color w:val="00B050"/>
          <w:sz w:val="21"/>
          <w:szCs w:val="21"/>
          <w:highlight w:val="none"/>
        </w:rPr>
      </w:pPr>
      <w:r>
        <w:rPr>
          <w:rFonts w:hint="default" w:ascii="Times New Roman" w:hAnsi="Times New Roman" w:eastAsia="宋体" w:cs="Times New Roman"/>
          <w:color w:val="00B050"/>
          <w:sz w:val="21"/>
          <w:szCs w:val="21"/>
          <w:highlight w:val="none"/>
        </w:rPr>
        <w:t>采购包1：不允许合同分包；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
        <w:textAlignment w:val="baseline"/>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b/>
          <w:bCs/>
          <w:spacing w:val="11"/>
          <w:sz w:val="24"/>
          <w:szCs w:val="24"/>
          <w:highlight w:val="none"/>
        </w:rPr>
        <w:fldChar w:fldCharType="begin"/>
      </w:r>
      <w:r>
        <w:rPr>
          <w:rFonts w:hint="default" w:ascii="Times New Roman" w:hAnsi="Times New Roman" w:eastAsia="宋体" w:cs="Times New Roman"/>
          <w:b/>
          <w:bCs/>
          <w:spacing w:val="11"/>
          <w:sz w:val="24"/>
          <w:szCs w:val="24"/>
          <w:highlight w:val="none"/>
        </w:rPr>
        <w:instrText xml:space="preserve"> HYPERLINK "2.6.2.2" </w:instrText>
      </w:r>
      <w:r>
        <w:rPr>
          <w:rFonts w:hint="default" w:ascii="Times New Roman" w:hAnsi="Times New Roman" w:eastAsia="宋体" w:cs="Times New Roman"/>
          <w:b/>
          <w:bCs/>
          <w:spacing w:val="11"/>
          <w:sz w:val="24"/>
          <w:szCs w:val="24"/>
          <w:highlight w:val="none"/>
        </w:rPr>
        <w:fldChar w:fldCharType="separate"/>
      </w:r>
      <w:r>
        <w:rPr>
          <w:rFonts w:hint="default" w:ascii="Times New Roman" w:hAnsi="Times New Roman" w:eastAsia="宋体" w:cs="Times New Roman"/>
          <w:b/>
          <w:bCs/>
          <w:spacing w:val="11"/>
          <w:sz w:val="24"/>
          <w:szCs w:val="24"/>
          <w:highlight w:val="none"/>
        </w:rPr>
        <w:t>2.6.2.2</w:t>
      </w:r>
      <w:r>
        <w:rPr>
          <w:rFonts w:hint="default" w:ascii="Times New Roman" w:hAnsi="Times New Roman" w:eastAsia="宋体" w:cs="Times New Roman"/>
          <w:b/>
          <w:bCs/>
          <w:spacing w:val="11"/>
          <w:sz w:val="24"/>
          <w:szCs w:val="24"/>
          <w:highlight w:val="none"/>
        </w:rPr>
        <w:fldChar w:fldCharType="end"/>
      </w:r>
      <w:r>
        <w:rPr>
          <w:rFonts w:hint="default" w:ascii="Times New Roman" w:hAnsi="Times New Roman" w:eastAsia="宋体" w:cs="Times New Roman"/>
          <w:b/>
          <w:bCs/>
          <w:spacing w:val="11"/>
          <w:sz w:val="24"/>
          <w:szCs w:val="24"/>
          <w:highlight w:val="none"/>
        </w:rPr>
        <w:t>合同转包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严禁成交供应商将本采购项目采购合同转包。本项目所称转包，是指成交供应商签订政府采购合同后，不履行合同约定的责任和义务，将其全部工程转给他人或者将其全部工程肢解以后以分包的名义分别转给其他单位承包的行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二、成交供应商转包的，视同拒绝履行政府采购合同，将依法追究法律责任。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2.6.3合同公告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采购人应当自政府采购合同签订（双方当事人均已完成盖章）之日起2个工作日内，在陕西省政府采购网公告本项目采购合同，但合同中涉及国家秘密、商业秘密的内容除外。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2.6.4合同备案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采购人自政府采购合同签订（双方当事人均已完成盖章）之日起7个工作日内，将本项目采购合同通过报同级财政部门备案。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2.6.5采购人增加合同标的的权利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2.6.6履行合同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一、成交供应商与采购人签订合同后，合同双方应严格执行合同条款，履行合同规定的义务，保证合同的顺利完成。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二、在合同履行过程中，如发生合同纠纷，合同双方应按照《中华人民共和国民法典》规定及合同条款约定进行处理。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2.6.7履约验收方案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pPr>
      <w:r>
        <w:rPr>
          <w:rFonts w:hint="default" w:ascii="Times New Roman" w:hAnsi="Times New Roman" w:eastAsia="宋体" w:cs="Times New Roman"/>
          <w:sz w:val="21"/>
          <w:szCs w:val="21"/>
          <w:highlight w:val="none"/>
        </w:rPr>
        <w:t>采购包1：</w:t>
      </w:r>
      <w:r>
        <w:t>根据采购合同规定，对供应商的交付成果按采购文件的验收标准进行验收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2.6.8资金支付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采购人按财政部门的相关规定及采购合同的约定进行支付。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pacing w:val="15"/>
          <w:sz w:val="28"/>
          <w:szCs w:val="28"/>
          <w:highlight w:val="none"/>
        </w:rPr>
      </w:pPr>
      <w:r>
        <w:rPr>
          <w:rFonts w:hint="default" w:ascii="Times New Roman" w:hAnsi="Times New Roman" w:eastAsia="宋体" w:cs="Times New Roman"/>
          <w:b/>
          <w:bCs/>
          <w:spacing w:val="15"/>
          <w:sz w:val="28"/>
          <w:szCs w:val="28"/>
          <w:highlight w:val="none"/>
        </w:rPr>
        <w:t>2.7纪律要求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2.7.1磋商活动纪律要求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采购人、代理机构应保证磋商活动在严格保密的情况下进行，采购人、代理机构、供应商和磋商小组成员应当严格遵守政府采购法律法规规章制度和本项目磋商文件以及代理机构现场管理规定，接受采购人委派的监督人员的监督，任何单位和个人不得非法干预和影响磋商过程和结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对各供应商的商业秘密，磋商小组成员应予以保密，不得泄露给其他供应商。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2.7.2供应商不得具有的情形（实质性要求）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供应商参加响应不得有下列情形：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一、有下列情形之一的，视为供应商串通响应：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（一）不同供应商的响应文件由同一单位或者个人编制；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（二）不同供应商委托同一单位或者个人办理磋商事宜；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（三）不同供应商的响应文件载明的项目管理成员或者联系人员为同一人；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（四）不同供应商的响应文件异常一致或者响应报价呈规律性差异；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（五）不同供应商的响应文件相互混装。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二、提供虚假材料谋取成交；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三、采取不正当手段诋毁、排挤其他供应商；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四、与采购人或代理机构、其他供应商恶意串通；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五、向采购人或代理机构、磋商小组成员行贿或者提供其他不正当利益；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六、在磋商过程中与采购人或代理机构进行协商磋商；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七、成交后无正当理由拒不与采购人签订政府采购合同；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八、未按照采购文件确定的事项签订政府采购合同；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九、将政府采购合同转包或者违规分包；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十、提供假冒伪劣产品；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十一、擅自变更、中止或者终止政府采购合同；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十二、拒绝有关部门的监督检查或者向监督检查部门提供虚假情况；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pacing w:val="-1"/>
          <w:sz w:val="21"/>
          <w:szCs w:val="21"/>
          <w:highlight w:val="none"/>
        </w:rPr>
      </w:pPr>
      <w:r>
        <w:rPr>
          <w:rFonts w:hint="default" w:ascii="Times New Roman" w:hAnsi="Times New Roman" w:eastAsia="宋体" w:cs="Times New Roman"/>
          <w:sz w:val="21"/>
          <w:szCs w:val="21"/>
          <w:highlight w:val="none"/>
        </w:rPr>
        <w:t>十三、法律法规规定的其他禁止情形</w:t>
      </w:r>
      <w:r>
        <w:rPr>
          <w:rFonts w:hint="default" w:ascii="Times New Roman" w:hAnsi="Times New Roman" w:eastAsia="宋体" w:cs="Times New Roman"/>
          <w:spacing w:val="-1"/>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供应商有上述情形的，按照规定追究法律责任，具有前述一至十三条情形之一的，其响应文件无效，或取消被确认为成交供应商的资格或认定成交无效。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2.7.3采购人员及相关人员回避要求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政府采购活动中，采购人员及相关人员与供应商有下列利害关系之一的，应当回避：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（一）参加采购活动前3年内与供应商存在劳动关系；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（二）参加采购活动前3年内担任供应商的董事、监事；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（三）参加采购活动前3年内是供应商的控股股东或者实际控制人；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（四）与供应商的法定代表人或者负责人有夫妻、直系血亲、三代以内旁系血亲或者近姻亲关系；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（五）与供应商有其他可能影响政府采购活动公平、公正进行的关系。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供应商认为采购人员及相关人员与其他供应商有利害关系的，可以向代理机构书面提出回避申请，并说明理由。代理机构将及时询问被申请回避人员，有利害关系的被申请回避人员应当回避。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pacing w:val="15"/>
          <w:sz w:val="28"/>
          <w:szCs w:val="28"/>
          <w:highlight w:val="none"/>
        </w:rPr>
      </w:pPr>
      <w:r>
        <w:rPr>
          <w:rFonts w:hint="default" w:ascii="Times New Roman" w:hAnsi="Times New Roman" w:eastAsia="宋体" w:cs="Times New Roman"/>
          <w:b/>
          <w:bCs/>
          <w:spacing w:val="15"/>
          <w:sz w:val="28"/>
          <w:szCs w:val="28"/>
          <w:highlight w:val="none"/>
        </w:rPr>
        <w:t>2.8询问、质疑和投诉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一、询问、质疑、投诉的接收和处理严格按照《中华人民共和国政府采购法》《中华人民共和国政府采购法实施条例》《政府采购质疑和投诉办法》等规定办理。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二、供应商询问、质疑的答复主体：</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根据委托代理协议约定，供应商对</w:t>
      </w:r>
      <w:r>
        <w:rPr>
          <w:rFonts w:hint="default" w:ascii="Times New Roman" w:hAnsi="Times New Roman" w:eastAsia="宋体" w:cs="Times New Roman"/>
          <w:color w:val="000000" w:themeColor="text1"/>
          <w:sz w:val="21"/>
          <w:szCs w:val="21"/>
          <w:highlight w:val="none"/>
          <w14:textFill>
            <w14:solidFill>
              <w14:schemeClr w14:val="tx1"/>
            </w14:solidFill>
          </w14:textFill>
        </w:rPr>
        <w:t>采购文件的询问、质疑由 陕西隆信项目管理有限公司 负责答复；供应商对采购过程的询问、质疑由陕西隆信项目管理有限公司 负责答复；供应商对采购结果的询问、质疑由 陕西隆信项目管理有限公司负责答复。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三、供应商提出的询问，应当明确询问事项，如以书面形式提出的，应由供应商签字并加盖公章。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为提高采购效率，降低社会成本，鼓励询问主体对于不损害国家及社会利益或自身合法权益的问题或情形采用询问方式处理解决（包含但不限于文字错误、标点符号、不影响响应文件的编制的情形）。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四、供应商认为采购文件、采购过程、成交或者成交结果使自己的权益受到损害的，可以在知道或者应知其权益受到损害之日起7个工作日内，以书面形式向采购人、代理机构提出质疑。供应商应在法定质疑期内一次性提出针对同一采购程序环节的质疑。供应商应知其权益受到损害之日，是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（一）对可以质疑的采购文件提出质疑的，为收到采购文件之日或者采购文件公告期限届满之日；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（二）对采购过程提出质疑的，为各采购程序环节结束之日；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（三）对中标或者成交结果提出质疑的，为中标或者成交结果公告期限届满之日。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五、本项目不接受在线提交质疑，供应商通过书面形式线下向采购人或代理机构提交质疑资料。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六、供应商提出质疑时应当准备的资料：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（一）质疑函正本1份；（政府采购供应商质疑函范本详见附件一）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（二）法定代表人或主要负责人授权委托书1份（委托代理人办理质疑事宜的需提供）；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（三）法定代表人或主要负责人身份证复印件1份；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（四）委托代理人身份证复印件1份（委托代理人办理质疑事宜的需提供）；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（五）针对质疑事项必要的证明材料（针对磋商文件提出的质疑，需提交从项目电子化交易系统获取的磋商文件回执单）。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接收质疑函方式：书面形式。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答复主体：代理机构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联系人：</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任甜、</w:t>
      </w:r>
      <w:r>
        <w:rPr>
          <w:rFonts w:hint="default" w:ascii="Times New Roman" w:hAnsi="Times New Roman" w:eastAsia="宋体" w:cs="Times New Roman"/>
          <w:color w:val="000000" w:themeColor="text1"/>
          <w:sz w:val="21"/>
          <w:szCs w:val="21"/>
          <w:highlight w:val="none"/>
          <w14:textFill>
            <w14:solidFill>
              <w14:schemeClr w14:val="tx1"/>
            </w14:solidFill>
          </w14:textFill>
        </w:rPr>
        <w:t>郑婧婧、</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袁歆雨、冷冰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联系电话：029-88489979-810</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地址：西安市莲湖区丰登南路9号怡景花园酒店A座二层</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招标一部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邮编：/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注：根据《中华人民共和国政府采购法》的规定，供应商质疑不得超出采购文件、采购过程、采购结果的范围。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七、供应商对采购人或代理机构的质疑答复不满意，或者采购人或代理机构未在规定期限内作出答复的，供应商可以在答复期满后15个工作日内向同级财政部门提起投诉。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362"/>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投诉受理单位：本采购项目同级财政部门。（政府采购供应商投诉书范本详见附件二）</w:t>
      </w:r>
    </w:p>
    <w:p>
      <w:pPr>
        <w:spacing w:line="219" w:lineRule="auto"/>
        <w:rPr>
          <w:rFonts w:ascii="宋体" w:hAnsi="宋体" w:eastAsia="宋体" w:cs="宋体"/>
          <w:sz w:val="18"/>
          <w:szCs w:val="18"/>
          <w:highlight w:val="none"/>
        </w:rPr>
        <w:sectPr>
          <w:footerReference r:id="rId6" w:type="default"/>
          <w:pgSz w:w="11900" w:h="16840"/>
          <w:pgMar w:top="1440" w:right="1080" w:bottom="1440" w:left="1080" w:header="0" w:footer="0" w:gutter="0"/>
          <w:cols w:space="720" w:num="1"/>
        </w:sectPr>
      </w:pPr>
    </w:p>
    <w:p>
      <w:pPr>
        <w:spacing w:before="58" w:line="220" w:lineRule="auto"/>
        <w:jc w:val="center"/>
        <w:outlineLvl w:val="0"/>
        <w:rPr>
          <w:rFonts w:ascii="宋体" w:hAnsi="宋体" w:eastAsia="宋体" w:cs="宋体"/>
          <w:spacing w:val="6"/>
          <w:sz w:val="29"/>
          <w:szCs w:val="29"/>
          <w:highlight w:val="none"/>
        </w:rPr>
      </w:pPr>
      <w:r>
        <w:rPr>
          <w:rFonts w:ascii="宋体" w:hAnsi="宋体" w:eastAsia="宋体" w:cs="宋体"/>
          <w:spacing w:val="6"/>
          <w:sz w:val="29"/>
          <w:szCs w:val="29"/>
          <w:highlight w:val="none"/>
        </w:rPr>
        <w:t>第三章 磋商项目技术、服务、商务及其他要求</w:t>
      </w:r>
    </w:p>
    <w:p>
      <w:pPr>
        <w:pStyle w:val="3"/>
        <w:spacing w:line="334" w:lineRule="auto"/>
        <w:rPr>
          <w:highlight w:val="none"/>
        </w:rPr>
      </w:pPr>
    </w:p>
    <w:p>
      <w:pPr>
        <w:spacing w:before="78" w:line="360" w:lineRule="exact"/>
        <w:ind w:left="371"/>
        <w:rPr>
          <w:rFonts w:ascii="宋体" w:hAnsi="宋体" w:eastAsia="宋体" w:cs="宋体"/>
          <w:spacing w:val="-3"/>
          <w:position w:val="13"/>
          <w:sz w:val="18"/>
          <w:szCs w:val="18"/>
          <w:highlight w:val="none"/>
        </w:rPr>
      </w:pPr>
      <w:r>
        <w:rPr>
          <w:rFonts w:ascii="宋体" w:hAnsi="宋体" w:eastAsia="宋体" w:cs="宋体"/>
          <w:spacing w:val="-3"/>
          <w:position w:val="13"/>
          <w:sz w:val="18"/>
          <w:szCs w:val="18"/>
          <w:highlight w:val="none"/>
        </w:rPr>
        <w:t>（注：带</w:t>
      </w:r>
      <w:r>
        <w:rPr>
          <w:rFonts w:hint="eastAsia" w:ascii="宋体" w:hAnsi="宋体" w:eastAsia="宋体" w:cs="宋体"/>
          <w:spacing w:val="-3"/>
          <w:position w:val="13"/>
          <w:sz w:val="18"/>
          <w:szCs w:val="18"/>
          <w:highlight w:val="none"/>
          <w:lang w:eastAsia="zh-CN"/>
        </w:rPr>
        <w:t>“</w:t>
      </w:r>
      <w:r>
        <w:rPr>
          <w:rFonts w:ascii="宋体" w:hAnsi="宋体" w:eastAsia="宋体" w:cs="宋体"/>
          <w:spacing w:val="-3"/>
          <w:position w:val="13"/>
          <w:sz w:val="18"/>
          <w:szCs w:val="18"/>
          <w:highlight w:val="none"/>
        </w:rPr>
        <w:t>★</w:t>
      </w:r>
      <w:r>
        <w:rPr>
          <w:rFonts w:hint="eastAsia" w:ascii="宋体" w:hAnsi="宋体" w:eastAsia="宋体" w:cs="宋体"/>
          <w:spacing w:val="-3"/>
          <w:position w:val="13"/>
          <w:sz w:val="18"/>
          <w:szCs w:val="18"/>
          <w:highlight w:val="none"/>
          <w:lang w:eastAsia="zh-CN"/>
        </w:rPr>
        <w:t>”</w:t>
      </w:r>
      <w:r>
        <w:rPr>
          <w:rFonts w:ascii="宋体" w:hAnsi="宋体" w:eastAsia="宋体" w:cs="宋体"/>
          <w:spacing w:val="-3"/>
          <w:position w:val="13"/>
          <w:sz w:val="18"/>
          <w:szCs w:val="18"/>
          <w:highlight w:val="none"/>
        </w:rPr>
        <w:t>的参数需求为实质性要求，供应商必须响应并满足的参数需求，采购人、采购代理机构应当根据项目实际需求合理设定，并明确具体要求。带</w:t>
      </w:r>
      <w:r>
        <w:rPr>
          <w:rFonts w:hint="eastAsia" w:ascii="宋体" w:hAnsi="宋体" w:eastAsia="宋体" w:cs="宋体"/>
          <w:spacing w:val="-3"/>
          <w:position w:val="13"/>
          <w:sz w:val="18"/>
          <w:szCs w:val="18"/>
          <w:highlight w:val="none"/>
          <w:lang w:eastAsia="zh-CN"/>
        </w:rPr>
        <w:t>“</w:t>
      </w:r>
      <w:r>
        <w:rPr>
          <w:rFonts w:ascii="宋体" w:hAnsi="宋体" w:eastAsia="宋体" w:cs="宋体"/>
          <w:spacing w:val="-3"/>
          <w:position w:val="13"/>
          <w:sz w:val="18"/>
          <w:szCs w:val="18"/>
          <w:highlight w:val="none"/>
        </w:rPr>
        <w:t>▲</w:t>
      </w:r>
      <w:r>
        <w:rPr>
          <w:rFonts w:hint="eastAsia" w:ascii="宋体" w:hAnsi="宋体" w:eastAsia="宋体" w:cs="宋体"/>
          <w:spacing w:val="-3"/>
          <w:position w:val="13"/>
          <w:sz w:val="18"/>
          <w:szCs w:val="18"/>
          <w:highlight w:val="none"/>
          <w:lang w:eastAsia="zh-CN"/>
        </w:rPr>
        <w:t>”</w:t>
      </w:r>
      <w:r>
        <w:rPr>
          <w:rFonts w:ascii="宋体" w:hAnsi="宋体" w:eastAsia="宋体" w:cs="宋体"/>
          <w:spacing w:val="-3"/>
          <w:position w:val="13"/>
          <w:sz w:val="18"/>
          <w:szCs w:val="18"/>
          <w:highlight w:val="none"/>
        </w:rPr>
        <w:t>号条款为允许负偏离的参数需求，若未响应或者不满足，将在综合评审中予以扣分处理。）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pacing w:val="15"/>
          <w:sz w:val="28"/>
          <w:szCs w:val="28"/>
          <w:highlight w:val="none"/>
        </w:rPr>
      </w:pPr>
      <w:r>
        <w:rPr>
          <w:rFonts w:hint="default" w:ascii="Times New Roman" w:hAnsi="Times New Roman" w:eastAsia="宋体" w:cs="Times New Roman"/>
          <w:b/>
          <w:bCs/>
          <w:spacing w:val="15"/>
          <w:sz w:val="28"/>
          <w:szCs w:val="28"/>
          <w:highlight w:val="none"/>
        </w:rPr>
        <w:t>3.1采购项目概况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firstLine="420" w:firstLineChars="200"/>
        <w:textAlignment w:val="baseline"/>
        <w:outlineLvl w:val="1"/>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灞桥区数字化城市管理监督指挥中心“城管通”服务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eastAsia" w:ascii="Times New Roman" w:hAnsi="Times New Roman" w:eastAsia="宋体" w:cs="Times New Roman"/>
          <w:b/>
          <w:bCs/>
          <w:spacing w:val="15"/>
          <w:sz w:val="28"/>
          <w:szCs w:val="28"/>
          <w:highlight w:val="none"/>
          <w:lang w:val="en-US" w:eastAsia="zh-CN"/>
        </w:rPr>
      </w:pPr>
      <w:r>
        <w:rPr>
          <w:rFonts w:hint="eastAsia" w:ascii="Times New Roman" w:hAnsi="Times New Roman" w:eastAsia="宋体" w:cs="Times New Roman"/>
          <w:b/>
          <w:bCs/>
          <w:spacing w:val="15"/>
          <w:sz w:val="28"/>
          <w:szCs w:val="28"/>
          <w:highlight w:val="none"/>
          <w:lang w:val="en-US" w:eastAsia="zh-CN"/>
        </w:rPr>
        <w:t>3.2服务内容及服务要求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pacing w:val="15"/>
          <w:sz w:val="24"/>
          <w:szCs w:val="24"/>
          <w:highlight w:val="none"/>
          <w:lang w:val="en-US" w:eastAsia="zh-CN"/>
        </w:rPr>
      </w:pPr>
      <w:r>
        <w:rPr>
          <w:rFonts w:hint="eastAsia" w:ascii="Times New Roman" w:hAnsi="Times New Roman" w:eastAsia="宋体" w:cs="Times New Roman"/>
          <w:b/>
          <w:bCs/>
          <w:spacing w:val="15"/>
          <w:sz w:val="24"/>
          <w:szCs w:val="24"/>
          <w:highlight w:val="none"/>
          <w:lang w:val="en-US" w:eastAsia="zh-CN"/>
        </w:rPr>
        <w:t>3.2.1服务内容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采购包1：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采购包预算金额（元）: </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320,000.00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采购包最高限价（元）: </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320,000.00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供应商报价不允许超过标的金额</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125"/>
        <w:gridCol w:w="651"/>
        <w:gridCol w:w="1186"/>
        <w:gridCol w:w="888"/>
        <w:gridCol w:w="812"/>
        <w:gridCol w:w="925"/>
        <w:gridCol w:w="842"/>
        <w:gridCol w:w="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right="136"/>
              <w:textAlignment w:val="baseline"/>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序号</w:t>
            </w:r>
          </w:p>
        </w:tc>
        <w:tc>
          <w:tcPr>
            <w:tcW w:w="2125"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right="136"/>
              <w:textAlignment w:val="baseline"/>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标的名称</w:t>
            </w:r>
          </w:p>
        </w:tc>
        <w:tc>
          <w:tcPr>
            <w:tcW w:w="651"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right="136"/>
              <w:textAlignment w:val="baseline"/>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数量</w:t>
            </w:r>
          </w:p>
        </w:tc>
        <w:tc>
          <w:tcPr>
            <w:tcW w:w="1186"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right="136"/>
              <w:textAlignment w:val="baseline"/>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标的金额（元）</w:t>
            </w:r>
          </w:p>
        </w:tc>
        <w:tc>
          <w:tcPr>
            <w:tcW w:w="888"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right="136"/>
              <w:textAlignment w:val="baseline"/>
              <w:rPr>
                <w:rFonts w:hint="default" w:ascii="Times New Roman" w:hAnsi="Times New Roman" w:eastAsia="宋体" w:cs="Times New Roman"/>
                <w:color w:val="000000" w:themeColor="text1"/>
                <w:sz w:val="21"/>
                <w:szCs w:val="21"/>
                <w:highlight w:val="none"/>
                <w:vertAlign w:val="baseline"/>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计量单位</w:t>
            </w:r>
          </w:p>
        </w:tc>
        <w:tc>
          <w:tcPr>
            <w:tcW w:w="812"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right="136"/>
              <w:textAlignment w:val="baseline"/>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所属行业</w:t>
            </w:r>
          </w:p>
        </w:tc>
        <w:tc>
          <w:tcPr>
            <w:tcW w:w="925"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right="136"/>
              <w:textAlignment w:val="baseline"/>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是否核心产品</w:t>
            </w:r>
          </w:p>
        </w:tc>
        <w:tc>
          <w:tcPr>
            <w:tcW w:w="842"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right="136"/>
              <w:textAlignment w:val="baseline"/>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是否允许进口产品</w:t>
            </w:r>
          </w:p>
        </w:tc>
        <w:tc>
          <w:tcPr>
            <w:tcW w:w="996"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right="136"/>
              <w:textAlignment w:val="baseline"/>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是否属于节能产品</w:t>
            </w:r>
          </w:p>
        </w:tc>
        <w:tc>
          <w:tcPr>
            <w:tcW w:w="996" w:type="dxa"/>
          </w:tcPr>
          <w:p>
            <w:pPr>
              <w:keepNext w:val="0"/>
              <w:keepLines w:val="0"/>
              <w:pageBreakBefore w:val="0"/>
              <w:widowControl/>
              <w:kinsoku w:val="0"/>
              <w:wordWrap/>
              <w:overflowPunct/>
              <w:topLinePunct w:val="0"/>
              <w:autoSpaceDE w:val="0"/>
              <w:autoSpaceDN w:val="0"/>
              <w:bidi w:val="0"/>
              <w:adjustRightInd w:val="0"/>
              <w:snapToGrid w:val="0"/>
              <w:spacing w:line="240" w:lineRule="auto"/>
              <w:ind w:right="136"/>
              <w:textAlignment w:val="baseline"/>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是否属于环境标志产品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35"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1</w:t>
            </w:r>
          </w:p>
        </w:tc>
        <w:tc>
          <w:tcPr>
            <w:tcW w:w="2125"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default" w:ascii="Times New Roman" w:hAnsi="Times New Roman" w:eastAsia="宋体" w:cs="Times New Roman"/>
                <w:color w:val="000000" w:themeColor="text1"/>
                <w:sz w:val="21"/>
                <w:szCs w:val="21"/>
                <w:highlight w:val="none"/>
                <w:vertAlign w:val="baseline"/>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智慧城管服务项目</w:t>
            </w:r>
          </w:p>
        </w:tc>
        <w:tc>
          <w:tcPr>
            <w:tcW w:w="651"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1.00</w:t>
            </w:r>
          </w:p>
        </w:tc>
        <w:tc>
          <w:tcPr>
            <w:tcW w:w="1186"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eastAsia" w:ascii="Times New Roman" w:hAnsi="Times New Roman" w:eastAsia="宋体" w:cs="Times New Roman"/>
                <w:color w:val="000000" w:themeColor="text1"/>
                <w:sz w:val="18"/>
                <w:szCs w:val="18"/>
                <w:highlight w:val="none"/>
                <w:vertAlign w:val="baseline"/>
                <w:lang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vertAlign w:val="baseline"/>
                <w:lang w:eastAsia="zh-CN"/>
                <w14:textFill>
                  <w14:solidFill>
                    <w14:schemeClr w14:val="tx1"/>
                  </w14:solidFill>
                </w14:textFill>
              </w:rPr>
              <w:t>320,000.00</w:t>
            </w:r>
          </w:p>
        </w:tc>
        <w:tc>
          <w:tcPr>
            <w:tcW w:w="888"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eastAsia" w:ascii="Times New Roman" w:hAnsi="Times New Roman" w:eastAsia="宋体" w:cs="Times New Roman"/>
                <w:color w:val="000000" w:themeColor="text1"/>
                <w:sz w:val="18"/>
                <w:szCs w:val="18"/>
                <w:highlight w:val="none"/>
                <w:vertAlign w:val="baseline"/>
                <w:lang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vertAlign w:val="baseline"/>
                <w:lang w:eastAsia="zh-CN"/>
                <w14:textFill>
                  <w14:solidFill>
                    <w14:schemeClr w14:val="tx1"/>
                  </w14:solidFill>
                </w14:textFill>
              </w:rPr>
              <w:t>项</w:t>
            </w:r>
          </w:p>
        </w:tc>
        <w:tc>
          <w:tcPr>
            <w:tcW w:w="812"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default" w:ascii="Times New Roman" w:hAnsi="Times New Roman" w:eastAsia="宋体" w:cs="Times New Roman"/>
                <w:color w:val="000000" w:themeColor="text1"/>
                <w:sz w:val="18"/>
                <w:szCs w:val="18"/>
                <w:highlight w:val="none"/>
                <w:vertAlign w:val="baseline"/>
                <w14:textFill>
                  <w14:solidFill>
                    <w14:schemeClr w14:val="tx1"/>
                  </w14:solidFill>
                </w14:textFill>
              </w:rPr>
            </w:pPr>
            <w:bookmarkStart w:id="63" w:name="_GoBack"/>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软件和信息技术服务业</w:t>
            </w:r>
            <w:bookmarkEnd w:id="63"/>
          </w:p>
        </w:tc>
        <w:tc>
          <w:tcPr>
            <w:tcW w:w="925"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eastAsia" w:ascii="Times New Roman" w:hAnsi="Times New Roman" w:eastAsia="宋体" w:cs="Times New Roman"/>
                <w:color w:val="000000" w:themeColor="text1"/>
                <w:sz w:val="18"/>
                <w:szCs w:val="18"/>
                <w:highlight w:val="none"/>
                <w:vertAlign w:val="baseline"/>
                <w:lang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vertAlign w:val="baseline"/>
                <w:lang w:eastAsia="zh-CN"/>
                <w14:textFill>
                  <w14:solidFill>
                    <w14:schemeClr w14:val="tx1"/>
                  </w14:solidFill>
                </w14:textFill>
              </w:rPr>
              <w:t>否</w:t>
            </w:r>
          </w:p>
        </w:tc>
        <w:tc>
          <w:tcPr>
            <w:tcW w:w="842"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default" w:ascii="Times New Roman" w:hAnsi="Times New Roman" w:eastAsia="宋体" w:cs="Times New Roman"/>
                <w:color w:val="000000" w:themeColor="text1"/>
                <w:sz w:val="18"/>
                <w:szCs w:val="18"/>
                <w:highlight w:val="none"/>
                <w:vertAlign w:val="baseline"/>
                <w14:textFill>
                  <w14:solidFill>
                    <w14:schemeClr w14:val="tx1"/>
                  </w14:solidFill>
                </w14:textFill>
              </w:rPr>
            </w:pPr>
            <w:r>
              <w:rPr>
                <w:rFonts w:hint="eastAsia" w:ascii="Times New Roman" w:hAnsi="Times New Roman" w:eastAsia="宋体" w:cs="Times New Roman"/>
                <w:color w:val="000000" w:themeColor="text1"/>
                <w:sz w:val="18"/>
                <w:szCs w:val="18"/>
                <w:highlight w:val="none"/>
                <w:vertAlign w:val="baseline"/>
                <w:lang w:eastAsia="zh-CN"/>
                <w14:textFill>
                  <w14:solidFill>
                    <w14:schemeClr w14:val="tx1"/>
                  </w14:solidFill>
                </w14:textFill>
              </w:rPr>
              <w:t>否</w:t>
            </w:r>
          </w:p>
        </w:tc>
        <w:tc>
          <w:tcPr>
            <w:tcW w:w="996"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default" w:ascii="Times New Roman" w:hAnsi="Times New Roman" w:eastAsia="宋体" w:cs="Times New Roman"/>
                <w:color w:val="000000" w:themeColor="text1"/>
                <w:sz w:val="18"/>
                <w:szCs w:val="18"/>
                <w:highlight w:val="none"/>
                <w:vertAlign w:val="baseline"/>
                <w14:textFill>
                  <w14:solidFill>
                    <w14:schemeClr w14:val="tx1"/>
                  </w14:solidFill>
                </w14:textFill>
              </w:rPr>
            </w:pPr>
            <w:r>
              <w:rPr>
                <w:rFonts w:hint="eastAsia" w:ascii="Times New Roman" w:hAnsi="Times New Roman" w:eastAsia="宋体" w:cs="Times New Roman"/>
                <w:color w:val="000000" w:themeColor="text1"/>
                <w:sz w:val="18"/>
                <w:szCs w:val="18"/>
                <w:highlight w:val="none"/>
                <w:vertAlign w:val="baseline"/>
                <w:lang w:eastAsia="zh-CN"/>
                <w14:textFill>
                  <w14:solidFill>
                    <w14:schemeClr w14:val="tx1"/>
                  </w14:solidFill>
                </w14:textFill>
              </w:rPr>
              <w:t>否</w:t>
            </w:r>
          </w:p>
        </w:tc>
        <w:tc>
          <w:tcPr>
            <w:tcW w:w="996" w:type="dxa"/>
          </w:tcPr>
          <w:p>
            <w:pPr>
              <w:keepNext w:val="0"/>
              <w:keepLines w:val="0"/>
              <w:pageBreakBefore w:val="0"/>
              <w:widowControl/>
              <w:kinsoku w:val="0"/>
              <w:wordWrap/>
              <w:overflowPunct/>
              <w:topLinePunct w:val="0"/>
              <w:autoSpaceDE w:val="0"/>
              <w:autoSpaceDN w:val="0"/>
              <w:bidi w:val="0"/>
              <w:adjustRightInd w:val="0"/>
              <w:snapToGrid w:val="0"/>
              <w:spacing w:line="360" w:lineRule="auto"/>
              <w:ind w:right="136"/>
              <w:textAlignment w:val="baseline"/>
              <w:rPr>
                <w:rFonts w:hint="default" w:ascii="Times New Roman" w:hAnsi="Times New Roman" w:eastAsia="宋体" w:cs="Times New Roman"/>
                <w:color w:val="000000" w:themeColor="text1"/>
                <w:sz w:val="18"/>
                <w:szCs w:val="18"/>
                <w:highlight w:val="none"/>
                <w:vertAlign w:val="baseline"/>
                <w14:textFill>
                  <w14:solidFill>
                    <w14:schemeClr w14:val="tx1"/>
                  </w14:solidFill>
                </w14:textFill>
              </w:rPr>
            </w:pPr>
            <w:r>
              <w:rPr>
                <w:rFonts w:hint="eastAsia" w:ascii="Times New Roman" w:hAnsi="Times New Roman" w:eastAsia="宋体" w:cs="Times New Roman"/>
                <w:color w:val="000000" w:themeColor="text1"/>
                <w:sz w:val="18"/>
                <w:szCs w:val="18"/>
                <w:highlight w:val="none"/>
                <w:vertAlign w:val="baseline"/>
                <w:lang w:eastAsia="zh-CN"/>
                <w14:textFill>
                  <w14:solidFill>
                    <w14:schemeClr w14:val="tx1"/>
                  </w14:solidFill>
                </w14:textFill>
              </w:rPr>
              <w:t>否</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eastAsia" w:ascii="Times New Roman" w:hAnsi="Times New Roman" w:eastAsia="宋体" w:cs="Times New Roman"/>
          <w:b/>
          <w:bCs/>
          <w:spacing w:val="15"/>
          <w:sz w:val="24"/>
          <w:szCs w:val="24"/>
          <w:highlight w:val="none"/>
          <w:lang w:val="en-US" w:eastAsia="zh-CN"/>
        </w:rPr>
      </w:pPr>
      <w:r>
        <w:rPr>
          <w:rFonts w:hint="eastAsia" w:ascii="Times New Roman" w:hAnsi="Times New Roman" w:eastAsia="宋体" w:cs="Times New Roman"/>
          <w:b/>
          <w:bCs/>
          <w:spacing w:val="15"/>
          <w:sz w:val="24"/>
          <w:szCs w:val="24"/>
          <w:highlight w:val="none"/>
          <w:lang w:val="en-US" w:eastAsia="zh-CN"/>
        </w:rPr>
        <w:t>3.2.2服务要求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91"/>
        <w:textAlignment w:val="baseline"/>
        <w:rPr>
          <w:rFonts w:ascii="宋体" w:hAnsi="宋体" w:eastAsia="宋体" w:cs="宋体"/>
          <w:spacing w:val="1"/>
          <w:sz w:val="19"/>
          <w:szCs w:val="19"/>
        </w:rPr>
      </w:pPr>
      <w:r>
        <w:rPr>
          <w:rFonts w:ascii="宋体" w:hAnsi="宋体" w:eastAsia="宋体" w:cs="宋体"/>
          <w:spacing w:val="1"/>
          <w:sz w:val="19"/>
          <w:szCs w:val="19"/>
        </w:rPr>
        <w:t>采购包1：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91"/>
        <w:textAlignment w:val="baseline"/>
        <w:rPr>
          <w:rFonts w:ascii="宋体" w:hAnsi="宋体" w:eastAsia="宋体" w:cs="宋体"/>
          <w:spacing w:val="1"/>
          <w:sz w:val="19"/>
          <w:szCs w:val="19"/>
        </w:rPr>
      </w:pPr>
      <w:r>
        <w:rPr>
          <w:rFonts w:ascii="宋体" w:hAnsi="宋体" w:eastAsia="宋体" w:cs="宋体"/>
          <w:spacing w:val="1"/>
          <w:sz w:val="19"/>
          <w:szCs w:val="19"/>
        </w:rPr>
        <w:t>供应商报价不允许超过标的金额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91"/>
        <w:textAlignment w:val="baseline"/>
        <w:rPr>
          <w:rFonts w:ascii="宋体" w:hAnsi="宋体" w:eastAsia="宋体" w:cs="宋体"/>
          <w:spacing w:val="1"/>
          <w:sz w:val="19"/>
          <w:szCs w:val="19"/>
        </w:rPr>
      </w:pPr>
      <w:r>
        <w:rPr>
          <w:rFonts w:ascii="宋体" w:hAnsi="宋体" w:eastAsia="宋体" w:cs="宋体"/>
          <w:spacing w:val="1"/>
          <w:sz w:val="19"/>
          <w:szCs w:val="19"/>
        </w:rPr>
        <w:t>（招单价的）供应商报价不允许超过标的单价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91"/>
        <w:textAlignment w:val="baseline"/>
        <w:rPr>
          <w:rFonts w:ascii="宋体" w:hAnsi="宋体" w:eastAsia="宋体" w:cs="宋体"/>
          <w:spacing w:val="1"/>
          <w:sz w:val="19"/>
          <w:szCs w:val="19"/>
        </w:rPr>
      </w:pPr>
      <w:r>
        <w:rPr>
          <w:rFonts w:ascii="宋体" w:hAnsi="宋体" w:eastAsia="宋体" w:cs="宋体"/>
          <w:spacing w:val="1"/>
          <w:sz w:val="19"/>
          <w:szCs w:val="19"/>
        </w:rPr>
        <w:t>标的名称：</w:t>
      </w:r>
      <w:r>
        <w:rPr>
          <w:rFonts w:hint="eastAsia" w:ascii="宋体" w:hAnsi="宋体" w:eastAsia="宋体" w:cs="宋体"/>
          <w:spacing w:val="1"/>
          <w:sz w:val="19"/>
          <w:szCs w:val="19"/>
        </w:rPr>
        <w:t>智慧城管服务项目</w:t>
      </w:r>
      <w:r>
        <w:rPr>
          <w:rFonts w:ascii="宋体" w:hAnsi="宋体" w:eastAsia="宋体" w:cs="宋体"/>
          <w:spacing w:val="1"/>
          <w:sz w:val="19"/>
          <w:szCs w:val="19"/>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
        <w:gridCol w:w="332"/>
        <w:gridCol w:w="9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pacing w:val="1"/>
                <w:sz w:val="19"/>
                <w:szCs w:val="19"/>
                <w:vertAlign w:val="baseline"/>
                <w:lang w:val="en-US" w:eastAsia="zh-CN"/>
              </w:rPr>
            </w:pPr>
            <w:r>
              <w:rPr>
                <w:rFonts w:hint="eastAsia" w:ascii="宋体" w:hAnsi="宋体" w:eastAsia="宋体" w:cs="宋体"/>
                <w:spacing w:val="1"/>
                <w:sz w:val="19"/>
                <w:szCs w:val="19"/>
                <w:vertAlign w:val="baseline"/>
                <w:lang w:val="en-US" w:eastAsia="zh-CN"/>
              </w:rPr>
              <w:t>参数性质</w:t>
            </w:r>
          </w:p>
        </w:tc>
        <w:tc>
          <w:tcPr>
            <w:tcW w:w="707"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pacing w:val="1"/>
                <w:sz w:val="19"/>
                <w:szCs w:val="19"/>
                <w:vertAlign w:val="baseline"/>
                <w:lang w:val="en-US" w:eastAsia="zh-CN"/>
              </w:rPr>
            </w:pPr>
            <w:r>
              <w:rPr>
                <w:rFonts w:hint="eastAsia" w:ascii="宋体" w:hAnsi="宋体" w:eastAsia="宋体" w:cs="宋体"/>
                <w:spacing w:val="1"/>
                <w:sz w:val="19"/>
                <w:szCs w:val="19"/>
                <w:vertAlign w:val="baseline"/>
                <w:lang w:val="en-US" w:eastAsia="zh-CN"/>
              </w:rPr>
              <w:t>序号</w:t>
            </w:r>
          </w:p>
        </w:tc>
        <w:tc>
          <w:tcPr>
            <w:tcW w:w="8111"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pacing w:val="1"/>
                <w:sz w:val="19"/>
                <w:szCs w:val="19"/>
                <w:vertAlign w:val="baseline"/>
                <w:lang w:val="en-US" w:eastAsia="zh-CN"/>
              </w:rPr>
            </w:pPr>
            <w:r>
              <w:rPr>
                <w:rFonts w:hint="default" w:ascii="宋体" w:hAnsi="宋体" w:eastAsia="宋体" w:cs="宋体"/>
                <w:spacing w:val="1"/>
                <w:sz w:val="19"/>
                <w:szCs w:val="19"/>
                <w:vertAlign w:val="baseline"/>
                <w:lang w:val="en-US" w:eastAsia="zh-CN"/>
              </w:rPr>
              <w:t>技术参数与性能指标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pacing w:val="1"/>
                <w:sz w:val="19"/>
                <w:szCs w:val="19"/>
                <w:vertAlign w:val="baseline"/>
                <w:lang w:val="en-US" w:eastAsia="zh-CN"/>
              </w:rPr>
            </w:pPr>
          </w:p>
        </w:tc>
        <w:tc>
          <w:tcPr>
            <w:tcW w:w="707" w:type="dxa"/>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pacing w:val="1"/>
                <w:sz w:val="19"/>
                <w:szCs w:val="19"/>
                <w:vertAlign w:val="baseline"/>
                <w:lang w:val="en-US" w:eastAsia="zh-CN"/>
              </w:rPr>
            </w:pPr>
          </w:p>
        </w:tc>
        <w:tc>
          <w:tcPr>
            <w:tcW w:w="8111" w:type="dxa"/>
          </w:tcPr>
          <w:p>
            <w:pPr>
              <w:pStyle w:val="5"/>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281" w:firstLineChars="1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1.项目概况及总体要求</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55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智慧城管服务项目。</w:t>
            </w:r>
            <w:r>
              <w:rPr>
                <w:rFonts w:hint="eastAsia" w:ascii="宋体" w:hAnsi="宋体" w:eastAsia="宋体" w:cs="宋体"/>
                <w:b/>
                <w:bCs/>
                <w:color w:val="auto"/>
                <w:kern w:val="2"/>
                <w:sz w:val="21"/>
                <w:szCs w:val="21"/>
                <w:highlight w:val="none"/>
                <w:lang w:val="en-US" w:eastAsia="zh-CN" w:bidi="ar-SA"/>
              </w:rPr>
              <w:t>本项目所属行业为软件和信息技术服务业。</w:t>
            </w:r>
          </w:p>
          <w:p>
            <w:pPr>
              <w:keepNext w:val="0"/>
              <w:keepLines w:val="0"/>
              <w:pageBreakBefore w:val="0"/>
              <w:widowControl w:val="0"/>
              <w:kinsoku/>
              <w:wordWrap/>
              <w:overflowPunct/>
              <w:topLinePunct w:val="0"/>
              <w:autoSpaceDE/>
              <w:autoSpaceDN/>
              <w:bidi w:val="0"/>
              <w:adjustRightInd w:val="0"/>
              <w:snapToGrid w:val="0"/>
              <w:spacing w:line="360" w:lineRule="auto"/>
              <w:ind w:firstLine="281" w:firstLineChars="1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2.服务内容与要求</w:t>
            </w:r>
          </w:p>
          <w:p>
            <w:pPr>
              <w:pStyle w:val="5"/>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服务范围：灞桥区数字化城市管理监督指挥中心“城管通”服务</w:t>
            </w:r>
          </w:p>
          <w:p>
            <w:pPr>
              <w:pStyle w:val="5"/>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服务要求：为“城管通”服务提供通信服务，月套餐内容,每台终端包含国内通话1500分钟；每月不限速流量40GB,达到40G后至100GB上网速度降不低于3Mbps</w:t>
            </w:r>
            <w:r>
              <w:rPr>
                <w:rFonts w:hint="eastAsia" w:ascii="宋体" w:hAnsi="宋体" w:cs="宋体"/>
                <w:color w:val="auto"/>
                <w:sz w:val="21"/>
                <w:szCs w:val="21"/>
                <w:highlight w:val="none"/>
                <w:lang w:val="en-US" w:eastAsia="zh-CN" w:bidi="ar-SA"/>
              </w:rPr>
              <w:t>，号码免费纳入灞桥区城市管理综合行政执法大队内网，包月费0元，免内网内省内长号主叫 1000 分钟，超出后内网内省内主叫0.01元/分钟，被叫免费，内网内省内短号拨打免费，内网外拨打按照标准资费，漫游按照主套餐资费执行</w:t>
            </w:r>
            <w:r>
              <w:rPr>
                <w:rFonts w:hint="eastAsia" w:ascii="宋体" w:hAnsi="宋体" w:eastAsia="宋体" w:cs="宋体"/>
                <w:color w:val="auto"/>
                <w:sz w:val="21"/>
                <w:szCs w:val="21"/>
                <w:highlight w:val="none"/>
                <w:lang w:val="en-US" w:eastAsia="zh-CN" w:bidi="ar-SA"/>
              </w:rPr>
              <w:t>。“城管通”服务,</w:t>
            </w:r>
            <w:r>
              <w:rPr>
                <w:rFonts w:hint="eastAsia" w:ascii="宋体" w:hAnsi="宋体" w:cs="宋体"/>
                <w:color w:val="auto"/>
                <w:sz w:val="21"/>
                <w:szCs w:val="21"/>
                <w:highlight w:val="none"/>
                <w:lang w:val="en-US" w:eastAsia="zh-CN" w:bidi="ar-SA"/>
              </w:rPr>
              <w:t>为</w:t>
            </w:r>
            <w:r>
              <w:rPr>
                <w:rFonts w:hint="eastAsia" w:ascii="宋体" w:hAnsi="宋体" w:eastAsia="宋体" w:cs="宋体"/>
                <w:color w:val="auto"/>
                <w:sz w:val="21"/>
                <w:szCs w:val="21"/>
                <w:highlight w:val="none"/>
                <w:lang w:val="en-US" w:eastAsia="zh-CN" w:bidi="ar-SA"/>
              </w:rPr>
              <w:t>100个配套移动执法终端</w:t>
            </w:r>
            <w:r>
              <w:rPr>
                <w:rFonts w:hint="eastAsia" w:ascii="宋体" w:hAnsi="宋体" w:cs="宋体"/>
                <w:color w:val="auto"/>
                <w:sz w:val="21"/>
                <w:szCs w:val="21"/>
                <w:highlight w:val="none"/>
                <w:lang w:val="en-US" w:eastAsia="zh-CN" w:bidi="ar-SA"/>
              </w:rPr>
              <w:t>提供接入服务</w:t>
            </w:r>
            <w:r>
              <w:rPr>
                <w:rFonts w:hint="eastAsia" w:ascii="宋体" w:hAnsi="宋体" w:eastAsia="宋体" w:cs="宋体"/>
                <w:color w:val="auto"/>
                <w:sz w:val="21"/>
                <w:szCs w:val="21"/>
                <w:highlight w:val="none"/>
                <w:lang w:val="en-US" w:eastAsia="zh-CN" w:bidi="ar-SA"/>
              </w:rPr>
              <w:t>,并保证其运行环境的稳定性。</w:t>
            </w:r>
          </w:p>
          <w:tbl>
            <w:tblPr>
              <w:tblStyle w:val="17"/>
              <w:tblpPr w:leftFromText="180" w:rightFromText="180" w:vertAnchor="text" w:horzAnchor="page" w:tblpX="306" w:tblpY="614"/>
              <w:tblOverlap w:val="never"/>
              <w:tblW w:w="4448" w:type="pct"/>
              <w:tblInd w:w="0" w:type="dxa"/>
              <w:tblLayout w:type="autofit"/>
              <w:tblCellMar>
                <w:top w:w="0" w:type="dxa"/>
                <w:left w:w="108" w:type="dxa"/>
                <w:bottom w:w="0" w:type="dxa"/>
                <w:right w:w="108" w:type="dxa"/>
              </w:tblCellMar>
            </w:tblPr>
            <w:tblGrid>
              <w:gridCol w:w="1173"/>
              <w:gridCol w:w="7151"/>
              <w:gridCol w:w="747"/>
            </w:tblGrid>
            <w:tr>
              <w:tblPrEx>
                <w:tblCellMar>
                  <w:top w:w="0" w:type="dxa"/>
                  <w:left w:w="108" w:type="dxa"/>
                  <w:bottom w:w="0" w:type="dxa"/>
                  <w:right w:w="108" w:type="dxa"/>
                </w:tblCellMar>
              </w:tblPrEx>
              <w:trPr>
                <w:trHeight w:val="270"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运行环境与标准</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参数</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备注</w:t>
                  </w:r>
                </w:p>
              </w:tc>
            </w:tr>
            <w:tr>
              <w:tblPrEx>
                <w:tblCellMar>
                  <w:top w:w="0" w:type="dxa"/>
                  <w:left w:w="108" w:type="dxa"/>
                  <w:bottom w:w="0" w:type="dxa"/>
                  <w:right w:w="108" w:type="dxa"/>
                </w:tblCellMar>
              </w:tblPrEx>
              <w:trPr>
                <w:trHeight w:val="27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基础通讯要求</w:t>
                  </w:r>
                </w:p>
              </w:tc>
            </w:tr>
            <w:tr>
              <w:tblPrEx>
                <w:tblCellMar>
                  <w:top w:w="0" w:type="dxa"/>
                  <w:left w:w="108" w:type="dxa"/>
                  <w:bottom w:w="0" w:type="dxa"/>
                  <w:right w:w="108" w:type="dxa"/>
                </w:tblCellMar>
              </w:tblPrEx>
              <w:trPr>
                <w:trHeight w:val="270"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月网络流量</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每月不限速流量40GB,达到40G后至100GB上网速度降不低于3Mbps。</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270"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语音通话</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eastAsia="zh-CN" w:bidi="ar"/>
                    </w:rPr>
                  </w:pPr>
                  <w:r>
                    <w:rPr>
                      <w:rFonts w:hint="eastAsia" w:ascii="宋体" w:hAnsi="宋体" w:eastAsia="宋体" w:cs="宋体"/>
                      <w:color w:val="auto"/>
                      <w:kern w:val="0"/>
                      <w:sz w:val="18"/>
                      <w:szCs w:val="18"/>
                      <w:highlight w:val="none"/>
                      <w:lang w:bidi="ar"/>
                    </w:rPr>
                    <w:t>1</w:t>
                  </w:r>
                  <w:r>
                    <w:rPr>
                      <w:rFonts w:hint="eastAsia" w:ascii="宋体" w:hAnsi="宋体" w:eastAsia="宋体" w:cs="宋体"/>
                      <w:color w:val="auto"/>
                      <w:kern w:val="0"/>
                      <w:sz w:val="18"/>
                      <w:szCs w:val="18"/>
                      <w:highlight w:val="none"/>
                      <w:lang w:val="en-US" w:eastAsia="zh-CN" w:bidi="ar"/>
                    </w:rPr>
                    <w:t>5</w:t>
                  </w:r>
                  <w:r>
                    <w:rPr>
                      <w:rFonts w:hint="eastAsia" w:ascii="宋体" w:hAnsi="宋体" w:eastAsia="宋体" w:cs="宋体"/>
                      <w:color w:val="auto"/>
                      <w:kern w:val="0"/>
                      <w:sz w:val="18"/>
                      <w:szCs w:val="18"/>
                      <w:highlight w:val="none"/>
                      <w:lang w:bidi="ar"/>
                    </w:rPr>
                    <w:t>00分钟</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val="en-US" w:eastAsia="zh-CN" w:bidi="ar"/>
                    </w:rPr>
                    <w:t>免网内省内长号主叫 1000 分钟，超出后内网内省内主叫0.01元/分钟，被叫免费，内网内省内短号拨打免费，内网外拨打按照标准资费</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27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基础系统环境</w:t>
                  </w: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CPU品牌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不限</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CPU核数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不低于八核</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操作系统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eastAsia="zh-CN" w:bidi="ar"/>
                    </w:rPr>
                    <w:t>鸿蒙</w:t>
                  </w:r>
                  <w:r>
                    <w:rPr>
                      <w:rFonts w:hint="eastAsia" w:ascii="宋体" w:hAnsi="宋体" w:cs="宋体"/>
                      <w:color w:val="auto"/>
                      <w:kern w:val="0"/>
                      <w:sz w:val="18"/>
                      <w:szCs w:val="18"/>
                      <w:highlight w:val="none"/>
                      <w:lang w:val="en-US" w:eastAsia="zh-CN" w:bidi="ar"/>
                    </w:rPr>
                    <w:t>4.0</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CPU型号</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不限</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机身存储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rightChars="0"/>
                    <w:jc w:val="left"/>
                    <w:rPr>
                      <w:rFonts w:hint="eastAsia" w:ascii="宋体" w:hAnsi="宋体" w:eastAsia="宋体" w:cs="宋体"/>
                      <w:color w:val="auto"/>
                      <w:kern w:val="0"/>
                      <w:sz w:val="18"/>
                      <w:szCs w:val="18"/>
                      <w:highlight w:val="none"/>
                      <w:lang w:bidi="ar"/>
                    </w:rPr>
                  </w:pPr>
                  <w:r>
                    <w:rPr>
                      <w:rFonts w:hint="default" w:ascii="宋体" w:hAnsi="宋体" w:eastAsia="宋体" w:cs="宋体"/>
                      <w:color w:val="auto"/>
                      <w:kern w:val="0"/>
                      <w:sz w:val="18"/>
                      <w:szCs w:val="18"/>
                      <w:highlight w:val="none"/>
                      <w:lang w:val="en-US" w:eastAsia="zh-CN" w:bidi="ar"/>
                    </w:rPr>
                    <w:t>256GB</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运行内存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8GB</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网络支持</w:t>
                  </w: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最大支持SIM卡数量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2个</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双卡机类型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双卡双待</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SIM卡类型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Nano SIM</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网络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default" w:ascii="宋体" w:hAnsi="宋体" w:eastAsia="宋体" w:cs="宋体"/>
                      <w:color w:val="auto"/>
                      <w:kern w:val="0"/>
                      <w:sz w:val="18"/>
                      <w:szCs w:val="18"/>
                      <w:highlight w:val="none"/>
                      <w:lang w:val="en-US" w:eastAsia="zh-CN" w:bidi="ar"/>
                    </w:rPr>
                    <w:t>支持联通/电信 4G+/4G/3G/2G,移动 4G+/4G/2G</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数据接口</w:t>
                  </w: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数据传输接口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WIFI， WiFi热点， 蓝牙</w:t>
                  </w:r>
                  <w:r>
                    <w:rPr>
                      <w:rFonts w:hint="eastAsia" w:ascii="宋体" w:hAnsi="宋体" w:cs="宋体"/>
                      <w:color w:val="auto"/>
                      <w:kern w:val="0"/>
                      <w:sz w:val="18"/>
                      <w:szCs w:val="18"/>
                      <w:highlight w:val="none"/>
                      <w:lang w:eastAsia="zh-CN" w:bidi="ar"/>
                    </w:rPr>
                    <w:t>，</w:t>
                  </w:r>
                  <w:r>
                    <w:rPr>
                      <w:rFonts w:hint="eastAsia" w:ascii="宋体" w:hAnsi="宋体" w:cs="宋体"/>
                      <w:color w:val="auto"/>
                      <w:kern w:val="0"/>
                      <w:sz w:val="18"/>
                      <w:szCs w:val="18"/>
                      <w:highlight w:val="none"/>
                      <w:lang w:val="en-US" w:eastAsia="zh-CN" w:bidi="ar"/>
                    </w:rPr>
                    <w:t>NFC</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270"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耳机接口类型</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Type-C</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270"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充电接口类型</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Type-C</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屏幕</w:t>
                  </w: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主屏幕尺寸(英寸)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不低于</w:t>
                  </w:r>
                  <w:r>
                    <w:rPr>
                      <w:rFonts w:hint="eastAsia" w:ascii="宋体" w:hAnsi="宋体" w:cs="宋体"/>
                      <w:color w:val="auto"/>
                      <w:kern w:val="0"/>
                      <w:sz w:val="18"/>
                      <w:szCs w:val="18"/>
                      <w:highlight w:val="none"/>
                      <w:lang w:val="en-US" w:eastAsia="zh-CN" w:bidi="ar"/>
                    </w:rPr>
                    <w:t>6.5</w:t>
                  </w:r>
                  <w:r>
                    <w:rPr>
                      <w:rFonts w:hint="eastAsia" w:ascii="宋体" w:hAnsi="宋体" w:eastAsia="宋体" w:cs="宋体"/>
                      <w:color w:val="auto"/>
                      <w:kern w:val="0"/>
                      <w:sz w:val="18"/>
                      <w:szCs w:val="18"/>
                      <w:highlight w:val="none"/>
                      <w:lang w:bidi="ar"/>
                    </w:rPr>
                    <w:t>英寸</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对角线尺寸</w:t>
                  </w: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分辨率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2400 × 1080像素</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27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摄像头</w:t>
                  </w: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eastAsia="zh-CN" w:bidi="ar"/>
                    </w:rPr>
                    <w:t>前</w:t>
                  </w:r>
                  <w:r>
                    <w:rPr>
                      <w:rFonts w:hint="eastAsia" w:ascii="宋体" w:hAnsi="宋体" w:eastAsia="宋体" w:cs="宋体"/>
                      <w:color w:val="auto"/>
                      <w:kern w:val="0"/>
                      <w:sz w:val="18"/>
                      <w:szCs w:val="18"/>
                      <w:highlight w:val="none"/>
                      <w:lang w:bidi="ar"/>
                    </w:rPr>
                    <w:t xml:space="preserve">摄主摄像素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不低于</w:t>
                  </w:r>
                  <w:r>
                    <w:rPr>
                      <w:rFonts w:hint="eastAsia" w:ascii="宋体" w:hAnsi="宋体" w:eastAsia="宋体" w:cs="宋体"/>
                      <w:color w:val="auto"/>
                      <w:kern w:val="0"/>
                      <w:sz w:val="18"/>
                      <w:szCs w:val="18"/>
                      <w:highlight w:val="none"/>
                      <w:lang w:val="en-US" w:eastAsia="zh-CN" w:bidi="ar"/>
                    </w:rPr>
                    <w:t>3200万像素摄像头（F2.45光圈）</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270"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eastAsia="zh-CN" w:bidi="ar"/>
                    </w:rPr>
                  </w:pPr>
                  <w:r>
                    <w:rPr>
                      <w:rFonts w:hint="eastAsia" w:ascii="宋体" w:hAnsi="宋体" w:eastAsia="宋体" w:cs="宋体"/>
                      <w:color w:val="auto"/>
                      <w:kern w:val="0"/>
                      <w:sz w:val="18"/>
                      <w:szCs w:val="18"/>
                      <w:highlight w:val="none"/>
                      <w:lang w:bidi="ar"/>
                    </w:rPr>
                    <w:t>后摄主摄</w:t>
                  </w:r>
                  <w:r>
                    <w:rPr>
                      <w:rFonts w:hint="eastAsia" w:ascii="宋体" w:hAnsi="宋体" w:eastAsia="宋体" w:cs="宋体"/>
                      <w:color w:val="auto"/>
                      <w:kern w:val="0"/>
                      <w:sz w:val="18"/>
                      <w:szCs w:val="18"/>
                      <w:highlight w:val="none"/>
                      <w:lang w:eastAsia="zh-CN" w:bidi="ar"/>
                    </w:rPr>
                    <w:t>像素</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不低于</w:t>
                  </w:r>
                  <w:r>
                    <w:rPr>
                      <w:rFonts w:hint="eastAsia" w:ascii="宋体" w:hAnsi="宋体" w:eastAsia="宋体" w:cs="宋体"/>
                      <w:color w:val="auto"/>
                      <w:kern w:val="0"/>
                      <w:sz w:val="18"/>
                      <w:szCs w:val="18"/>
                      <w:highlight w:val="none"/>
                      <w:lang w:val="en-US" w:eastAsia="zh-CN" w:bidi="ar"/>
                    </w:rPr>
                    <w:t>1亿像素摄像头（F1.9光圈）+ 800万像素超广角摄像头（F2.2光圈）+ 200万像素微距摄像头（F2.4光圈）</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eastAsia="zh-CN" w:bidi="ar"/>
                    </w:rPr>
                    <w:t>后</w:t>
                  </w:r>
                  <w:r>
                    <w:rPr>
                      <w:rFonts w:hint="eastAsia" w:ascii="宋体" w:hAnsi="宋体" w:eastAsia="宋体" w:cs="宋体"/>
                      <w:color w:val="auto"/>
                      <w:kern w:val="0"/>
                      <w:sz w:val="18"/>
                      <w:szCs w:val="18"/>
                      <w:highlight w:val="none"/>
                      <w:lang w:bidi="ar"/>
                    </w:rPr>
                    <w:t xml:space="preserve">摄主摄光圈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不低于f/</w:t>
                  </w:r>
                  <w:r>
                    <w:rPr>
                      <w:rFonts w:hint="eastAsia" w:ascii="宋体" w:hAnsi="宋体" w:eastAsia="宋体" w:cs="宋体"/>
                      <w:color w:val="auto"/>
                      <w:kern w:val="0"/>
                      <w:sz w:val="18"/>
                      <w:szCs w:val="18"/>
                      <w:highlight w:val="none"/>
                      <w:lang w:val="en-US" w:eastAsia="zh-CN" w:bidi="ar"/>
                    </w:rPr>
                    <w:t>1.9</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电池信息</w:t>
                  </w: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电池是否可拆卸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电池不可拆卸</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充电器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支持快充</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r>
              <w:tblPrEx>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电池容量 </w:t>
                  </w:r>
                </w:p>
              </w:tc>
              <w:tc>
                <w:tcPr>
                  <w:tcW w:w="2631"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不低于4</w:t>
                  </w:r>
                  <w:r>
                    <w:rPr>
                      <w:rFonts w:hint="eastAsia" w:ascii="宋体" w:hAnsi="宋体" w:cs="宋体"/>
                      <w:color w:val="auto"/>
                      <w:kern w:val="0"/>
                      <w:sz w:val="18"/>
                      <w:szCs w:val="18"/>
                      <w:highlight w:val="none"/>
                      <w:lang w:val="en-US" w:eastAsia="zh-CN" w:bidi="ar"/>
                    </w:rPr>
                    <w:t>5</w:t>
                  </w:r>
                  <w:r>
                    <w:rPr>
                      <w:rFonts w:hint="eastAsia" w:ascii="宋体" w:hAnsi="宋体" w:eastAsia="宋体" w:cs="宋体"/>
                      <w:color w:val="auto"/>
                      <w:kern w:val="0"/>
                      <w:sz w:val="18"/>
                      <w:szCs w:val="18"/>
                      <w:highlight w:val="none"/>
                      <w:lang w:bidi="ar"/>
                    </w:rPr>
                    <w:t>00mAh</w:t>
                  </w:r>
                </w:p>
              </w:tc>
              <w:tc>
                <w:tcPr>
                  <w:tcW w:w="954" w:type="pct"/>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auto"/>
                      <w:kern w:val="0"/>
                      <w:sz w:val="18"/>
                      <w:szCs w:val="18"/>
                      <w:highlight w:val="none"/>
                      <w:lang w:bidi="ar"/>
                    </w:rPr>
                  </w:pPr>
                </w:p>
              </w:tc>
            </w:tr>
          </w:tbl>
          <w:p>
            <w:pPr>
              <w:pStyle w:val="5"/>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left="0" w:leftChars="0" w:firstLine="0" w:firstLineChars="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3.服务、产品（如有）执行的标准、规范：</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（1）国家标准、规范</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（2）行业标准、规范</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（3）地方标准、规范</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（4）企业标准、规范</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本章未明确服务（产品）执行标准、规范的，则按下列方法进行选择：</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 顺序执行：国家标准→行业标准→地方标准→企业标准（有国家标准按国家标准执行，没有国家标准按行业标准，以此类推）；</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 最高标准执行：国家标准，行业标准，地方标准，企业标准（那个标准高执行那个标准）；</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rPr>
                <w:rFonts w:hint="default" w:ascii="宋体" w:hAnsi="宋体" w:eastAsia="宋体" w:cs="宋体"/>
                <w:color w:val="FF0000"/>
                <w:spacing w:val="1"/>
                <w:sz w:val="19"/>
                <w:szCs w:val="19"/>
                <w:vertAlign w:val="baseline"/>
                <w:lang w:val="en-US" w:eastAsia="zh-CN"/>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eq \o\ac(□,√)</w:instrTex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 xml:space="preserve"> 必</w:t>
            </w:r>
            <w:r>
              <w:rPr>
                <w:rFonts w:hint="eastAsia" w:ascii="宋体" w:hAnsi="宋体" w:eastAsia="宋体" w:cs="宋体"/>
                <w:color w:val="auto"/>
                <w:sz w:val="21"/>
                <w:szCs w:val="21"/>
                <w:highlight w:val="none"/>
              </w:rPr>
              <w:t>须执行：国家、行业强制性标准。</w:t>
            </w:r>
          </w:p>
        </w:tc>
      </w:tr>
    </w:tbl>
    <w:p>
      <w:pPr>
        <w:spacing w:line="360" w:lineRule="auto"/>
        <w:rPr>
          <w:rFonts w:hint="eastAsia" w:ascii="Times New Roman" w:hAnsi="Times New Roman" w:eastAsia="宋体" w:cs="Times New Roman"/>
          <w:b/>
          <w:bCs/>
          <w:spacing w:val="15"/>
          <w:sz w:val="24"/>
          <w:szCs w:val="24"/>
          <w:highlight w:val="none"/>
          <w:lang w:val="en-US" w:eastAsia="zh-CN"/>
        </w:rPr>
      </w:pPr>
      <w:r>
        <w:rPr>
          <w:rFonts w:hint="eastAsia" w:ascii="Times New Roman" w:hAnsi="Times New Roman" w:eastAsia="宋体" w:cs="Times New Roman"/>
          <w:b/>
          <w:bCs/>
          <w:spacing w:val="15"/>
          <w:sz w:val="24"/>
          <w:szCs w:val="24"/>
          <w:highlight w:val="none"/>
          <w:lang w:val="en-US" w:eastAsia="zh-CN"/>
        </w:rPr>
        <w:t>3.2.3人员配置要求</w:t>
      </w:r>
    </w:p>
    <w:p>
      <w:pPr>
        <w:pStyle w:val="3"/>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采购包1：供应商按项目服务要求及特性，自行组织项目实施与管理，建立以项目负责人为核心的服务团队，实行项目负责人责任制，相关人员经过严格培训，能够胜任项目工作，保证项目顺利实施。</w:t>
      </w:r>
    </w:p>
    <w:p>
      <w:pPr>
        <w:spacing w:line="360" w:lineRule="auto"/>
        <w:rPr>
          <w:rFonts w:hint="eastAsia" w:ascii="Times New Roman" w:hAnsi="Times New Roman" w:eastAsia="宋体" w:cs="Times New Roman"/>
          <w:b/>
          <w:bCs/>
          <w:color w:val="000000" w:themeColor="text1"/>
          <w:spacing w:val="15"/>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pacing w:val="15"/>
          <w:sz w:val="24"/>
          <w:szCs w:val="24"/>
          <w:highlight w:val="none"/>
          <w:lang w:val="en-US" w:eastAsia="zh-CN"/>
          <w14:textFill>
            <w14:solidFill>
              <w14:schemeClr w14:val="tx1"/>
            </w14:solidFill>
          </w14:textFill>
        </w:rPr>
        <w:t>3.2.4设施设备要求</w:t>
      </w:r>
    </w:p>
    <w:p>
      <w:pPr>
        <w:pStyle w:val="3"/>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采购包1：供应商根据项目特性，自行配置投入有利于完成本项目服务各类设施设备（包含但不限于专业设备、辅助设备、工具、软件等）。</w:t>
      </w:r>
    </w:p>
    <w:p>
      <w:pPr>
        <w:pStyle w:val="3"/>
        <w:spacing w:line="360" w:lineRule="auto"/>
        <w:rPr>
          <w:rFonts w:hint="eastAsia" w:ascii="Times New Roman" w:hAnsi="Times New Roman" w:eastAsia="宋体" w:cs="Times New Roman"/>
          <w:b/>
          <w:bCs/>
          <w:color w:val="000000" w:themeColor="text1"/>
          <w:spacing w:val="15"/>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pacing w:val="15"/>
          <w:sz w:val="24"/>
          <w:szCs w:val="24"/>
          <w:highlight w:val="none"/>
          <w:lang w:val="en-US" w:eastAsia="zh-CN"/>
          <w14:textFill>
            <w14:solidFill>
              <w14:schemeClr w14:val="tx1"/>
            </w14:solidFill>
          </w14:textFill>
        </w:rPr>
        <w:t>3.2.5其他要求</w:t>
      </w:r>
    </w:p>
    <w:p>
      <w:pPr>
        <w:pStyle w:val="3"/>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采购包1：因采购人系行政单位，所有的付款均需财政部门审批，本合同履行期间，非因采购人故意拖延付款申请流程造成的逾期付款的，供应商对此予以谅解不得追究采购人的逾期付款责任。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pacing w:val="15"/>
          <w:sz w:val="28"/>
          <w:szCs w:val="28"/>
          <w:highlight w:val="none"/>
        </w:rPr>
      </w:pPr>
      <w:r>
        <w:rPr>
          <w:rFonts w:hint="default" w:ascii="Times New Roman" w:hAnsi="Times New Roman" w:eastAsia="宋体" w:cs="Times New Roman"/>
          <w:b/>
          <w:bCs/>
          <w:spacing w:val="15"/>
          <w:sz w:val="28"/>
          <w:szCs w:val="28"/>
          <w:highlight w:val="none"/>
        </w:rPr>
        <w:t>3.</w:t>
      </w:r>
      <w:r>
        <w:rPr>
          <w:rFonts w:hint="eastAsia" w:ascii="Times New Roman" w:hAnsi="Times New Roman" w:eastAsia="宋体" w:cs="Times New Roman"/>
          <w:b/>
          <w:bCs/>
          <w:spacing w:val="15"/>
          <w:sz w:val="28"/>
          <w:szCs w:val="28"/>
          <w:highlight w:val="none"/>
          <w:lang w:val="en-US" w:eastAsia="zh-CN"/>
        </w:rPr>
        <w:t>3</w:t>
      </w:r>
      <w:r>
        <w:rPr>
          <w:rFonts w:hint="default" w:ascii="Times New Roman" w:hAnsi="Times New Roman" w:eastAsia="宋体" w:cs="Times New Roman"/>
          <w:b/>
          <w:bCs/>
          <w:spacing w:val="15"/>
          <w:sz w:val="28"/>
          <w:szCs w:val="28"/>
          <w:highlight w:val="none"/>
        </w:rPr>
        <w:t>商务要求（说明：由采购人依据项目具体需求制定）</w:t>
      </w:r>
    </w:p>
    <w:p>
      <w:pPr>
        <w:keepNext w:val="0"/>
        <w:keepLines w:val="0"/>
        <w:pageBreakBefore w:val="0"/>
        <w:widowControl/>
        <w:kinsoku/>
        <w:wordWrap/>
        <w:overflowPunct/>
        <w:topLinePunct w:val="0"/>
        <w:autoSpaceDE w:val="0"/>
        <w:autoSpaceDN w:val="0"/>
        <w:bidi w:val="0"/>
        <w:adjustRightInd w:val="0"/>
        <w:snapToGrid w:val="0"/>
        <w:spacing w:line="360" w:lineRule="auto"/>
        <w:ind w:left="6"/>
        <w:textAlignment w:val="baseline"/>
        <w:rPr>
          <w:rFonts w:ascii="宋体" w:hAnsi="宋体" w:eastAsia="宋体" w:cs="宋体"/>
          <w:color w:val="000000" w:themeColor="text1"/>
          <w:sz w:val="21"/>
          <w:szCs w:val="21"/>
          <w14:textFill>
            <w14:solidFill>
              <w14:schemeClr w14:val="tx1"/>
            </w14:solidFill>
          </w14:textFill>
        </w:rPr>
      </w:pPr>
      <w:r>
        <w:rPr>
          <w:rFonts w:ascii="Microsoft JhengHei" w:hAnsi="Microsoft JhengHei" w:eastAsia="Microsoft JhengHei" w:cs="Microsoft JhengHei"/>
          <w:b/>
          <w:bCs/>
          <w:spacing w:val="14"/>
          <w:position w:val="14"/>
          <w:sz w:val="21"/>
          <w:szCs w:val="21"/>
        </w:rPr>
        <w:t>3.3.1</w:t>
      </w:r>
      <w:r>
        <w:rPr>
          <w:rFonts w:ascii="宋体" w:hAnsi="宋体" w:eastAsia="宋体" w:cs="宋体"/>
          <w:color w:val="000000" w:themeColor="text1"/>
          <w:spacing w:val="14"/>
          <w:position w:val="14"/>
          <w:sz w:val="21"/>
          <w:szCs w:val="21"/>
          <w14:textFill>
            <w14:solidFill>
              <w14:schemeClr w14:val="tx1"/>
            </w14:solidFill>
          </w14:textFill>
        </w:rPr>
        <w:t>服务期限</w:t>
      </w:r>
    </w:p>
    <w:p>
      <w:pPr>
        <w:keepNext w:val="0"/>
        <w:keepLines w:val="0"/>
        <w:pageBreakBefore w:val="0"/>
        <w:widowControl/>
        <w:kinsoku/>
        <w:wordWrap/>
        <w:overflowPunct/>
        <w:topLinePunct w:val="0"/>
        <w:autoSpaceDE w:val="0"/>
        <w:autoSpaceDN w:val="0"/>
        <w:bidi w:val="0"/>
        <w:adjustRightInd w:val="0"/>
        <w:snapToGrid w:val="0"/>
        <w:spacing w:line="360" w:lineRule="auto"/>
        <w:ind w:left="384"/>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采购包</w:t>
      </w:r>
      <w:r>
        <w:rPr>
          <w:rFonts w:ascii="Lucida Sans Unicode" w:hAnsi="Lucida Sans Unicode" w:eastAsia="Lucida Sans Unicode" w:cs="Lucida Sans Unicode"/>
          <w:color w:val="000000" w:themeColor="text1"/>
          <w:sz w:val="21"/>
          <w:szCs w:val="21"/>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合同签订后两年 </w:t>
      </w:r>
    </w:p>
    <w:p>
      <w:pPr>
        <w:keepNext w:val="0"/>
        <w:keepLines w:val="0"/>
        <w:pageBreakBefore w:val="0"/>
        <w:widowControl/>
        <w:kinsoku/>
        <w:wordWrap/>
        <w:overflowPunct/>
        <w:topLinePunct w:val="0"/>
        <w:autoSpaceDE w:val="0"/>
        <w:autoSpaceDN w:val="0"/>
        <w:bidi w:val="0"/>
        <w:adjustRightInd w:val="0"/>
        <w:snapToGrid w:val="0"/>
        <w:spacing w:line="360" w:lineRule="auto"/>
        <w:ind w:left="6"/>
        <w:textAlignment w:val="baseline"/>
        <w:outlineLvl w:val="3"/>
        <w:rPr>
          <w:rFonts w:ascii="宋体" w:hAnsi="宋体" w:eastAsia="宋体" w:cs="宋体"/>
          <w:color w:val="000000" w:themeColor="text1"/>
          <w:sz w:val="21"/>
          <w:szCs w:val="21"/>
          <w14:textFill>
            <w14:solidFill>
              <w14:schemeClr w14:val="tx1"/>
            </w14:solidFill>
          </w14:textFill>
        </w:rPr>
      </w:pPr>
      <w:r>
        <w:rPr>
          <w:rFonts w:ascii="Microsoft JhengHei" w:hAnsi="Microsoft JhengHei" w:eastAsia="Microsoft JhengHei" w:cs="Microsoft JhengHei"/>
          <w:b/>
          <w:bCs/>
          <w:color w:val="000000" w:themeColor="text1"/>
          <w:spacing w:val="14"/>
          <w:sz w:val="21"/>
          <w:szCs w:val="21"/>
          <w14:textFill>
            <w14:solidFill>
              <w14:schemeClr w14:val="tx1"/>
            </w14:solidFill>
          </w14:textFill>
        </w:rPr>
        <w:t>3.3.2</w:t>
      </w:r>
      <w:r>
        <w:rPr>
          <w:rFonts w:ascii="宋体" w:hAnsi="宋体" w:eastAsia="宋体" w:cs="宋体"/>
          <w:color w:val="000000" w:themeColor="text1"/>
          <w:spacing w:val="14"/>
          <w:sz w:val="21"/>
          <w:szCs w:val="21"/>
          <w14:textFill>
            <w14:solidFill>
              <w14:schemeClr w14:val="tx1"/>
            </w14:solidFill>
          </w14:textFill>
        </w:rPr>
        <w:t>服务地点</w:t>
      </w:r>
    </w:p>
    <w:p>
      <w:pPr>
        <w:keepNext w:val="0"/>
        <w:keepLines w:val="0"/>
        <w:pageBreakBefore w:val="0"/>
        <w:widowControl/>
        <w:kinsoku/>
        <w:wordWrap/>
        <w:overflowPunct/>
        <w:topLinePunct w:val="0"/>
        <w:autoSpaceDE w:val="0"/>
        <w:autoSpaceDN w:val="0"/>
        <w:bidi w:val="0"/>
        <w:adjustRightInd w:val="0"/>
        <w:snapToGrid w:val="0"/>
        <w:spacing w:line="360" w:lineRule="auto"/>
        <w:ind w:left="384"/>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采购包</w:t>
      </w:r>
      <w:r>
        <w:rPr>
          <w:rFonts w:ascii="Lucida Sans Unicode" w:hAnsi="Lucida Sans Unicode" w:eastAsia="Lucida Sans Unicode" w:cs="Lucida Sans Unicode"/>
          <w:color w:val="000000" w:themeColor="text1"/>
          <w:sz w:val="21"/>
          <w:szCs w:val="21"/>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：采购人指定地点</w:t>
      </w:r>
    </w:p>
    <w:p>
      <w:pPr>
        <w:keepNext w:val="0"/>
        <w:keepLines w:val="0"/>
        <w:pageBreakBefore w:val="0"/>
        <w:widowControl/>
        <w:kinsoku/>
        <w:wordWrap/>
        <w:overflowPunct/>
        <w:topLinePunct w:val="0"/>
        <w:autoSpaceDE w:val="0"/>
        <w:autoSpaceDN w:val="0"/>
        <w:bidi w:val="0"/>
        <w:adjustRightInd w:val="0"/>
        <w:snapToGrid w:val="0"/>
        <w:spacing w:line="360" w:lineRule="auto"/>
        <w:ind w:left="6"/>
        <w:textAlignment w:val="baseline"/>
        <w:rPr>
          <w:rFonts w:ascii="宋体" w:hAnsi="宋体" w:eastAsia="宋体" w:cs="宋体"/>
          <w:sz w:val="21"/>
          <w:szCs w:val="21"/>
        </w:rPr>
      </w:pPr>
      <w:r>
        <w:rPr>
          <w:rFonts w:ascii="Microsoft JhengHei" w:hAnsi="Microsoft JhengHei" w:eastAsia="Microsoft JhengHei" w:cs="Microsoft JhengHei"/>
          <w:b/>
          <w:bCs/>
          <w:spacing w:val="14"/>
          <w:position w:val="14"/>
          <w:sz w:val="21"/>
          <w:szCs w:val="21"/>
        </w:rPr>
        <w:t>3.3.3</w:t>
      </w:r>
      <w:r>
        <w:rPr>
          <w:rFonts w:hint="eastAsia" w:ascii="宋体" w:hAnsi="宋体" w:eastAsia="宋体" w:cs="宋体"/>
          <w:spacing w:val="14"/>
          <w:position w:val="14"/>
          <w:sz w:val="21"/>
          <w:szCs w:val="21"/>
          <w:lang w:val="en-US" w:eastAsia="zh-CN"/>
        </w:rPr>
        <w:t>检查</w:t>
      </w:r>
      <w:r>
        <w:rPr>
          <w:rFonts w:ascii="宋体" w:hAnsi="宋体" w:eastAsia="宋体" w:cs="宋体"/>
          <w:spacing w:val="14"/>
          <w:position w:val="14"/>
          <w:sz w:val="21"/>
          <w:szCs w:val="21"/>
        </w:rPr>
        <w:t>（验收）标准和方法</w:t>
      </w:r>
    </w:p>
    <w:p>
      <w:pPr>
        <w:keepNext w:val="0"/>
        <w:keepLines w:val="0"/>
        <w:pageBreakBefore w:val="0"/>
        <w:widowControl/>
        <w:kinsoku/>
        <w:wordWrap/>
        <w:overflowPunct/>
        <w:topLinePunct w:val="0"/>
        <w:autoSpaceDE w:val="0"/>
        <w:autoSpaceDN w:val="0"/>
        <w:bidi w:val="0"/>
        <w:adjustRightInd w:val="0"/>
        <w:snapToGrid w:val="0"/>
        <w:spacing w:line="360" w:lineRule="auto"/>
        <w:ind w:left="384"/>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采购包</w:t>
      </w:r>
      <w:r>
        <w:rPr>
          <w:rFonts w:ascii="Lucida Sans Unicode" w:hAnsi="Lucida Sans Unicode" w:eastAsia="Lucida Sans Unicode" w:cs="Lucida Sans Unicode"/>
          <w:color w:val="000000" w:themeColor="text1"/>
          <w:sz w:val="21"/>
          <w:szCs w:val="21"/>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6"/>
        <w:textAlignment w:val="baseline"/>
        <w:outlineLvl w:val="3"/>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采购人单位根据有关服务规范规定，不定期对服务方的服务进行检查，承包人须无条件的接受采购人的各类检查；若审查不通过或质量不合格，承包人应在一定期限进行整改完善，以采购人要求的标准提供合格服务；若承包人在接受检查整改后，仍不能提供符合采购要求的合格服务，采购人有权按违约予以撤项</w:t>
      </w:r>
      <w:r>
        <w:rPr>
          <w:rFonts w:hint="eastAsia" w:ascii="宋体" w:hAnsi="宋体" w:eastAsia="宋体" w:cs="宋体"/>
          <w:color w:val="000000" w:themeColor="text1"/>
          <w:spacing w:val="-1"/>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6"/>
        <w:textAlignment w:val="baseline"/>
        <w:outlineLvl w:val="3"/>
        <w:rPr>
          <w:rFonts w:ascii="宋体" w:hAnsi="宋体" w:eastAsia="宋体" w:cs="宋体"/>
          <w:color w:val="000000" w:themeColor="text1"/>
          <w:sz w:val="21"/>
          <w:szCs w:val="21"/>
          <w14:textFill>
            <w14:solidFill>
              <w14:schemeClr w14:val="tx1"/>
            </w14:solidFill>
          </w14:textFill>
        </w:rPr>
      </w:pPr>
      <w:r>
        <w:rPr>
          <w:rFonts w:ascii="Microsoft JhengHei" w:hAnsi="Microsoft JhengHei" w:eastAsia="Microsoft JhengHei" w:cs="Microsoft JhengHei"/>
          <w:b/>
          <w:bCs/>
          <w:color w:val="000000" w:themeColor="text1"/>
          <w:spacing w:val="14"/>
          <w:sz w:val="21"/>
          <w:szCs w:val="21"/>
          <w14:textFill>
            <w14:solidFill>
              <w14:schemeClr w14:val="tx1"/>
            </w14:solidFill>
          </w14:textFill>
        </w:rPr>
        <w:t>3.3.4</w:t>
      </w:r>
      <w:r>
        <w:rPr>
          <w:rFonts w:ascii="宋体" w:hAnsi="宋体" w:eastAsia="宋体" w:cs="宋体"/>
          <w:color w:val="000000" w:themeColor="text1"/>
          <w:spacing w:val="14"/>
          <w:sz w:val="21"/>
          <w:szCs w:val="21"/>
          <w14:textFill>
            <w14:solidFill>
              <w14:schemeClr w14:val="tx1"/>
            </w14:solidFill>
          </w14:textFill>
        </w:rPr>
        <w:t>支付方式</w:t>
      </w:r>
    </w:p>
    <w:p>
      <w:pPr>
        <w:keepNext w:val="0"/>
        <w:keepLines w:val="0"/>
        <w:pageBreakBefore w:val="0"/>
        <w:widowControl/>
        <w:kinsoku/>
        <w:wordWrap/>
        <w:overflowPunct/>
        <w:topLinePunct w:val="0"/>
        <w:autoSpaceDE w:val="0"/>
        <w:autoSpaceDN w:val="0"/>
        <w:bidi w:val="0"/>
        <w:adjustRightInd w:val="0"/>
        <w:snapToGrid w:val="0"/>
        <w:spacing w:line="360" w:lineRule="auto"/>
        <w:ind w:left="384"/>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position w:val="14"/>
          <w:sz w:val="21"/>
          <w:szCs w:val="21"/>
          <w14:textFill>
            <w14:solidFill>
              <w14:schemeClr w14:val="tx1"/>
            </w14:solidFill>
          </w14:textFill>
        </w:rPr>
        <w:t>采购包</w:t>
      </w:r>
      <w:r>
        <w:rPr>
          <w:rFonts w:ascii="Lucida Sans Unicode" w:hAnsi="Lucida Sans Unicode" w:eastAsia="Lucida Sans Unicode" w:cs="Lucida Sans Unicode"/>
          <w:color w:val="000000" w:themeColor="text1"/>
          <w:position w:val="14"/>
          <w:sz w:val="21"/>
          <w:szCs w:val="21"/>
          <w14:textFill>
            <w14:solidFill>
              <w14:schemeClr w14:val="tx1"/>
            </w14:solidFill>
          </w14:textFill>
        </w:rPr>
        <w:t>1</w:t>
      </w:r>
      <w:r>
        <w:rPr>
          <w:rFonts w:ascii="宋体" w:hAnsi="宋体" w:eastAsia="宋体" w:cs="宋体"/>
          <w:color w:val="000000" w:themeColor="text1"/>
          <w:position w:val="14"/>
          <w:sz w:val="21"/>
          <w:szCs w:val="21"/>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387"/>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分期付款</w:t>
      </w:r>
    </w:p>
    <w:p>
      <w:pPr>
        <w:keepNext w:val="0"/>
        <w:keepLines w:val="0"/>
        <w:pageBreakBefore w:val="0"/>
        <w:widowControl/>
        <w:kinsoku/>
        <w:wordWrap/>
        <w:overflowPunct/>
        <w:topLinePunct w:val="0"/>
        <w:autoSpaceDE w:val="0"/>
        <w:autoSpaceDN w:val="0"/>
        <w:bidi w:val="0"/>
        <w:adjustRightInd w:val="0"/>
        <w:snapToGrid w:val="0"/>
        <w:spacing w:line="360" w:lineRule="auto"/>
        <w:ind w:left="6"/>
        <w:textAlignment w:val="baseline"/>
        <w:outlineLvl w:val="3"/>
        <w:rPr>
          <w:rFonts w:ascii="宋体" w:hAnsi="宋体" w:eastAsia="宋体" w:cs="宋体"/>
          <w:color w:val="000000" w:themeColor="text1"/>
          <w:sz w:val="21"/>
          <w:szCs w:val="21"/>
          <w14:textFill>
            <w14:solidFill>
              <w14:schemeClr w14:val="tx1"/>
            </w14:solidFill>
          </w14:textFill>
        </w:rPr>
      </w:pPr>
      <w:r>
        <w:rPr>
          <w:rFonts w:ascii="Microsoft JhengHei" w:hAnsi="Microsoft JhengHei" w:eastAsia="Microsoft JhengHei" w:cs="Microsoft JhengHei"/>
          <w:b/>
          <w:bCs/>
          <w:color w:val="000000" w:themeColor="text1"/>
          <w:spacing w:val="14"/>
          <w:sz w:val="21"/>
          <w:szCs w:val="21"/>
          <w14:textFill>
            <w14:solidFill>
              <w14:schemeClr w14:val="tx1"/>
            </w14:solidFill>
          </w14:textFill>
        </w:rPr>
        <w:t>3.3.5</w:t>
      </w:r>
      <w:r>
        <w:rPr>
          <w:rFonts w:ascii="宋体" w:hAnsi="宋体" w:eastAsia="宋体" w:cs="宋体"/>
          <w:color w:val="000000" w:themeColor="text1"/>
          <w:spacing w:val="14"/>
          <w:sz w:val="21"/>
          <w:szCs w:val="21"/>
          <w14:textFill>
            <w14:solidFill>
              <w14:schemeClr w14:val="tx1"/>
            </w14:solidFill>
          </w14:textFill>
        </w:rPr>
        <w:t>支付约定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16" w:firstLineChars="200"/>
        <w:textAlignment w:val="baseline"/>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采购包1：付款条件说明</w:t>
      </w:r>
      <w:r>
        <w:rPr>
          <w:rFonts w:hint="eastAsia" w:ascii="宋体" w:hAnsi="宋体" w:eastAsia="宋体" w:cs="宋体"/>
          <w:color w:val="000000" w:themeColor="text1"/>
          <w:spacing w:val="-1"/>
          <w:sz w:val="21"/>
          <w:szCs w:val="21"/>
          <w:lang w:eastAsia="zh-CN"/>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合同签订后10个工作日内，甲方向乙方支付合同金额的</w:t>
      </w:r>
      <w:r>
        <w:rPr>
          <w:rFonts w:hint="eastAsia" w:ascii="宋体" w:hAnsi="宋体" w:eastAsia="宋体" w:cs="宋体"/>
          <w:color w:val="000000" w:themeColor="text1"/>
          <w:spacing w:val="-1"/>
          <w:sz w:val="21"/>
          <w:szCs w:val="21"/>
          <w:lang w:val="en-US" w:eastAsia="zh-CN"/>
          <w14:textFill>
            <w14:solidFill>
              <w14:schemeClr w14:val="tx1"/>
            </w14:solidFill>
          </w14:textFill>
        </w:rPr>
        <w:t>7</w:t>
      </w:r>
      <w:r>
        <w:rPr>
          <w:rFonts w:hint="eastAsia" w:ascii="宋体" w:hAnsi="宋体" w:eastAsia="宋体" w:cs="宋体"/>
          <w:color w:val="000000" w:themeColor="text1"/>
          <w:spacing w:val="-1"/>
          <w:sz w:val="21"/>
          <w:szCs w:val="21"/>
          <w14:textFill>
            <w14:solidFill>
              <w14:schemeClr w14:val="tx1"/>
            </w14:solidFill>
          </w14:textFill>
        </w:rPr>
        <w:t>0%</w:t>
      </w:r>
      <w:r>
        <w:rPr>
          <w:rFonts w:hint="eastAsia" w:ascii="宋体" w:hAnsi="宋体" w:eastAsia="宋体" w:cs="宋体"/>
          <w:color w:val="000000" w:themeColor="text1"/>
          <w:spacing w:val="-1"/>
          <w:sz w:val="21"/>
          <w:szCs w:val="21"/>
          <w:lang w:eastAsia="zh-CN"/>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 xml:space="preserve"> 服务期限满1年后，甲方向乙方支付合同金额的</w:t>
      </w:r>
      <w:r>
        <w:rPr>
          <w:rFonts w:hint="eastAsia" w:ascii="宋体" w:hAnsi="宋体" w:eastAsia="宋体" w:cs="宋体"/>
          <w:color w:val="000000" w:themeColor="text1"/>
          <w:spacing w:val="-1"/>
          <w:sz w:val="21"/>
          <w:szCs w:val="21"/>
          <w:lang w:val="en-US" w:eastAsia="zh-CN"/>
          <w14:textFill>
            <w14:solidFill>
              <w14:schemeClr w14:val="tx1"/>
            </w14:solidFill>
          </w14:textFill>
        </w:rPr>
        <w:t>25</w:t>
      </w:r>
      <w:r>
        <w:rPr>
          <w:rFonts w:hint="eastAsia" w:ascii="宋体" w:hAnsi="宋体" w:eastAsia="宋体" w:cs="宋体"/>
          <w:color w:val="000000" w:themeColor="text1"/>
          <w:spacing w:val="-1"/>
          <w:sz w:val="21"/>
          <w:szCs w:val="21"/>
          <w14:textFill>
            <w14:solidFill>
              <w14:schemeClr w14:val="tx1"/>
            </w14:solidFill>
          </w14:textFill>
        </w:rPr>
        <w:t>%；服务期限结束后，甲方向乙方支付合同金额的5%</w:t>
      </w:r>
      <w:r>
        <w:rPr>
          <w:rFonts w:hint="eastAsia" w:ascii="宋体" w:hAnsi="宋体" w:eastAsia="宋体" w:cs="宋体"/>
          <w:color w:val="000000" w:themeColor="text1"/>
          <w:spacing w:val="-1"/>
          <w:sz w:val="21"/>
          <w:szCs w:val="21"/>
          <w:lang w:eastAsia="zh-CN"/>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 xml:space="preserve"> 乙方须向甲方出具合法有效的完税发票，甲方进行支付结算。</w:t>
      </w:r>
    </w:p>
    <w:p>
      <w:pPr>
        <w:keepNext w:val="0"/>
        <w:keepLines w:val="0"/>
        <w:pageBreakBefore w:val="0"/>
        <w:widowControl/>
        <w:kinsoku/>
        <w:wordWrap/>
        <w:overflowPunct/>
        <w:topLinePunct w:val="0"/>
        <w:autoSpaceDE w:val="0"/>
        <w:autoSpaceDN w:val="0"/>
        <w:bidi w:val="0"/>
        <w:adjustRightInd w:val="0"/>
        <w:snapToGrid w:val="0"/>
        <w:spacing w:line="360" w:lineRule="auto"/>
        <w:ind w:left="6"/>
        <w:textAlignment w:val="baseline"/>
        <w:outlineLvl w:val="3"/>
        <w:rPr>
          <w:rFonts w:ascii="宋体" w:hAnsi="宋体" w:eastAsia="宋体" w:cs="宋体"/>
          <w:sz w:val="21"/>
          <w:szCs w:val="21"/>
        </w:rPr>
      </w:pPr>
      <w:r>
        <w:rPr>
          <w:rFonts w:ascii="Microsoft JhengHei" w:hAnsi="Microsoft JhengHei" w:eastAsia="Microsoft JhengHei" w:cs="Microsoft JhengHei"/>
          <w:b/>
          <w:bCs/>
          <w:spacing w:val="14"/>
          <w:sz w:val="21"/>
          <w:szCs w:val="21"/>
        </w:rPr>
        <w:t>3.3.6</w:t>
      </w:r>
      <w:r>
        <w:rPr>
          <w:rFonts w:ascii="宋体" w:hAnsi="宋体" w:eastAsia="宋体" w:cs="宋体"/>
          <w:spacing w:val="14"/>
          <w:sz w:val="21"/>
          <w:szCs w:val="21"/>
        </w:rPr>
        <w:t>违约责任及解决争议的方法</w:t>
      </w:r>
    </w:p>
    <w:p>
      <w:pPr>
        <w:keepNext w:val="0"/>
        <w:keepLines w:val="0"/>
        <w:pageBreakBefore w:val="0"/>
        <w:widowControl/>
        <w:kinsoku/>
        <w:wordWrap/>
        <w:overflowPunct/>
        <w:topLinePunct w:val="0"/>
        <w:autoSpaceDE w:val="0"/>
        <w:autoSpaceDN w:val="0"/>
        <w:bidi w:val="0"/>
        <w:adjustRightInd w:val="0"/>
        <w:snapToGrid w:val="0"/>
        <w:spacing w:line="360" w:lineRule="auto"/>
        <w:ind w:left="384"/>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采购包1：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firstLine="420" w:firstLineChars="200"/>
        <w:textAlignment w:val="baseline"/>
        <w:outlineLvl w:val="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违约责任 1、甲乙双方必须遵守本合同并执行合同中的各项规定，保证本合同的正常履行。 2、乙方未于甲方指定时间将本合同约定花卉交付至甲方指定地点的，甲方有权拒绝向乙方支付合同款项。 3、乙方提供的货物存在质量问题，应及时更换。乙方未按照甲方要求更换或更换仍不能满足甲方要求的，甲方有权拒绝支付合同款项并要求乙方承担因此给甲方造成的全部损失的（包括但不限于直接损失、间接损失及甲方因实现权利而产生的诉讼费、律师费、保全费等）。 4、甲、乙双方因不可抗力不能履行合同时，应当及时通知对方，并在合理期内提供有关证明，双方可协商全部或部分免除违约方的责任。 5、如因乙方工作人员在履行职务过程中的的疏忽、失职、过错等故意或者过失原因给甲方造成损失或侵害，包括但不限于甲方本身的财产损失、由此而导致的甲方对任何第三方的法律责任等，乙方对此均应承担全部的赔偿责任。 解决合同纠纷的方式 1、合同一经签订，不得随意变更、中止或终止；对确需变更、调整或者中止、终止合同的，应按规定履行相应的手续；在执行本合同中发生的或与本合同有关的争端，双方应通过友好协商解决，经协商不能达成协议时，则采取以下第 1 种方式解决争议： （1）向甲方所在地有管辖权的人民法院提起诉讼； （2）向西安仲裁委员会按其仲裁规则申请仲裁。 2、在仲裁期间，除双方有争议的部分外，本合同其他部分仍然有效，各方应继续履行。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firstLine="622" w:firstLineChars="200"/>
        <w:textAlignment w:val="baseline"/>
        <w:outlineLvl w:val="1"/>
        <w:rPr>
          <w:rFonts w:hint="default" w:ascii="Times New Roman" w:hAnsi="Times New Roman" w:eastAsia="宋体" w:cs="Times New Roman"/>
          <w:b/>
          <w:bCs/>
          <w:color w:val="000000" w:themeColor="text1"/>
          <w:spacing w:val="15"/>
          <w:sz w:val="28"/>
          <w:szCs w:val="28"/>
          <w:highlight w:val="none"/>
          <w14:textFill>
            <w14:solidFill>
              <w14:schemeClr w14:val="tx1"/>
            </w14:solidFill>
          </w14:textFill>
        </w:rPr>
      </w:pPr>
      <w:r>
        <w:rPr>
          <w:rFonts w:hint="default" w:ascii="Times New Roman" w:hAnsi="Times New Roman" w:eastAsia="宋体" w:cs="Times New Roman"/>
          <w:b/>
          <w:bCs/>
          <w:color w:val="000000" w:themeColor="text1"/>
          <w:spacing w:val="15"/>
          <w:sz w:val="28"/>
          <w:szCs w:val="28"/>
          <w:highlight w:val="none"/>
          <w14:textFill>
            <w14:solidFill>
              <w14:schemeClr w14:val="tx1"/>
            </w14:solidFill>
          </w14:textFill>
        </w:rPr>
        <w:t>3.</w:t>
      </w:r>
      <w:r>
        <w:rPr>
          <w:rFonts w:hint="eastAsia" w:ascii="Times New Roman" w:hAnsi="Times New Roman" w:eastAsia="宋体" w:cs="Times New Roman"/>
          <w:b/>
          <w:bCs/>
          <w:color w:val="000000" w:themeColor="text1"/>
          <w:spacing w:val="15"/>
          <w:sz w:val="28"/>
          <w:szCs w:val="28"/>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pacing w:val="15"/>
          <w:sz w:val="28"/>
          <w:szCs w:val="28"/>
          <w:highlight w:val="none"/>
          <w14:textFill>
            <w14:solidFill>
              <w14:schemeClr w14:val="tx1"/>
            </w14:solidFill>
          </w14:textFill>
        </w:rPr>
        <w:t>其他要求</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为顺利推进政府采购电子化交易平台试点应用工作，供应商需要在线提交所有通过电子化交易平台实施的政府采购项目的响应文件，磋商响应时无需供应商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莲湖区丰登南路9号怡景花园酒店A座2层招标一部。</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供应商的磋商报价是供应商响应磋商项目要求的全部工作内容的价格体现，包括供应商完成本项目所需的直接费、间接费、利润、税金及其它相关的一切费用。包括但不限于：人工费、设备费、管理费、验收费、采购代理服务费、利润和税金等全部费 用。在提供服务的过程中的任何遗漏，均由成交供应商免费提供，采购人将不再支付任何费用。</w:t>
      </w:r>
    </w:p>
    <w:p>
      <w:pPr>
        <w:pStyle w:val="2"/>
        <w:numPr>
          <w:ilvl w:val="0"/>
          <w:numId w:val="3"/>
        </w:numPr>
        <w:spacing w:line="360" w:lineRule="auto"/>
        <w:ind w:left="11" w:leftChars="0" w:firstLine="420" w:firstLineChars="200"/>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t>磋商有效期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1.</w:t>
      </w: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出现特殊情况需要延</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，递交磋商保证金的，</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供应商有权收回其磋商保证金。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在磋商有效期内，供应商撤销响应文件的，应承担磋商文件和法律规定的责任。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成交供应商的磋商有效期自</w:t>
      </w: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动延长至合同终止为止。</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11" w:right="136" w:firstLine="422" w:firstLineChars="200"/>
        <w:textAlignment w:val="baseline"/>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合格供应商少于3家的处理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1.评审过程中，若出现合格供应商只有2家时，符合《政府采购竞争性磋商采购方式管理暂行办法》第3条第4项情形的，或者本项目为政府购买服务指导性目录中的，可以继续进行；只有1家时，采购人应依法重新组织采购活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2.评审过程中，除符合第1条条款规定情形外，若出现合格供应商少于3家时，采购人应依法重新组织采购活动。</w:t>
      </w:r>
    </w:p>
    <w:p>
      <w:pPr>
        <w:pStyle w:val="2"/>
        <w:numPr>
          <w:ilvl w:val="0"/>
          <w:numId w:val="3"/>
        </w:numPr>
        <w:spacing w:line="360" w:lineRule="auto"/>
        <w:ind w:left="11" w:leftChars="0" w:firstLine="422" w:firstLineChars="200"/>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w:t>
      </w:r>
    </w:p>
    <w:p>
      <w:pPr>
        <w:pStyle w:val="2"/>
        <w:numPr>
          <w:ilvl w:val="0"/>
          <w:numId w:val="3"/>
        </w:numPr>
        <w:spacing w:line="360" w:lineRule="auto"/>
        <w:ind w:left="11" w:leftChars="0" w:firstLine="422" w:firstLineChars="200"/>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恶意质疑、投诉的法律后果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1.对捏造事实、提供虚假材料进行质疑、投诉的行为将予以严肃处理：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2.对捏造事实诬告陷害他人、诽谤他人的法律适用：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（1）《中华人民共和国刑法》第243条【诬告陷害罪】捏造事实诬告陷害他人，意图使他人受刑事追究，情节严重的，处三年以下有期徒刑、拘役或者管制；造成严重后果的，处三年以上十年以下有期徒刑。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（2）《中华人民共和国刑法》第246条【侮辱罪、诽谤罪】以暴力或者其他方法公然侮辱他人或者捏造事实诽谤他人，情节严重的，处三年以下有期徒刑、拘役、管制或者剥夺政治权利。</w:t>
      </w:r>
    </w:p>
    <w:p>
      <w:pPr>
        <w:spacing w:line="217" w:lineRule="auto"/>
        <w:rPr>
          <w:rFonts w:ascii="宋体" w:hAnsi="宋体" w:eastAsia="宋体" w:cs="宋体"/>
          <w:color w:val="000000" w:themeColor="text1"/>
          <w:sz w:val="18"/>
          <w:szCs w:val="18"/>
          <w:highlight w:val="none"/>
          <w14:textFill>
            <w14:solidFill>
              <w14:schemeClr w14:val="tx1"/>
            </w14:solidFill>
          </w14:textFill>
        </w:rPr>
        <w:sectPr>
          <w:footerReference r:id="rId7" w:type="default"/>
          <w:pgSz w:w="11900" w:h="16840"/>
          <w:pgMar w:top="1440" w:right="1080" w:bottom="1440" w:left="1080" w:header="0" w:footer="0" w:gutter="0"/>
          <w:cols w:space="720" w:num="1"/>
        </w:sectPr>
      </w:pPr>
    </w:p>
    <w:p>
      <w:pPr>
        <w:spacing w:before="58" w:line="220" w:lineRule="auto"/>
        <w:jc w:val="center"/>
        <w:outlineLvl w:val="0"/>
        <w:rPr>
          <w:rFonts w:ascii="宋体" w:hAnsi="宋体" w:eastAsia="宋体" w:cs="宋体"/>
          <w:spacing w:val="6"/>
          <w:sz w:val="29"/>
          <w:szCs w:val="29"/>
          <w:highlight w:val="none"/>
        </w:rPr>
      </w:pPr>
      <w:r>
        <w:rPr>
          <w:rFonts w:ascii="宋体" w:hAnsi="宋体" w:eastAsia="宋体" w:cs="宋体"/>
          <w:spacing w:val="6"/>
          <w:sz w:val="29"/>
          <w:szCs w:val="29"/>
          <w:highlight w:val="none"/>
        </w:rPr>
        <w:t>第四章 资格审查</w:t>
      </w:r>
    </w:p>
    <w:p>
      <w:pPr>
        <w:pStyle w:val="3"/>
        <w:spacing w:line="353" w:lineRule="auto"/>
        <w:rPr>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资格审查由采购人或代理机构组建的资格审查小组依据法律法规和磋商文件的规定，对响应文件中的资格证明等进行审查，以确定投标人是否具备投标资格，并出具资格审查报告。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资格审查标准及要求如下：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pacing w:val="15"/>
          <w:sz w:val="28"/>
          <w:szCs w:val="28"/>
          <w:highlight w:val="none"/>
        </w:rPr>
      </w:pPr>
      <w:r>
        <w:rPr>
          <w:rFonts w:hint="default" w:ascii="Times New Roman" w:hAnsi="Times New Roman" w:eastAsia="宋体" w:cs="Times New Roman"/>
          <w:b/>
          <w:bCs/>
          <w:spacing w:val="15"/>
          <w:sz w:val="28"/>
          <w:szCs w:val="28"/>
          <w:highlight w:val="none"/>
        </w:rPr>
        <w:t>4.1一般资格审查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采购包1：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3480"/>
        <w:gridCol w:w="356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pStyle w:val="21"/>
              <w:widowControl w:val="0"/>
              <w:spacing w:before="82" w:line="221" w:lineRule="auto"/>
              <w:ind w:left="91" w:leftChars="0"/>
              <w:jc w:val="center"/>
              <w:rPr>
                <w:rFonts w:hint="default" w:ascii="宋体" w:hAnsi="宋体" w:eastAsia="宋体" w:cs="宋体"/>
                <w:snapToGrid w:val="0"/>
                <w:color w:val="000000" w:themeColor="text1"/>
                <w:kern w:val="0"/>
                <w:sz w:val="18"/>
                <w:szCs w:val="18"/>
                <w:highlight w:val="none"/>
                <w:lang w:val="en-US" w:eastAsia="en-US" w:bidi="ar-SA"/>
                <w14:textFill>
                  <w14:solidFill>
                    <w14:schemeClr w14:val="tx1"/>
                  </w14:solidFill>
                </w14:textFill>
              </w:rPr>
            </w:pPr>
            <w:r>
              <w:rPr>
                <w:color w:val="000000" w:themeColor="text1"/>
                <w:spacing w:val="1"/>
                <w:sz w:val="18"/>
                <w:szCs w:val="18"/>
                <w:highlight w:val="none"/>
                <w14:textFill>
                  <w14:solidFill>
                    <w14:schemeClr w14:val="tx1"/>
                  </w14:solidFill>
                </w14:textFill>
              </w:rPr>
              <w:t>序号</w:t>
            </w:r>
          </w:p>
        </w:tc>
        <w:tc>
          <w:tcPr>
            <w:tcW w:w="3480" w:type="dxa"/>
            <w:vAlign w:val="center"/>
          </w:tcPr>
          <w:p>
            <w:pPr>
              <w:pStyle w:val="21"/>
              <w:widowControl w:val="0"/>
              <w:spacing w:before="83" w:line="219" w:lineRule="auto"/>
              <w:ind w:left="95" w:leftChars="0"/>
              <w:jc w:val="center"/>
              <w:rPr>
                <w:rFonts w:hint="default" w:ascii="宋体" w:hAnsi="宋体" w:eastAsia="宋体" w:cs="宋体"/>
                <w:snapToGrid w:val="0"/>
                <w:color w:val="000000" w:themeColor="text1"/>
                <w:kern w:val="0"/>
                <w:sz w:val="18"/>
                <w:szCs w:val="18"/>
                <w:highlight w:val="none"/>
                <w:lang w:val="en-US" w:eastAsia="en-US" w:bidi="ar-SA"/>
                <w14:textFill>
                  <w14:solidFill>
                    <w14:schemeClr w14:val="tx1"/>
                  </w14:solidFill>
                </w14:textFill>
              </w:rPr>
            </w:pPr>
            <w:r>
              <w:rPr>
                <w:color w:val="000000" w:themeColor="text1"/>
                <w:spacing w:val="7"/>
                <w:sz w:val="18"/>
                <w:szCs w:val="18"/>
                <w:highlight w:val="none"/>
                <w14:textFill>
                  <w14:solidFill>
                    <w14:schemeClr w14:val="tx1"/>
                  </w14:solidFill>
                </w14:textFill>
              </w:rPr>
              <w:t>资格审查要求概况</w:t>
            </w:r>
          </w:p>
        </w:tc>
        <w:tc>
          <w:tcPr>
            <w:tcW w:w="3560" w:type="dxa"/>
            <w:vAlign w:val="center"/>
          </w:tcPr>
          <w:p>
            <w:pPr>
              <w:pStyle w:val="21"/>
              <w:widowControl w:val="0"/>
              <w:spacing w:before="82" w:line="220" w:lineRule="auto"/>
              <w:ind w:left="89" w:leftChars="0"/>
              <w:jc w:val="center"/>
              <w:rPr>
                <w:rFonts w:hint="default" w:ascii="宋体" w:hAnsi="宋体" w:eastAsia="宋体" w:cs="宋体"/>
                <w:snapToGrid w:val="0"/>
                <w:color w:val="000000" w:themeColor="text1"/>
                <w:kern w:val="0"/>
                <w:sz w:val="18"/>
                <w:szCs w:val="18"/>
                <w:highlight w:val="none"/>
                <w:lang w:val="en-US" w:eastAsia="en-US" w:bidi="ar-SA"/>
                <w14:textFill>
                  <w14:solidFill>
                    <w14:schemeClr w14:val="tx1"/>
                  </w14:solidFill>
                </w14:textFill>
              </w:rPr>
            </w:pPr>
            <w:r>
              <w:rPr>
                <w:color w:val="000000" w:themeColor="text1"/>
                <w:spacing w:val="8"/>
                <w:sz w:val="18"/>
                <w:szCs w:val="18"/>
                <w:highlight w:val="none"/>
                <w14:textFill>
                  <w14:solidFill>
                    <w14:schemeClr w14:val="tx1"/>
                  </w14:solidFill>
                </w14:textFill>
              </w:rPr>
              <w:t>评审点具体描述</w:t>
            </w:r>
          </w:p>
        </w:tc>
        <w:tc>
          <w:tcPr>
            <w:tcW w:w="2038" w:type="dxa"/>
            <w:vAlign w:val="center"/>
          </w:tcPr>
          <w:p>
            <w:pPr>
              <w:pStyle w:val="21"/>
              <w:widowControl w:val="0"/>
              <w:spacing w:before="83" w:line="219" w:lineRule="auto"/>
              <w:ind w:left="97" w:leftChars="0"/>
              <w:jc w:val="center"/>
              <w:rPr>
                <w:rFonts w:hint="default" w:ascii="宋体" w:hAnsi="宋体" w:eastAsia="宋体" w:cs="宋体"/>
                <w:snapToGrid w:val="0"/>
                <w:color w:val="000000" w:themeColor="text1"/>
                <w:kern w:val="0"/>
                <w:sz w:val="18"/>
                <w:szCs w:val="18"/>
                <w:highlight w:val="none"/>
                <w:lang w:val="en-US" w:eastAsia="en-US" w:bidi="ar-SA"/>
                <w14:textFill>
                  <w14:solidFill>
                    <w14:schemeClr w14:val="tx1"/>
                  </w14:solidFill>
                </w14:textFill>
              </w:rPr>
            </w:pPr>
            <w:r>
              <w:rPr>
                <w:color w:val="000000" w:themeColor="text1"/>
                <w:spacing w:val="5"/>
                <w:sz w:val="18"/>
                <w:szCs w:val="18"/>
                <w:highlight w:val="none"/>
                <w14:textFill>
                  <w14:solidFill>
                    <w14:schemeClr w14:val="tx1"/>
                  </w14:solidFill>
                </w14:textFill>
              </w:rPr>
              <w:t>关联格式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425" w:leftChars="0" w:right="136" w:hanging="425" w:firstLineChars="0"/>
              <w:jc w:val="center"/>
              <w:textAlignment w:val="baseline"/>
              <w:rPr>
                <w:rFonts w:hint="default" w:ascii="Times New Roman" w:hAnsi="Times New Roman" w:eastAsia="宋体" w:cs="Times New Roman"/>
                <w:color w:val="000000" w:themeColor="text1"/>
                <w:sz w:val="18"/>
                <w:szCs w:val="18"/>
                <w:highlight w:val="none"/>
                <w:vertAlign w:val="baseline"/>
                <w14:textFill>
                  <w14:solidFill>
                    <w14:schemeClr w14:val="tx1"/>
                  </w14:solidFill>
                </w14:textFill>
              </w:rPr>
            </w:pPr>
          </w:p>
        </w:tc>
        <w:tc>
          <w:tcPr>
            <w:tcW w:w="3480" w:type="dxa"/>
            <w:vAlign w:val="center"/>
          </w:tcPr>
          <w:p>
            <w:pPr>
              <w:pStyle w:val="21"/>
              <w:widowControl w:val="0"/>
              <w:spacing w:before="81" w:line="329" w:lineRule="auto"/>
              <w:ind w:left="96" w:right="100"/>
              <w:rPr>
                <w:rFonts w:hint="default" w:ascii="Times New Roman" w:hAnsi="Times New Roman" w:eastAsia="宋体" w:cs="Times New Roman"/>
                <w:color w:val="000000" w:themeColor="text1"/>
                <w:sz w:val="18"/>
                <w:szCs w:val="18"/>
                <w:highlight w:val="none"/>
                <w:vertAlign w:val="baseline"/>
                <w14:textFill>
                  <w14:solidFill>
                    <w14:schemeClr w14:val="tx1"/>
                  </w14:solidFill>
                </w14:textFill>
              </w:rPr>
            </w:pPr>
            <w:r>
              <w:rPr>
                <w:rFonts w:hint="default" w:ascii="Times New Roman" w:hAnsi="Times New Roman" w:eastAsia="宋体" w:cs="Times New Roman"/>
                <w:snapToGrid w:val="0"/>
                <w:color w:val="000000" w:themeColor="text1"/>
                <w:kern w:val="0"/>
                <w:sz w:val="18"/>
                <w:szCs w:val="18"/>
                <w:highlight w:val="none"/>
                <w:lang w:val="en-US" w:eastAsia="en-US" w:bidi="ar-SA"/>
                <w14:textFill>
                  <w14:solidFill>
                    <w14:schemeClr w14:val="tx1"/>
                  </w14:solidFill>
                </w14:textFill>
              </w:rPr>
              <w:t>供应商应具备《中华人民共和国政府采购法》第二十二条规定的条件</w:t>
            </w:r>
          </w:p>
        </w:tc>
        <w:tc>
          <w:tcPr>
            <w:tcW w:w="3560" w:type="dxa"/>
          </w:tcPr>
          <w:p>
            <w:pPr>
              <w:pStyle w:val="21"/>
              <w:widowControl w:val="0"/>
              <w:spacing w:before="81" w:line="329" w:lineRule="auto"/>
              <w:ind w:left="96" w:right="100"/>
              <w:rPr>
                <w:rFonts w:hint="eastAsia" w:ascii="Times New Roman" w:hAnsi="Times New Roman" w:eastAsia="宋体" w:cs="Times New Roman"/>
                <w:snapToGrid w:val="0"/>
                <w:color w:val="000000" w:themeColor="text1"/>
                <w:kern w:val="0"/>
                <w:sz w:val="18"/>
                <w:szCs w:val="18"/>
                <w:highlight w:val="none"/>
                <w:lang w:val="en-US" w:eastAsia="zh-CN" w:bidi="ar-SA"/>
                <w14:textFill>
                  <w14:solidFill>
                    <w14:schemeClr w14:val="tx1"/>
                  </w14:solidFill>
                </w14:textFill>
              </w:rPr>
            </w:pPr>
            <w:r>
              <w:rPr>
                <w:color w:val="000000" w:themeColor="text1"/>
                <w14:textFill>
                  <w14:solidFill>
                    <w14:schemeClr w14:val="tx1"/>
                  </w14:solidFill>
                </w14:textFill>
              </w:rPr>
              <w:t>供应商需在项目电子化交易系统中按要求填写《响应函》完成承诺并进行电子签章,并按磋商文件中的附件“资格证明部分”格式要求提供相关证明资料。</w:t>
            </w:r>
          </w:p>
        </w:tc>
        <w:tc>
          <w:tcPr>
            <w:tcW w:w="2038" w:type="dxa"/>
          </w:tcPr>
          <w:p>
            <w:pPr>
              <w:pStyle w:val="21"/>
              <w:widowControl w:val="0"/>
              <w:spacing w:before="81" w:line="329" w:lineRule="auto"/>
              <w:ind w:left="96" w:right="100"/>
              <w:rPr>
                <w:rFonts w:hint="default" w:ascii="Times New Roman" w:hAnsi="Times New Roman" w:eastAsia="宋体" w:cs="Times New Roman"/>
                <w:snapToGrid w:val="0"/>
                <w:color w:val="000000" w:themeColor="text1"/>
                <w:kern w:val="0"/>
                <w:sz w:val="18"/>
                <w:szCs w:val="18"/>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kern w:val="0"/>
                <w:sz w:val="18"/>
                <w:szCs w:val="18"/>
                <w:highlight w:val="none"/>
                <w:lang w:val="en-US" w:eastAsia="en-US" w:bidi="ar-SA"/>
                <w14:textFill>
                  <w14:solidFill>
                    <w14:schemeClr w14:val="tx1"/>
                  </w14:solidFill>
                </w14:textFill>
              </w:rPr>
              <w:t>资格证明部分</w:t>
            </w:r>
          </w:p>
          <w:p>
            <w:pPr>
              <w:pStyle w:val="21"/>
              <w:widowControl w:val="0"/>
              <w:spacing w:before="81" w:line="329" w:lineRule="auto"/>
              <w:ind w:left="96" w:right="100"/>
              <w:rPr>
                <w:rFonts w:hint="default" w:ascii="Times New Roman" w:hAnsi="Times New Roman" w:eastAsia="宋体" w:cs="Times New Roman"/>
                <w:snapToGrid w:val="0"/>
                <w:color w:val="000000" w:themeColor="text1"/>
                <w:kern w:val="0"/>
                <w:sz w:val="18"/>
                <w:szCs w:val="18"/>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kern w:val="0"/>
                <w:sz w:val="18"/>
                <w:szCs w:val="18"/>
                <w:highlight w:val="none"/>
                <w:lang w:val="en-US" w:eastAsia="en-US" w:bidi="ar-SA"/>
                <w14:textFill>
                  <w14:solidFill>
                    <w14:schemeClr w14:val="tx1"/>
                  </w14:solidFill>
                </w14:textFill>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425" w:leftChars="0" w:right="136" w:hanging="425" w:firstLineChars="0"/>
              <w:jc w:val="center"/>
              <w:textAlignment w:val="baseline"/>
              <w:rPr>
                <w:rFonts w:hint="default" w:ascii="Times New Roman" w:hAnsi="Times New Roman" w:eastAsia="宋体" w:cs="Times New Roman"/>
                <w:color w:val="000000" w:themeColor="text1"/>
                <w:sz w:val="18"/>
                <w:szCs w:val="18"/>
                <w:highlight w:val="none"/>
                <w:vertAlign w:val="baseline"/>
                <w14:textFill>
                  <w14:solidFill>
                    <w14:schemeClr w14:val="tx1"/>
                  </w14:solidFill>
                </w14:textFill>
              </w:rPr>
            </w:pPr>
          </w:p>
        </w:tc>
        <w:tc>
          <w:tcPr>
            <w:tcW w:w="3480" w:type="dxa"/>
            <w:vAlign w:val="center"/>
          </w:tcPr>
          <w:p>
            <w:pPr>
              <w:pStyle w:val="21"/>
              <w:widowControl w:val="0"/>
              <w:spacing w:before="81" w:line="329" w:lineRule="auto"/>
              <w:ind w:left="96" w:right="100"/>
              <w:rPr>
                <w:rFonts w:hint="default" w:ascii="Times New Roman" w:hAnsi="Times New Roman" w:eastAsia="宋体" w:cs="Times New Roman"/>
                <w:snapToGrid w:val="0"/>
                <w:color w:val="000000" w:themeColor="text1"/>
                <w:kern w:val="0"/>
                <w:sz w:val="18"/>
                <w:szCs w:val="18"/>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kern w:val="0"/>
                <w:sz w:val="18"/>
                <w:szCs w:val="18"/>
                <w:highlight w:val="none"/>
                <w:lang w:val="en-US" w:eastAsia="en-US" w:bidi="ar-SA"/>
                <w14:textFill>
                  <w14:solidFill>
                    <w14:schemeClr w14:val="tx1"/>
                  </w14:solidFill>
                </w14:textFill>
              </w:rPr>
              <w:t>供应商应提供健全的财务会计制度的证明材料；</w:t>
            </w:r>
          </w:p>
        </w:tc>
        <w:tc>
          <w:tcPr>
            <w:tcW w:w="3560" w:type="dxa"/>
          </w:tcPr>
          <w:p>
            <w:pPr>
              <w:pStyle w:val="21"/>
              <w:widowControl w:val="0"/>
              <w:spacing w:before="81" w:line="329" w:lineRule="auto"/>
              <w:ind w:left="96" w:right="100"/>
              <w:rPr>
                <w:rFonts w:hint="default" w:ascii="Times New Roman" w:hAnsi="Times New Roman" w:eastAsia="宋体" w:cs="Times New Roman"/>
                <w:snapToGrid w:val="0"/>
                <w:color w:val="000000" w:themeColor="text1"/>
                <w:kern w:val="0"/>
                <w:sz w:val="18"/>
                <w:szCs w:val="18"/>
                <w:highlight w:val="none"/>
                <w:lang w:val="en-US" w:eastAsia="en-US" w:bidi="ar-SA"/>
                <w14:textFill>
                  <w14:solidFill>
                    <w14:schemeClr w14:val="tx1"/>
                  </w14:solidFill>
                </w14:textFill>
              </w:rPr>
            </w:pPr>
            <w:r>
              <w:rPr>
                <w:color w:val="000000" w:themeColor="text1"/>
                <w14:textFill>
                  <w14:solidFill>
                    <w14:schemeClr w14:val="tx1"/>
                  </w14:solidFill>
                </w14:textFill>
              </w:rPr>
              <w:t>提供2022年度经审计的供应商财务会计报告（包括审计报告、资产负债表、利润表、现金流量表、所有者权益变动表及其附注，成立时间至提交响应文件截止时间不足1年的可提供成立后任意时段的资产负债表），或其提交响应文件截止时间前3个月其基本账户开户银行出具的资信证明（附基本存款账户信息）；公益类事业单位无需提供财务审计报告；（以上形式的资料提供任何一种即可），供应商需在项目电子化交易系统中按磋商文件中的附件“资格证明部分”格式要求上传相应证明文件并进行电子签章。</w:t>
            </w:r>
          </w:p>
        </w:tc>
        <w:tc>
          <w:tcPr>
            <w:tcW w:w="2038" w:type="dxa"/>
            <w:vAlign w:val="center"/>
          </w:tcPr>
          <w:p>
            <w:pPr>
              <w:pStyle w:val="21"/>
              <w:widowControl w:val="0"/>
              <w:spacing w:before="81" w:line="329" w:lineRule="auto"/>
              <w:ind w:left="96" w:right="100"/>
              <w:rPr>
                <w:rFonts w:hint="default" w:ascii="Times New Roman" w:hAnsi="Times New Roman" w:eastAsia="宋体" w:cs="Times New Roman"/>
                <w:color w:val="000000" w:themeColor="text1"/>
                <w:sz w:val="18"/>
                <w:szCs w:val="18"/>
                <w:highlight w:val="none"/>
                <w:vertAlign w:val="baseline"/>
                <w14:textFill>
                  <w14:solidFill>
                    <w14:schemeClr w14:val="tx1"/>
                  </w14:solidFill>
                </w14:textFill>
              </w:rPr>
            </w:pPr>
            <w:r>
              <w:rPr>
                <w:rFonts w:hint="default" w:ascii="Times New Roman" w:hAnsi="Times New Roman" w:eastAsia="宋体" w:cs="Times New Roman"/>
                <w:snapToGrid w:val="0"/>
                <w:color w:val="000000" w:themeColor="text1"/>
                <w:kern w:val="0"/>
                <w:sz w:val="18"/>
                <w:szCs w:val="18"/>
                <w:highlight w:val="none"/>
                <w:lang w:val="en-US" w:eastAsia="en-US" w:bidi="ar-SA"/>
                <w14:textFill>
                  <w14:solidFill>
                    <w14:schemeClr w14:val="tx1"/>
                  </w14:solidFill>
                </w14:textFill>
              </w:rPr>
              <w:t>资格证明部分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425" w:leftChars="0" w:right="136" w:hanging="425" w:firstLineChars="0"/>
              <w:jc w:val="center"/>
              <w:textAlignment w:val="baseline"/>
              <w:rPr>
                <w:rFonts w:hint="default" w:ascii="Times New Roman" w:hAnsi="Times New Roman" w:eastAsia="宋体" w:cs="Times New Roman"/>
                <w:color w:val="000000" w:themeColor="text1"/>
                <w:sz w:val="18"/>
                <w:szCs w:val="18"/>
                <w:highlight w:val="none"/>
                <w:vertAlign w:val="baseline"/>
                <w14:textFill>
                  <w14:solidFill>
                    <w14:schemeClr w14:val="tx1"/>
                  </w14:solidFill>
                </w14:textFill>
              </w:rPr>
            </w:pPr>
          </w:p>
        </w:tc>
        <w:tc>
          <w:tcPr>
            <w:tcW w:w="3480" w:type="dxa"/>
            <w:vAlign w:val="center"/>
          </w:tcPr>
          <w:p>
            <w:pPr>
              <w:pStyle w:val="21"/>
              <w:widowControl w:val="0"/>
              <w:spacing w:before="81" w:line="329" w:lineRule="auto"/>
              <w:ind w:left="96" w:right="100"/>
              <w:rPr>
                <w:rFonts w:hint="default" w:ascii="Times New Roman" w:hAnsi="Times New Roman" w:eastAsia="宋体" w:cs="Times New Roman"/>
                <w:snapToGrid w:val="0"/>
                <w:color w:val="000000" w:themeColor="text1"/>
                <w:kern w:val="0"/>
                <w:sz w:val="18"/>
                <w:szCs w:val="18"/>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kern w:val="0"/>
                <w:sz w:val="18"/>
                <w:szCs w:val="18"/>
                <w:highlight w:val="none"/>
                <w:lang w:val="en-US" w:eastAsia="en-US" w:bidi="ar-SA"/>
                <w14:textFill>
                  <w14:solidFill>
                    <w14:schemeClr w14:val="tx1"/>
                  </w14:solidFill>
                </w14:textFill>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3560" w:type="dxa"/>
          </w:tcPr>
          <w:p>
            <w:pPr>
              <w:pStyle w:val="21"/>
              <w:widowControl w:val="0"/>
              <w:spacing w:before="81" w:line="329" w:lineRule="auto"/>
              <w:ind w:left="96" w:right="100"/>
              <w:rPr>
                <w:rFonts w:hint="default" w:ascii="Times New Roman" w:hAnsi="Times New Roman" w:eastAsia="宋体" w:cs="Times New Roman"/>
                <w:snapToGrid w:val="0"/>
                <w:color w:val="000000" w:themeColor="text1"/>
                <w:kern w:val="0"/>
                <w:sz w:val="18"/>
                <w:szCs w:val="18"/>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kern w:val="0"/>
                <w:sz w:val="18"/>
                <w:szCs w:val="18"/>
                <w:highlight w:val="none"/>
                <w:lang w:val="en-US" w:eastAsia="en-US" w:bidi="ar-SA"/>
                <w14:textFill>
                  <w14:solidFill>
                    <w14:schemeClr w14:val="tx1"/>
                  </w14:solidFill>
                </w14:textFill>
              </w:rPr>
              <w:t>供应商需在项目电子化交易系统中按要求填写《响应函》完成承诺并进行电子签章。</w:t>
            </w:r>
          </w:p>
        </w:tc>
        <w:tc>
          <w:tcPr>
            <w:tcW w:w="2038" w:type="dxa"/>
          </w:tcPr>
          <w:p>
            <w:pPr>
              <w:pStyle w:val="21"/>
              <w:widowControl w:val="0"/>
              <w:spacing w:before="81" w:line="329" w:lineRule="auto"/>
              <w:ind w:left="96" w:right="100"/>
              <w:rPr>
                <w:rFonts w:hint="default" w:ascii="Times New Roman" w:hAnsi="Times New Roman" w:eastAsia="宋体" w:cs="Times New Roman"/>
                <w:snapToGrid w:val="0"/>
                <w:color w:val="000000" w:themeColor="text1"/>
                <w:kern w:val="0"/>
                <w:sz w:val="18"/>
                <w:szCs w:val="18"/>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kern w:val="0"/>
                <w:sz w:val="18"/>
                <w:szCs w:val="18"/>
                <w:highlight w:val="none"/>
                <w:lang w:val="en-US" w:eastAsia="en-US" w:bidi="ar-SA"/>
                <w14:textFill>
                  <w14:solidFill>
                    <w14:schemeClr w14:val="tx1"/>
                  </w14:solidFill>
                </w14:textFill>
              </w:rPr>
              <w:t>资格证明部分</w:t>
            </w:r>
          </w:p>
          <w:p>
            <w:pPr>
              <w:pStyle w:val="21"/>
              <w:widowControl w:val="0"/>
              <w:spacing w:before="81" w:line="329" w:lineRule="auto"/>
              <w:ind w:left="96" w:right="100"/>
              <w:rPr>
                <w:rFonts w:hint="default" w:ascii="Times New Roman" w:hAnsi="Times New Roman" w:eastAsia="宋体" w:cs="Times New Roman"/>
                <w:snapToGrid w:val="0"/>
                <w:color w:val="000000" w:themeColor="text1"/>
                <w:kern w:val="0"/>
                <w:sz w:val="18"/>
                <w:szCs w:val="18"/>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kern w:val="0"/>
                <w:sz w:val="18"/>
                <w:szCs w:val="18"/>
                <w:highlight w:val="none"/>
                <w:lang w:val="en-US" w:eastAsia="en-US" w:bidi="ar-SA"/>
                <w14:textFill>
                  <w14:solidFill>
                    <w14:schemeClr w14:val="tx1"/>
                  </w14:solidFill>
                </w14:textFill>
              </w:rPr>
              <w:t>响应函</w:t>
            </w:r>
          </w:p>
        </w:tc>
      </w:tr>
    </w:tbl>
    <w:p>
      <w:pPr>
        <w:spacing w:line="151" w:lineRule="exact"/>
        <w:rPr>
          <w:color w:val="000000" w:themeColor="text1"/>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color w:val="000000" w:themeColor="text1"/>
          <w:spacing w:val="15"/>
          <w:sz w:val="28"/>
          <w:szCs w:val="28"/>
          <w:highlight w:val="none"/>
          <w14:textFill>
            <w14:solidFill>
              <w14:schemeClr w14:val="tx1"/>
            </w14:solidFill>
          </w14:textFill>
        </w:rPr>
      </w:pPr>
      <w:r>
        <w:rPr>
          <w:rFonts w:hint="default" w:ascii="Times New Roman" w:hAnsi="Times New Roman" w:eastAsia="宋体" w:cs="Times New Roman"/>
          <w:b/>
          <w:bCs/>
          <w:color w:val="000000" w:themeColor="text1"/>
          <w:spacing w:val="15"/>
          <w:sz w:val="28"/>
          <w:szCs w:val="28"/>
          <w:highlight w:val="none"/>
          <w14:textFill>
            <w14:solidFill>
              <w14:schemeClr w14:val="tx1"/>
            </w14:solidFill>
          </w14:textFill>
        </w:rPr>
        <w:t>4.2落实政府采购政策资格审查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采购包1：</w:t>
      </w:r>
    </w:p>
    <w:p>
      <w:pPr>
        <w:spacing w:line="151" w:lineRule="exact"/>
        <w:rPr>
          <w:color w:val="000000" w:themeColor="text1"/>
          <w:highlight w:val="none"/>
          <w14:textFill>
            <w14:solidFill>
              <w14:schemeClr w14:val="tx1"/>
            </w14:solidFill>
          </w14:textFill>
        </w:rPr>
      </w:pPr>
    </w:p>
    <w:tbl>
      <w:tblPr>
        <w:tblStyle w:val="20"/>
        <w:tblW w:w="100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2"/>
        <w:gridCol w:w="2881"/>
        <w:gridCol w:w="3880"/>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062" w:type="dxa"/>
            <w:vAlign w:val="center"/>
          </w:tcPr>
          <w:p>
            <w:pPr>
              <w:pStyle w:val="21"/>
              <w:spacing w:before="82" w:line="221" w:lineRule="auto"/>
              <w:ind w:left="91"/>
              <w:jc w:val="center"/>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序号</w:t>
            </w:r>
          </w:p>
        </w:tc>
        <w:tc>
          <w:tcPr>
            <w:tcW w:w="2881" w:type="dxa"/>
            <w:vAlign w:val="center"/>
          </w:tcPr>
          <w:p>
            <w:pPr>
              <w:pStyle w:val="21"/>
              <w:spacing w:before="83" w:line="219" w:lineRule="auto"/>
              <w:ind w:left="95"/>
              <w:jc w:val="center"/>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资格审查要求概况</w:t>
            </w:r>
          </w:p>
        </w:tc>
        <w:tc>
          <w:tcPr>
            <w:tcW w:w="3880" w:type="dxa"/>
            <w:vAlign w:val="center"/>
          </w:tcPr>
          <w:p>
            <w:pPr>
              <w:pStyle w:val="21"/>
              <w:spacing w:before="82" w:line="220" w:lineRule="auto"/>
              <w:ind w:left="89"/>
              <w:jc w:val="center"/>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评审点具体描述</w:t>
            </w:r>
          </w:p>
        </w:tc>
        <w:tc>
          <w:tcPr>
            <w:tcW w:w="2200" w:type="dxa"/>
            <w:vAlign w:val="center"/>
          </w:tcPr>
          <w:p>
            <w:pPr>
              <w:pStyle w:val="21"/>
              <w:spacing w:before="83" w:line="219" w:lineRule="auto"/>
              <w:ind w:left="97"/>
              <w:jc w:val="center"/>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关联格式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062" w:type="dxa"/>
            <w:vAlign w:val="center"/>
          </w:tcPr>
          <w:p>
            <w:pPr>
              <w:spacing w:before="69" w:line="184" w:lineRule="auto"/>
              <w:ind w:left="111"/>
              <w:jc w:val="center"/>
              <w:rPr>
                <w:rFonts w:ascii="Lucida Sans Unicode" w:hAnsi="Lucida Sans Unicode" w:eastAsia="Lucida Sans Unicode" w:cs="Lucida Sans Unicode"/>
                <w:color w:val="000000" w:themeColor="text1"/>
                <w:sz w:val="18"/>
                <w:szCs w:val="18"/>
                <w:highlight w:val="none"/>
                <w14:textFill>
                  <w14:solidFill>
                    <w14:schemeClr w14:val="tx1"/>
                  </w14:solidFill>
                </w14:textFill>
              </w:rPr>
            </w:pPr>
          </w:p>
        </w:tc>
        <w:tc>
          <w:tcPr>
            <w:tcW w:w="2881" w:type="dxa"/>
            <w:vAlign w:val="center"/>
          </w:tcPr>
          <w:p>
            <w:pPr>
              <w:pStyle w:val="21"/>
              <w:widowControl w:val="0"/>
              <w:spacing w:before="81" w:line="329" w:lineRule="auto"/>
              <w:ind w:left="96" w:right="100"/>
              <w:jc w:val="center"/>
              <w:rPr>
                <w:rFonts w:hint="eastAsia" w:ascii="Times New Roman" w:hAnsi="Times New Roman" w:eastAsia="宋体" w:cs="Times New Roman"/>
                <w:snapToGrid w:val="0"/>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cs="Times New Roman"/>
                <w:snapToGrid w:val="0"/>
                <w:color w:val="000000" w:themeColor="text1"/>
                <w:kern w:val="0"/>
                <w:sz w:val="18"/>
                <w:szCs w:val="18"/>
                <w:highlight w:val="none"/>
                <w:lang w:val="en-US" w:eastAsia="zh-CN" w:bidi="ar-SA"/>
                <w14:textFill>
                  <w14:solidFill>
                    <w14:schemeClr w14:val="tx1"/>
                  </w14:solidFill>
                </w14:textFill>
              </w:rPr>
              <w:t>无</w:t>
            </w:r>
          </w:p>
        </w:tc>
        <w:tc>
          <w:tcPr>
            <w:tcW w:w="3880" w:type="dxa"/>
            <w:vAlign w:val="center"/>
          </w:tcPr>
          <w:p>
            <w:pPr>
              <w:pStyle w:val="21"/>
              <w:widowControl w:val="0"/>
              <w:spacing w:before="81" w:line="329" w:lineRule="auto"/>
              <w:ind w:left="96" w:right="100"/>
              <w:jc w:val="center"/>
              <w:rPr>
                <w:rFonts w:hint="default" w:ascii="Times New Roman" w:hAnsi="Times New Roman" w:eastAsia="宋体" w:cs="Times New Roman"/>
                <w:snapToGrid w:val="0"/>
                <w:color w:val="000000" w:themeColor="text1"/>
                <w:kern w:val="0"/>
                <w:sz w:val="18"/>
                <w:szCs w:val="18"/>
                <w:highlight w:val="none"/>
                <w:lang w:val="en-US" w:eastAsia="en-US" w:bidi="ar-SA"/>
                <w14:textFill>
                  <w14:solidFill>
                    <w14:schemeClr w14:val="tx1"/>
                  </w14:solidFill>
                </w14:textFill>
              </w:rPr>
            </w:pPr>
          </w:p>
        </w:tc>
        <w:tc>
          <w:tcPr>
            <w:tcW w:w="2200" w:type="dxa"/>
            <w:vAlign w:val="top"/>
          </w:tcPr>
          <w:p>
            <w:pPr>
              <w:pStyle w:val="21"/>
              <w:widowControl w:val="0"/>
              <w:spacing w:before="81" w:line="329" w:lineRule="auto"/>
              <w:ind w:left="96" w:right="100"/>
              <w:rPr>
                <w:rFonts w:hint="default" w:ascii="Times New Roman" w:hAnsi="Times New Roman" w:eastAsia="宋体" w:cs="Times New Roman"/>
                <w:snapToGrid w:val="0"/>
                <w:color w:val="000000" w:themeColor="text1"/>
                <w:kern w:val="0"/>
                <w:sz w:val="18"/>
                <w:szCs w:val="18"/>
                <w:highlight w:val="none"/>
                <w:lang w:val="en-US" w:eastAsia="en-US" w:bidi="ar-SA"/>
                <w14:textFill>
                  <w14:solidFill>
                    <w14:schemeClr w14:val="tx1"/>
                  </w14:solidFill>
                </w14:textFill>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color w:val="000000" w:themeColor="text1"/>
          <w:spacing w:val="15"/>
          <w:sz w:val="28"/>
          <w:szCs w:val="28"/>
          <w:highlight w:val="none"/>
          <w14:textFill>
            <w14:solidFill>
              <w14:schemeClr w14:val="tx1"/>
            </w14:solidFill>
          </w14:textFill>
        </w:rPr>
      </w:pPr>
      <w:r>
        <w:rPr>
          <w:rFonts w:hint="default" w:ascii="Times New Roman" w:hAnsi="Times New Roman" w:eastAsia="宋体" w:cs="Times New Roman"/>
          <w:b/>
          <w:bCs/>
          <w:color w:val="000000" w:themeColor="text1"/>
          <w:spacing w:val="15"/>
          <w:sz w:val="28"/>
          <w:szCs w:val="28"/>
          <w:highlight w:val="none"/>
          <w14:textFill>
            <w14:solidFill>
              <w14:schemeClr w14:val="tx1"/>
            </w14:solidFill>
          </w14:textFill>
        </w:rPr>
        <w:t>4.3特殊资格审查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9"/>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采购包1：</w:t>
      </w:r>
    </w:p>
    <w:p>
      <w:pPr>
        <w:spacing w:line="148" w:lineRule="exact"/>
        <w:rPr>
          <w:color w:val="000000" w:themeColor="text1"/>
          <w:highlight w:val="none"/>
          <w14:textFill>
            <w14:solidFill>
              <w14:schemeClr w14:val="tx1"/>
            </w14:solidFill>
          </w14:textFill>
        </w:rPr>
      </w:pPr>
    </w:p>
    <w:tbl>
      <w:tblPr>
        <w:tblStyle w:val="20"/>
        <w:tblW w:w="100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2"/>
        <w:gridCol w:w="2908"/>
        <w:gridCol w:w="3866"/>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062" w:type="dxa"/>
            <w:vAlign w:val="center"/>
          </w:tcPr>
          <w:p>
            <w:pPr>
              <w:pStyle w:val="21"/>
              <w:spacing w:before="82" w:line="221" w:lineRule="auto"/>
              <w:ind w:left="91"/>
              <w:jc w:val="center"/>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序号</w:t>
            </w:r>
          </w:p>
        </w:tc>
        <w:tc>
          <w:tcPr>
            <w:tcW w:w="2908" w:type="dxa"/>
            <w:vAlign w:val="center"/>
          </w:tcPr>
          <w:p>
            <w:pPr>
              <w:pStyle w:val="21"/>
              <w:spacing w:before="83" w:line="219" w:lineRule="auto"/>
              <w:ind w:left="95"/>
              <w:jc w:val="center"/>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资格审查要求概况</w:t>
            </w:r>
          </w:p>
        </w:tc>
        <w:tc>
          <w:tcPr>
            <w:tcW w:w="3866" w:type="dxa"/>
            <w:vAlign w:val="center"/>
          </w:tcPr>
          <w:p>
            <w:pPr>
              <w:pStyle w:val="21"/>
              <w:spacing w:before="82" w:line="220" w:lineRule="auto"/>
              <w:ind w:left="89"/>
              <w:jc w:val="center"/>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评审点具体描述</w:t>
            </w:r>
          </w:p>
        </w:tc>
        <w:tc>
          <w:tcPr>
            <w:tcW w:w="2200" w:type="dxa"/>
            <w:vAlign w:val="center"/>
          </w:tcPr>
          <w:p>
            <w:pPr>
              <w:pStyle w:val="21"/>
              <w:spacing w:before="83" w:line="219" w:lineRule="auto"/>
              <w:ind w:left="97"/>
              <w:jc w:val="center"/>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关联格式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062" w:type="dxa"/>
            <w:vAlign w:val="center"/>
          </w:tcPr>
          <w:p>
            <w:pPr>
              <w:spacing w:before="78" w:line="166" w:lineRule="auto"/>
              <w:ind w:left="111"/>
              <w:jc w:val="center"/>
              <w:rPr>
                <w:rFonts w:hint="default" w:ascii="Times New Roman" w:hAnsi="Times New Roman" w:eastAsia="宋体" w:cs="Times New Roman"/>
                <w:snapToGrid w:val="0"/>
                <w:color w:val="000000" w:themeColor="text1"/>
                <w:kern w:val="0"/>
                <w:sz w:val="18"/>
                <w:szCs w:val="18"/>
                <w:highlight w:val="none"/>
                <w:lang w:val="en-US" w:eastAsia="en-US" w:bidi="ar-SA"/>
                <w14:textFill>
                  <w14:solidFill>
                    <w14:schemeClr w14:val="tx1"/>
                  </w14:solidFill>
                </w14:textFill>
              </w:rPr>
            </w:pPr>
          </w:p>
        </w:tc>
        <w:tc>
          <w:tcPr>
            <w:tcW w:w="2908" w:type="dxa"/>
            <w:vAlign w:val="center"/>
          </w:tcPr>
          <w:p>
            <w:pPr>
              <w:pStyle w:val="21"/>
              <w:spacing w:before="58" w:line="219" w:lineRule="auto"/>
              <w:ind w:left="93"/>
              <w:jc w:val="center"/>
              <w:rPr>
                <w:rFonts w:hint="default" w:ascii="Times New Roman" w:hAnsi="Times New Roman" w:eastAsia="宋体" w:cs="Times New Roman"/>
                <w:snapToGrid w:val="0"/>
                <w:color w:val="000000" w:themeColor="text1"/>
                <w:kern w:val="0"/>
                <w:sz w:val="18"/>
                <w:szCs w:val="18"/>
                <w:highlight w:val="none"/>
                <w:lang w:val="en-US" w:eastAsia="en-US" w:bidi="ar-SA"/>
                <w14:textFill>
                  <w14:solidFill>
                    <w14:schemeClr w14:val="tx1"/>
                  </w14:solidFill>
                </w14:textFill>
              </w:rPr>
            </w:pPr>
          </w:p>
        </w:tc>
        <w:tc>
          <w:tcPr>
            <w:tcW w:w="3866" w:type="dxa"/>
            <w:vAlign w:val="top"/>
          </w:tcPr>
          <w:p>
            <w:pPr>
              <w:pStyle w:val="21"/>
              <w:spacing w:before="78" w:line="296" w:lineRule="auto"/>
              <w:ind w:left="94" w:right="130" w:firstLine="8"/>
              <w:rPr>
                <w:rFonts w:hint="eastAsia" w:ascii="Times New Roman" w:hAnsi="Times New Roman" w:eastAsia="宋体" w:cs="Times New Roman"/>
                <w:snapToGrid w:val="0"/>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cs="Times New Roman"/>
                <w:snapToGrid w:val="0"/>
                <w:color w:val="000000" w:themeColor="text1"/>
                <w:kern w:val="0"/>
                <w:sz w:val="18"/>
                <w:szCs w:val="18"/>
                <w:highlight w:val="none"/>
                <w:lang w:val="en-US" w:eastAsia="zh-CN" w:bidi="ar-SA"/>
                <w14:textFill>
                  <w14:solidFill>
                    <w14:schemeClr w14:val="tx1"/>
                  </w14:solidFill>
                </w14:textFill>
              </w:rPr>
              <w:t>无</w:t>
            </w:r>
          </w:p>
        </w:tc>
        <w:tc>
          <w:tcPr>
            <w:tcW w:w="2200" w:type="dxa"/>
            <w:vAlign w:val="center"/>
          </w:tcPr>
          <w:p>
            <w:pPr>
              <w:pStyle w:val="21"/>
              <w:spacing w:before="58" w:line="219" w:lineRule="auto"/>
              <w:ind w:left="108"/>
              <w:jc w:val="center"/>
              <w:rPr>
                <w:rFonts w:hint="default" w:ascii="Times New Roman" w:hAnsi="Times New Roman" w:eastAsia="宋体" w:cs="Times New Roman"/>
                <w:snapToGrid w:val="0"/>
                <w:color w:val="000000" w:themeColor="text1"/>
                <w:kern w:val="0"/>
                <w:sz w:val="18"/>
                <w:szCs w:val="18"/>
                <w:highlight w:val="none"/>
                <w:lang w:val="en-US" w:eastAsia="en-US" w:bidi="ar-SA"/>
                <w14:textFill>
                  <w14:solidFill>
                    <w14:schemeClr w14:val="tx1"/>
                  </w14:solidFill>
                </w14:textFill>
              </w:rPr>
            </w:pPr>
          </w:p>
        </w:tc>
      </w:tr>
    </w:tbl>
    <w:p>
      <w:pPr>
        <w:rPr>
          <w:rFonts w:ascii="宋体" w:hAnsi="宋体" w:eastAsia="宋体" w:cs="宋体"/>
          <w:spacing w:val="6"/>
          <w:sz w:val="29"/>
          <w:szCs w:val="29"/>
          <w:highlight w:val="none"/>
        </w:rPr>
      </w:pPr>
      <w:r>
        <w:rPr>
          <w:rFonts w:ascii="宋体" w:hAnsi="宋体" w:eastAsia="宋体" w:cs="宋体"/>
          <w:spacing w:val="6"/>
          <w:sz w:val="29"/>
          <w:szCs w:val="29"/>
          <w:highlight w:val="none"/>
        </w:rPr>
        <w:br w:type="page"/>
      </w:r>
    </w:p>
    <w:p>
      <w:pPr>
        <w:spacing w:before="58" w:line="220" w:lineRule="auto"/>
        <w:jc w:val="center"/>
        <w:outlineLvl w:val="0"/>
        <w:rPr>
          <w:rFonts w:ascii="宋体" w:hAnsi="宋体" w:eastAsia="宋体" w:cs="宋体"/>
          <w:spacing w:val="6"/>
          <w:sz w:val="29"/>
          <w:szCs w:val="29"/>
          <w:highlight w:val="none"/>
        </w:rPr>
      </w:pPr>
      <w:r>
        <w:rPr>
          <w:rFonts w:ascii="宋体" w:hAnsi="宋体" w:eastAsia="宋体" w:cs="宋体"/>
          <w:spacing w:val="6"/>
          <w:sz w:val="29"/>
          <w:szCs w:val="29"/>
          <w:highlight w:val="none"/>
        </w:rPr>
        <w:t>第五章 磋商过程中可实质性变动的内容</w:t>
      </w:r>
    </w:p>
    <w:p>
      <w:pPr>
        <w:pStyle w:val="3"/>
        <w:spacing w:line="343" w:lineRule="auto"/>
        <w:rPr>
          <w:color w:val="000000" w:themeColor="text1"/>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磋商小组可以根据磋商文件和磋商情况实质性变动第三章</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磋商项目技术、服务、商务及其他要求</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、第八章</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拟签订采购合同文本</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，但不得变动磋商文件中的其他内容。实质性变动的内容，须经采购人代表确认。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在磋商过程中，磋商小组根据项目实际需要制定磋商内容，在获得采购人代表确认的前提下，可以根据磋商文件第三章“磋商项目技术、服务、商务及其他要求”、第八章“拟签订的合同文本”</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中</w:t>
      </w:r>
      <w:r>
        <w:rPr>
          <w:rFonts w:hint="default" w:ascii="Times New Roman" w:hAnsi="Times New Roman" w:eastAsia="宋体" w:cs="Times New Roman"/>
          <w:color w:val="000000" w:themeColor="text1"/>
          <w:sz w:val="21"/>
          <w:szCs w:val="21"/>
          <w:highlight w:val="none"/>
          <w14:textFill>
            <w14:solidFill>
              <w14:schemeClr w14:val="tx1"/>
            </w14:solidFill>
          </w14:textFill>
        </w:rPr>
        <w:t>的内容和磋商情况实质性变动磋商文件的技术、服务要求以及合同草案条款</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等</w:t>
      </w:r>
      <w:r>
        <w:rPr>
          <w:rFonts w:hint="default" w:ascii="Times New Roman" w:hAnsi="Times New Roman" w:eastAsia="宋体" w:cs="Times New Roman"/>
          <w:color w:val="000000" w:themeColor="text1"/>
          <w:sz w:val="21"/>
          <w:szCs w:val="21"/>
          <w:highlight w:val="none"/>
          <w14:textFill>
            <w14:solidFill>
              <w14:schemeClr w14:val="tx1"/>
            </w14:solidFill>
          </w14:textFill>
        </w:rPr>
        <w:t>相关内容。磋商小组对磋商文件作出的实质性变动是磋商文件的有效组成部分，磋商小组应及时通知所有参加磋商的供应商。</w:t>
      </w:r>
    </w:p>
    <w:p>
      <w:pPr>
        <w:pStyle w:val="3"/>
        <w:spacing w:line="347" w:lineRule="auto"/>
        <w:rPr>
          <w:highlight w:val="none"/>
        </w:rPr>
      </w:pPr>
    </w:p>
    <w:p>
      <w:pPr>
        <w:spacing w:before="58" w:line="220" w:lineRule="auto"/>
        <w:jc w:val="center"/>
        <w:outlineLvl w:val="0"/>
        <w:rPr>
          <w:rFonts w:ascii="宋体" w:hAnsi="宋体" w:eastAsia="宋体" w:cs="宋体"/>
          <w:spacing w:val="6"/>
          <w:sz w:val="29"/>
          <w:szCs w:val="29"/>
          <w:highlight w:val="none"/>
        </w:rPr>
        <w:sectPr>
          <w:footerReference r:id="rId8" w:type="default"/>
          <w:pgSz w:w="11900" w:h="16840"/>
          <w:pgMar w:top="1440" w:right="1080" w:bottom="1440" w:left="1080" w:header="0" w:footer="0" w:gutter="0"/>
          <w:cols w:space="720" w:num="1"/>
        </w:sectPr>
      </w:pPr>
    </w:p>
    <w:p>
      <w:pPr>
        <w:spacing w:before="58" w:line="220" w:lineRule="auto"/>
        <w:jc w:val="center"/>
        <w:outlineLvl w:val="0"/>
        <w:rPr>
          <w:rFonts w:ascii="宋体" w:hAnsi="宋体" w:eastAsia="宋体" w:cs="宋体"/>
          <w:spacing w:val="6"/>
          <w:sz w:val="29"/>
          <w:szCs w:val="29"/>
          <w:highlight w:val="none"/>
        </w:rPr>
      </w:pPr>
      <w:r>
        <w:rPr>
          <w:rFonts w:ascii="宋体" w:hAnsi="宋体" w:eastAsia="宋体" w:cs="宋体"/>
          <w:spacing w:val="6"/>
          <w:sz w:val="29"/>
          <w:szCs w:val="29"/>
          <w:highlight w:val="none"/>
        </w:rPr>
        <w:t>第六章 磋商办法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pacing w:val="15"/>
          <w:sz w:val="28"/>
          <w:szCs w:val="28"/>
          <w:highlight w:val="none"/>
        </w:rPr>
      </w:pPr>
      <w:r>
        <w:rPr>
          <w:rFonts w:hint="default" w:ascii="Times New Roman" w:hAnsi="Times New Roman" w:eastAsia="宋体" w:cs="Times New Roman"/>
          <w:b/>
          <w:bCs/>
          <w:spacing w:val="15"/>
          <w:sz w:val="28"/>
          <w:szCs w:val="28"/>
          <w:highlight w:val="none"/>
        </w:rPr>
        <w:t>6.1总则</w:t>
      </w:r>
    </w:p>
    <w:p>
      <w:pPr>
        <w:keepNext w:val="0"/>
        <w:keepLines w:val="0"/>
        <w:pageBreakBefore w:val="0"/>
        <w:widowControl/>
        <w:tabs>
          <w:tab w:val="left" w:pos="9660"/>
        </w:tabs>
        <w:kinsoku/>
        <w:wordWrap/>
        <w:overflowPunct/>
        <w:topLinePunct w:val="0"/>
        <w:autoSpaceDE w:val="0"/>
        <w:autoSpaceDN w:val="0"/>
        <w:bidi w:val="0"/>
        <w:adjustRightInd w:val="0"/>
        <w:snapToGrid w:val="0"/>
        <w:spacing w:line="360" w:lineRule="auto"/>
        <w:ind w:left="11" w:right="218" w:rightChars="104"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根据《中华人民共和国政府采购法》《中华人民共和国政府采购法实施条例》《政府采购竞争性磋商采购方式管理暂行办法》《陕西省政府采购评审专家管理实施办法》等法律制度，结合本采购项目特点制定本次竞争性磋商评审方法。</w:t>
      </w:r>
    </w:p>
    <w:p>
      <w:pPr>
        <w:keepNext w:val="0"/>
        <w:keepLines w:val="0"/>
        <w:pageBreakBefore w:val="0"/>
        <w:widowControl/>
        <w:tabs>
          <w:tab w:val="left" w:pos="9660"/>
        </w:tabs>
        <w:kinsoku/>
        <w:wordWrap/>
        <w:overflowPunct/>
        <w:topLinePunct w:val="0"/>
        <w:autoSpaceDE w:val="0"/>
        <w:autoSpaceDN w:val="0"/>
        <w:bidi w:val="0"/>
        <w:adjustRightInd w:val="0"/>
        <w:snapToGrid w:val="0"/>
        <w:spacing w:line="360" w:lineRule="auto"/>
        <w:ind w:left="11" w:right="218" w:rightChars="104"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二、评审工作由代理机构组织，具体评审事务由依法组建的磋商小组负责。</w:t>
      </w:r>
    </w:p>
    <w:p>
      <w:pPr>
        <w:keepNext w:val="0"/>
        <w:keepLines w:val="0"/>
        <w:pageBreakBefore w:val="0"/>
        <w:widowControl/>
        <w:tabs>
          <w:tab w:val="left" w:pos="9660"/>
        </w:tabs>
        <w:kinsoku/>
        <w:wordWrap/>
        <w:overflowPunct/>
        <w:topLinePunct w:val="0"/>
        <w:autoSpaceDE w:val="0"/>
        <w:autoSpaceDN w:val="0"/>
        <w:bidi w:val="0"/>
        <w:adjustRightInd w:val="0"/>
        <w:snapToGrid w:val="0"/>
        <w:spacing w:line="360" w:lineRule="auto"/>
        <w:ind w:left="11" w:right="218" w:rightChars="104"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三、评审工作应遵循客观、公正、审慎的原则，并以相同的磋商程序和标准对待所有的供应商。</w:t>
      </w:r>
    </w:p>
    <w:p>
      <w:pPr>
        <w:keepNext w:val="0"/>
        <w:keepLines w:val="0"/>
        <w:pageBreakBefore w:val="0"/>
        <w:widowControl/>
        <w:tabs>
          <w:tab w:val="left" w:pos="9660"/>
        </w:tabs>
        <w:kinsoku/>
        <w:wordWrap/>
        <w:overflowPunct/>
        <w:topLinePunct w:val="0"/>
        <w:autoSpaceDE w:val="0"/>
        <w:autoSpaceDN w:val="0"/>
        <w:bidi w:val="0"/>
        <w:adjustRightInd w:val="0"/>
        <w:snapToGrid w:val="0"/>
        <w:spacing w:line="360" w:lineRule="auto"/>
        <w:ind w:left="11" w:right="218" w:rightChars="104"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四、本项目采取电子评审，通过项目电子化交易系统完成评审工作。磋商小组成员、采购人、代理机构和供应商应当按照本磋商文件规定和项目电子化交易系统操作要求开展或者参加评审活动。</w:t>
      </w:r>
    </w:p>
    <w:p>
      <w:pPr>
        <w:keepNext w:val="0"/>
        <w:keepLines w:val="0"/>
        <w:pageBreakBefore w:val="0"/>
        <w:widowControl/>
        <w:tabs>
          <w:tab w:val="left" w:pos="9660"/>
        </w:tabs>
        <w:kinsoku/>
        <w:wordWrap/>
        <w:overflowPunct/>
        <w:topLinePunct w:val="0"/>
        <w:autoSpaceDE w:val="0"/>
        <w:autoSpaceDN w:val="0"/>
        <w:bidi w:val="0"/>
        <w:adjustRightInd w:val="0"/>
        <w:snapToGrid w:val="0"/>
        <w:spacing w:line="360" w:lineRule="auto"/>
        <w:ind w:left="11" w:right="218" w:rightChars="104"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五、评审过程中的书面材料往来均通过项目电子化交易系统传递，评审委员会成员使用互认的证书及签章进行签名后生效，供应商通过互认的证书及签章加盖其电子印章后生效。出现无法在线签章的特殊情况，评审委员会成员可以线下签署评标报告，由代理机构对原件扫描后以附件形式上传。</w:t>
      </w:r>
    </w:p>
    <w:p>
      <w:pPr>
        <w:keepNext w:val="0"/>
        <w:keepLines w:val="0"/>
        <w:pageBreakBefore w:val="0"/>
        <w:widowControl/>
        <w:tabs>
          <w:tab w:val="left" w:pos="9660"/>
        </w:tabs>
        <w:kinsoku/>
        <w:wordWrap/>
        <w:overflowPunct/>
        <w:topLinePunct w:val="0"/>
        <w:autoSpaceDE w:val="0"/>
        <w:autoSpaceDN w:val="0"/>
        <w:bidi w:val="0"/>
        <w:adjustRightInd w:val="0"/>
        <w:snapToGrid w:val="0"/>
        <w:spacing w:line="360" w:lineRule="auto"/>
        <w:ind w:left="11" w:right="218" w:rightChars="104"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六、评审过程应当独立、保密，任何单位和个人不得非法干预评审活动。供应商非法干预评审活动的，其响应文件将作无效处理；代理机构、采购人及其工作人员、采购人监督人员非法干预评审活动的，将依法追究其责任。</w:t>
      </w:r>
    </w:p>
    <w:p>
      <w:pPr>
        <w:keepNext w:val="0"/>
        <w:keepLines w:val="0"/>
        <w:pageBreakBefore w:val="0"/>
        <w:widowControl/>
        <w:tabs>
          <w:tab w:val="left" w:pos="9660"/>
        </w:tabs>
        <w:kinsoku w:val="0"/>
        <w:wordWrap/>
        <w:overflowPunct/>
        <w:topLinePunct w:val="0"/>
        <w:autoSpaceDE w:val="0"/>
        <w:autoSpaceDN w:val="0"/>
        <w:bidi w:val="0"/>
        <w:adjustRightInd w:val="0"/>
        <w:snapToGrid w:val="0"/>
        <w:spacing w:line="360" w:lineRule="auto"/>
        <w:ind w:left="15" w:right="218" w:rightChars="104"/>
        <w:textAlignment w:val="baseline"/>
        <w:outlineLvl w:val="1"/>
        <w:rPr>
          <w:rFonts w:hint="default" w:ascii="Times New Roman" w:hAnsi="Times New Roman" w:eastAsia="宋体" w:cs="Times New Roman"/>
          <w:b/>
          <w:bCs/>
          <w:spacing w:val="15"/>
          <w:sz w:val="28"/>
          <w:szCs w:val="28"/>
          <w:highlight w:val="none"/>
        </w:rPr>
      </w:pPr>
      <w:r>
        <w:rPr>
          <w:rFonts w:hint="default" w:ascii="Times New Roman" w:hAnsi="Times New Roman" w:eastAsia="宋体" w:cs="Times New Roman"/>
          <w:b/>
          <w:bCs/>
          <w:spacing w:val="15"/>
          <w:sz w:val="28"/>
          <w:szCs w:val="28"/>
          <w:highlight w:val="none"/>
        </w:rPr>
        <w:t>6.2 磋商小组</w:t>
      </w:r>
    </w:p>
    <w:p>
      <w:pPr>
        <w:keepNext w:val="0"/>
        <w:keepLines w:val="0"/>
        <w:pageBreakBefore w:val="0"/>
        <w:widowControl/>
        <w:tabs>
          <w:tab w:val="left" w:pos="9660"/>
        </w:tabs>
        <w:kinsoku w:val="0"/>
        <w:wordWrap/>
        <w:overflowPunct/>
        <w:topLinePunct w:val="0"/>
        <w:autoSpaceDE w:val="0"/>
        <w:autoSpaceDN w:val="0"/>
        <w:bidi w:val="0"/>
        <w:adjustRightInd w:val="0"/>
        <w:snapToGrid w:val="0"/>
        <w:spacing w:line="360" w:lineRule="auto"/>
        <w:ind w:left="11" w:right="218" w:rightChars="104"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评审专家是采取随机方式在政府采购平台的专家库系统（以下简称专家库系统）抽取/由采购人根据《陕西省政府采购评审专家管理实施办法》（陕财办采〔2018〕20号）的规定，报主管部门同意后自行选定。</w:t>
      </w:r>
    </w:p>
    <w:p>
      <w:pPr>
        <w:keepNext w:val="0"/>
        <w:keepLines w:val="0"/>
        <w:pageBreakBefore w:val="0"/>
        <w:widowControl/>
        <w:tabs>
          <w:tab w:val="left" w:pos="9660"/>
        </w:tabs>
        <w:kinsoku w:val="0"/>
        <w:wordWrap/>
        <w:overflowPunct/>
        <w:topLinePunct w:val="0"/>
        <w:autoSpaceDE w:val="0"/>
        <w:autoSpaceDN w:val="0"/>
        <w:bidi w:val="0"/>
        <w:adjustRightInd w:val="0"/>
        <w:snapToGrid w:val="0"/>
        <w:spacing w:line="360" w:lineRule="auto"/>
        <w:ind w:left="11" w:right="218" w:rightChars="104"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磋商小组成员应当满足并适应电子化采购评审的工作需要，使用已身份认证并具备签章功能的证书，登录项目电子化交易系统进入项目评审功能模块确认身份、签到、推荐磋商小组组长。采购人代表可以使用采购人代表专用签章确认评审意见。</w:t>
      </w:r>
    </w:p>
    <w:p>
      <w:pPr>
        <w:keepNext w:val="0"/>
        <w:keepLines w:val="0"/>
        <w:pageBreakBefore w:val="0"/>
        <w:widowControl/>
        <w:tabs>
          <w:tab w:val="left" w:pos="9660"/>
        </w:tabs>
        <w:kinsoku w:val="0"/>
        <w:wordWrap/>
        <w:overflowPunct/>
        <w:topLinePunct w:val="0"/>
        <w:autoSpaceDE w:val="0"/>
        <w:autoSpaceDN w:val="0"/>
        <w:bidi w:val="0"/>
        <w:adjustRightInd w:val="0"/>
        <w:snapToGrid w:val="0"/>
        <w:spacing w:line="360" w:lineRule="auto"/>
        <w:ind w:left="11" w:right="218" w:rightChars="104"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磋商小组成员获取解密后的响应文件，开展评审活动。出现应当回避的情形时，磋商小组成员应当主动回避；代理机构按规定申请补充抽取评审专家；无法及时补充抽取的，采购人或者代理机构应当封存供应商响应文件，按规定重新组建磋商小组，解封响应文件后，开展评审活动。</w:t>
      </w:r>
    </w:p>
    <w:p>
      <w:pPr>
        <w:keepNext w:val="0"/>
        <w:keepLines w:val="0"/>
        <w:pageBreakBefore w:val="0"/>
        <w:widowControl/>
        <w:tabs>
          <w:tab w:val="left" w:pos="9660"/>
        </w:tabs>
        <w:kinsoku w:val="0"/>
        <w:wordWrap/>
        <w:overflowPunct/>
        <w:topLinePunct w:val="0"/>
        <w:autoSpaceDE w:val="0"/>
        <w:autoSpaceDN w:val="0"/>
        <w:bidi w:val="0"/>
        <w:adjustRightInd w:val="0"/>
        <w:snapToGrid w:val="0"/>
        <w:spacing w:line="360" w:lineRule="auto"/>
        <w:ind w:left="11" w:right="218" w:rightChars="104"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三、磋商小组按照磋商文件规定的磋商程序、评审方法和标准进行评审，并独立履行下列职责：</w:t>
      </w:r>
    </w:p>
    <w:p>
      <w:pPr>
        <w:keepNext w:val="0"/>
        <w:keepLines w:val="0"/>
        <w:pageBreakBefore w:val="0"/>
        <w:widowControl/>
        <w:tabs>
          <w:tab w:val="left" w:pos="9660"/>
        </w:tabs>
        <w:kinsoku w:val="0"/>
        <w:wordWrap/>
        <w:overflowPunct/>
        <w:topLinePunct w:val="0"/>
        <w:autoSpaceDE w:val="0"/>
        <w:autoSpaceDN w:val="0"/>
        <w:bidi w:val="0"/>
        <w:adjustRightInd w:val="0"/>
        <w:snapToGrid w:val="0"/>
        <w:spacing w:line="360" w:lineRule="auto"/>
        <w:ind w:left="11" w:right="218" w:rightChars="104"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（一）熟悉和理解磋商文件；</w:t>
      </w:r>
    </w:p>
    <w:p>
      <w:pPr>
        <w:keepNext w:val="0"/>
        <w:keepLines w:val="0"/>
        <w:pageBreakBefore w:val="0"/>
        <w:widowControl/>
        <w:tabs>
          <w:tab w:val="left" w:pos="9660"/>
        </w:tabs>
        <w:kinsoku w:val="0"/>
        <w:wordWrap/>
        <w:overflowPunct/>
        <w:topLinePunct w:val="0"/>
        <w:autoSpaceDE w:val="0"/>
        <w:autoSpaceDN w:val="0"/>
        <w:bidi w:val="0"/>
        <w:adjustRightInd w:val="0"/>
        <w:snapToGrid w:val="0"/>
        <w:spacing w:line="360" w:lineRule="auto"/>
        <w:ind w:left="11" w:right="218" w:rightChars="104"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（二）审查供应商响应文件等是否满足磋商文件要求，并作出评价；</w:t>
      </w:r>
    </w:p>
    <w:p>
      <w:pPr>
        <w:keepNext w:val="0"/>
        <w:keepLines w:val="0"/>
        <w:pageBreakBefore w:val="0"/>
        <w:widowControl/>
        <w:tabs>
          <w:tab w:val="left" w:pos="9660"/>
        </w:tabs>
        <w:kinsoku w:val="0"/>
        <w:wordWrap/>
        <w:overflowPunct/>
        <w:topLinePunct w:val="0"/>
        <w:autoSpaceDE w:val="0"/>
        <w:autoSpaceDN w:val="0"/>
        <w:bidi w:val="0"/>
        <w:adjustRightInd w:val="0"/>
        <w:snapToGrid w:val="0"/>
        <w:spacing w:line="360" w:lineRule="auto"/>
        <w:ind w:left="11" w:right="218" w:rightChars="104"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（三）根据需要要求采购组织单位对磋商文件作出解释；根据需要要求供应商对响应文件有关事项作出澄清、说明或者更正；</w:t>
      </w:r>
    </w:p>
    <w:p>
      <w:pPr>
        <w:keepNext w:val="0"/>
        <w:keepLines w:val="0"/>
        <w:pageBreakBefore w:val="0"/>
        <w:widowControl/>
        <w:tabs>
          <w:tab w:val="left" w:pos="9660"/>
        </w:tabs>
        <w:kinsoku w:val="0"/>
        <w:wordWrap/>
        <w:overflowPunct/>
        <w:topLinePunct w:val="0"/>
        <w:autoSpaceDE w:val="0"/>
        <w:autoSpaceDN w:val="0"/>
        <w:bidi w:val="0"/>
        <w:adjustRightInd w:val="0"/>
        <w:snapToGrid w:val="0"/>
        <w:spacing w:line="360" w:lineRule="auto"/>
        <w:ind w:left="11" w:right="218" w:rightChars="104"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（四）推荐成交候选供应商，或者受采购人委托确定成交供应商；</w:t>
      </w:r>
    </w:p>
    <w:p>
      <w:pPr>
        <w:keepNext w:val="0"/>
        <w:keepLines w:val="0"/>
        <w:pageBreakBefore w:val="0"/>
        <w:widowControl/>
        <w:tabs>
          <w:tab w:val="left" w:pos="9660"/>
        </w:tabs>
        <w:kinsoku w:val="0"/>
        <w:wordWrap/>
        <w:overflowPunct/>
        <w:topLinePunct w:val="0"/>
        <w:autoSpaceDE w:val="0"/>
        <w:autoSpaceDN w:val="0"/>
        <w:bidi w:val="0"/>
        <w:adjustRightInd w:val="0"/>
        <w:snapToGrid w:val="0"/>
        <w:spacing w:line="360" w:lineRule="auto"/>
        <w:ind w:left="11" w:right="218" w:rightChars="104"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（五）起草评审报告并进行签署；</w:t>
      </w:r>
    </w:p>
    <w:p>
      <w:pPr>
        <w:keepNext w:val="0"/>
        <w:keepLines w:val="0"/>
        <w:pageBreakBefore w:val="0"/>
        <w:widowControl/>
        <w:tabs>
          <w:tab w:val="left" w:pos="9660"/>
        </w:tabs>
        <w:kinsoku w:val="0"/>
        <w:wordWrap/>
        <w:overflowPunct/>
        <w:topLinePunct w:val="0"/>
        <w:autoSpaceDE w:val="0"/>
        <w:autoSpaceDN w:val="0"/>
        <w:bidi w:val="0"/>
        <w:adjustRightInd w:val="0"/>
        <w:snapToGrid w:val="0"/>
        <w:spacing w:line="360" w:lineRule="auto"/>
        <w:ind w:left="11" w:right="218" w:rightChars="104"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（六）向采购组织单位、财政部门或者其他监督部门报告非法干预评审工作的行为；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（七）法律、法规和规章规定的其他职责。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pacing w:val="15"/>
          <w:sz w:val="28"/>
          <w:szCs w:val="28"/>
          <w:highlight w:val="none"/>
        </w:rPr>
      </w:pPr>
      <w:r>
        <w:rPr>
          <w:rFonts w:hint="default" w:ascii="Times New Roman" w:hAnsi="Times New Roman" w:eastAsia="宋体" w:cs="Times New Roman"/>
          <w:b/>
          <w:bCs/>
          <w:spacing w:val="15"/>
          <w:sz w:val="28"/>
          <w:szCs w:val="28"/>
          <w:highlight w:val="none"/>
        </w:rPr>
        <w:t>6.3评审程序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6.3.1熟悉和理解磋商文件和停止评审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一、磋商小组正式评审前，应当对磋商文件进行熟悉和理解，内容主要包括磋商文件中供应商资格条件要求、采购项目技术、服务和商务要求、磋商办法和标准、政府采购政策要求以及政府采购合同主要条款等。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二、本磋商文件有下列情形之一的，磋商小组应当停止评审：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（一）磋商文件的规定存在歧义、重大缺陷的；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（二）磋商文件明显以不合理条件对供应商实行差别待遇或者歧视待遇的；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（三）采购项目属于国家规定的优先、强制采购范围，但是磋商文件未依法体现优先、强制采购相关规定的；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（四）采购项目属于政府采购促进中小企业发展的范围，但是磋商文件未依法体现促进中小企业发展相关规定的；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（五）磋商文件将供应商的资格条件列为评分因素的；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（六）磋商文件载明的成交原则不合法的；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（七）磋商文件有违反国家其他有关强制性规定的情形。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出现上述应当停止评审情形的，磋商小组应当通过项目电子化交易系统向采购组织单位提交相关说明材料，说明停止评审的情形和具体理由。除上述情形外，磋商小组不得以任何方式和理由停止评审。</w:t>
      </w:r>
    </w:p>
    <w:p>
      <w:pPr>
        <w:keepNext w:val="0"/>
        <w:keepLines w:val="0"/>
        <w:pageBreakBefore w:val="0"/>
        <w:widowControl/>
        <w:kinsoku/>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出现上述应当停止评审情形的，采购组织单位应当通过项目电子化交易系统书面告知参加采购活动的供应商，并说明具体原因，同时在陕西省政府采购网公告。采购组织单位认为磋商小组不应当停止评审的，可以书面报告采购项目同级财政部门依法处理，并提供相关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6.3.2符合性审查</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一、磋商小组依据本磋商文件的实质性要求，对符合资格的响应文件进行审查，以确定其是否满足本磋商文件的实质性要求。本项目的符合性审查事项必须以本磋商文件的明确规定的实质性要求为依据。</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二、在符合性审查过程中，如果出现磋商小组成员意见不一致的情况，按照少数服从多数的原则确定，但不得违背政府采购基本原则和磋商文件规定。</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三、磋商小组对所有响应文件进行审查后，确定参加磋商的供应商名单。</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符合性审查标准见下表：</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采购包1：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2000"/>
        <w:gridCol w:w="5607"/>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65" w:type="dxa"/>
            <w:vAlign w:val="center"/>
          </w:tcPr>
          <w:p>
            <w:pPr>
              <w:widowControl w:val="0"/>
              <w:bidi w:val="0"/>
              <w:jc w:val="center"/>
              <w:rPr>
                <w:rFonts w:hint="default"/>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序号</w:t>
            </w:r>
          </w:p>
        </w:tc>
        <w:tc>
          <w:tcPr>
            <w:tcW w:w="2000" w:type="dxa"/>
            <w:vAlign w:val="center"/>
          </w:tcPr>
          <w:p>
            <w:pPr>
              <w:widowControl w:val="0"/>
              <w:bidi w:val="0"/>
              <w:jc w:val="center"/>
              <w:rPr>
                <w:rFonts w:hint="default"/>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符合审查要求概况</w:t>
            </w:r>
          </w:p>
        </w:tc>
        <w:tc>
          <w:tcPr>
            <w:tcW w:w="5607" w:type="dxa"/>
            <w:vAlign w:val="center"/>
          </w:tcPr>
          <w:p>
            <w:pPr>
              <w:widowControl w:val="0"/>
              <w:bidi w:val="0"/>
              <w:jc w:val="center"/>
              <w:rPr>
                <w:rFonts w:hint="default"/>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评审点具体描述</w:t>
            </w:r>
          </w:p>
        </w:tc>
        <w:tc>
          <w:tcPr>
            <w:tcW w:w="1684" w:type="dxa"/>
            <w:vAlign w:val="center"/>
          </w:tcPr>
          <w:p>
            <w:pPr>
              <w:widowControl w:val="0"/>
              <w:bidi w:val="0"/>
              <w:jc w:val="center"/>
              <w:rPr>
                <w:rFonts w:hint="default"/>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关联格式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665" w:type="dxa"/>
            <w:vAlign w:val="top"/>
          </w:tcPr>
          <w:p>
            <w:pPr>
              <w:pStyle w:val="25"/>
              <w:widowControl w:val="0"/>
              <w:jc w:val="both"/>
              <w:rPr>
                <w:rFonts w:hint="default"/>
                <w:color w:val="FF0000"/>
                <w:sz w:val="20"/>
                <w:szCs w:val="20"/>
                <w:highlight w:val="none"/>
              </w:rPr>
            </w:pPr>
            <w:r>
              <w:t>1</w:t>
            </w:r>
          </w:p>
        </w:tc>
        <w:tc>
          <w:tcPr>
            <w:tcW w:w="2000" w:type="dxa"/>
            <w:vAlign w:val="top"/>
          </w:tcPr>
          <w:p>
            <w:pPr>
              <w:pStyle w:val="25"/>
              <w:widowControl w:val="0"/>
              <w:jc w:val="both"/>
              <w:rPr>
                <w:rFonts w:ascii="Arial" w:hAnsi="Arial" w:eastAsia="Arial" w:cs="Arial"/>
                <w:snapToGrid w:val="0"/>
                <w:color w:val="FF0000"/>
                <w:kern w:val="0"/>
                <w:sz w:val="20"/>
                <w:szCs w:val="20"/>
                <w:highlight w:val="none"/>
                <w:lang w:val="en-US" w:eastAsia="en-US" w:bidi="ar-SA"/>
              </w:rPr>
            </w:pPr>
            <w:r>
              <w:t>不正当竞争预防措施（实质性要求）</w:t>
            </w:r>
          </w:p>
        </w:tc>
        <w:tc>
          <w:tcPr>
            <w:tcW w:w="5607" w:type="dxa"/>
            <w:vAlign w:val="top"/>
          </w:tcPr>
          <w:p>
            <w:pPr>
              <w:pStyle w:val="25"/>
              <w:widowControl w:val="0"/>
              <w:jc w:val="both"/>
              <w:rPr>
                <w:rFonts w:ascii="Arial" w:hAnsi="Arial" w:eastAsia="Arial" w:cs="Arial"/>
                <w:snapToGrid w:val="0"/>
                <w:color w:val="FF0000"/>
                <w:kern w:val="0"/>
                <w:sz w:val="20"/>
                <w:szCs w:val="20"/>
                <w:highlight w:val="none"/>
                <w:lang w:val="en-US" w:eastAsia="en-US" w:bidi="ar-SA"/>
              </w:rPr>
            </w:pPr>
            <w:r>
              <w:t>1.在磋商过程中，磋商小组认为供应商报价（低于采购预算50%或者低于其他有效供应商报价算术平均价40%）有可能影响产品（服务）质量或者不能诚信履约的，磋商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2.供应商提交的相关证明材料，应当加盖供应商（法定名称）电子印章，在磋商小组要求的时间内通过项目电子化交易系统进行提交，否则提交的相关证明材料无效。供应商不能证明其报价合理性的，磋商小组应当将其响应文件作为无效处理。</w:t>
            </w:r>
          </w:p>
        </w:tc>
        <w:tc>
          <w:tcPr>
            <w:tcW w:w="1684" w:type="dxa"/>
            <w:vAlign w:val="top"/>
          </w:tcPr>
          <w:p>
            <w:pPr>
              <w:pStyle w:val="25"/>
              <w:widowControl w:val="0"/>
              <w:jc w:val="both"/>
              <w:rPr>
                <w:rFonts w:ascii="Arial" w:hAnsi="Arial" w:eastAsia="Arial" w:cs="Arial"/>
                <w:snapToGrid w:val="0"/>
                <w:color w:val="FF0000"/>
                <w:kern w:val="0"/>
                <w:sz w:val="20"/>
                <w:szCs w:val="20"/>
                <w:highlight w:val="none"/>
                <w:lang w:val="en-US" w:eastAsia="en-US" w:bidi="ar-SA"/>
              </w:rPr>
            </w:pPr>
            <w:r>
              <w:t>商务技术部分 标的清单 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65" w:type="dxa"/>
            <w:vAlign w:val="top"/>
          </w:tcPr>
          <w:p>
            <w:pPr>
              <w:pStyle w:val="25"/>
              <w:widowControl w:val="0"/>
              <w:jc w:val="both"/>
              <w:rPr>
                <w:rFonts w:hint="default"/>
                <w:color w:val="FF0000"/>
                <w:sz w:val="20"/>
                <w:szCs w:val="20"/>
                <w:highlight w:val="none"/>
              </w:rPr>
            </w:pPr>
            <w:r>
              <w:t>2</w:t>
            </w:r>
          </w:p>
        </w:tc>
        <w:tc>
          <w:tcPr>
            <w:tcW w:w="2000" w:type="dxa"/>
            <w:vAlign w:val="top"/>
          </w:tcPr>
          <w:p>
            <w:pPr>
              <w:pStyle w:val="25"/>
              <w:widowControl w:val="0"/>
              <w:jc w:val="both"/>
              <w:rPr>
                <w:rFonts w:hint="default" w:ascii="Arial" w:hAnsi="Arial" w:eastAsia="Arial" w:cs="Arial"/>
                <w:snapToGrid w:val="0"/>
                <w:color w:val="FF0000"/>
                <w:kern w:val="0"/>
                <w:sz w:val="20"/>
                <w:szCs w:val="20"/>
                <w:highlight w:val="none"/>
                <w:lang w:val="en-US" w:eastAsia="en-US" w:bidi="ar-SA"/>
              </w:rPr>
            </w:pPr>
            <w:r>
              <w:t>响应文件的签署、盖章</w:t>
            </w:r>
          </w:p>
        </w:tc>
        <w:tc>
          <w:tcPr>
            <w:tcW w:w="5607" w:type="dxa"/>
            <w:vAlign w:val="top"/>
          </w:tcPr>
          <w:p>
            <w:pPr>
              <w:pStyle w:val="25"/>
              <w:widowControl w:val="0"/>
              <w:jc w:val="both"/>
              <w:rPr>
                <w:rFonts w:hint="default" w:ascii="Arial" w:hAnsi="Arial" w:eastAsia="Arial" w:cs="Arial"/>
                <w:snapToGrid w:val="0"/>
                <w:color w:val="FF0000"/>
                <w:kern w:val="0"/>
                <w:sz w:val="20"/>
                <w:szCs w:val="20"/>
                <w:highlight w:val="none"/>
                <w:lang w:val="en-US" w:eastAsia="en-US" w:bidi="ar-SA"/>
              </w:rPr>
            </w:pPr>
            <w:r>
              <w:t>符合磋商文件有关签署、盖章要求</w:t>
            </w:r>
          </w:p>
        </w:tc>
        <w:tc>
          <w:tcPr>
            <w:tcW w:w="1684" w:type="dxa"/>
            <w:vAlign w:val="top"/>
          </w:tcPr>
          <w:p>
            <w:pPr>
              <w:pStyle w:val="25"/>
              <w:widowControl w:val="0"/>
              <w:jc w:val="both"/>
              <w:rPr>
                <w:rFonts w:hint="eastAsia" w:ascii="Arial" w:hAnsi="Arial" w:eastAsia="宋体" w:cs="Arial"/>
                <w:snapToGrid w:val="0"/>
                <w:color w:val="00B050"/>
                <w:kern w:val="0"/>
                <w:sz w:val="20"/>
                <w:szCs w:val="20"/>
                <w:highlight w:val="none"/>
                <w:lang w:val="en-US" w:eastAsia="zh-CN" w:bidi="ar-SA"/>
              </w:rPr>
            </w:pPr>
            <w:r>
              <w:t>响应文件封面 商务技术部分 资格证明部分 标的清单 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65" w:type="dxa"/>
            <w:vAlign w:val="top"/>
          </w:tcPr>
          <w:p>
            <w:pPr>
              <w:pStyle w:val="25"/>
              <w:widowControl w:val="0"/>
              <w:jc w:val="both"/>
              <w:rPr>
                <w:rFonts w:hint="default"/>
                <w:color w:val="FF0000"/>
                <w:sz w:val="20"/>
                <w:szCs w:val="20"/>
                <w:highlight w:val="none"/>
              </w:rPr>
            </w:pPr>
            <w:r>
              <w:t>3</w:t>
            </w:r>
          </w:p>
        </w:tc>
        <w:tc>
          <w:tcPr>
            <w:tcW w:w="2000" w:type="dxa"/>
            <w:vAlign w:val="top"/>
          </w:tcPr>
          <w:p>
            <w:pPr>
              <w:pStyle w:val="25"/>
              <w:widowControl w:val="0"/>
              <w:jc w:val="both"/>
              <w:rPr>
                <w:rFonts w:hint="default" w:ascii="Arial" w:hAnsi="Arial" w:eastAsia="Arial" w:cs="Arial"/>
                <w:snapToGrid w:val="0"/>
                <w:color w:val="FF0000"/>
                <w:kern w:val="0"/>
                <w:sz w:val="20"/>
                <w:szCs w:val="20"/>
                <w:highlight w:val="none"/>
                <w:lang w:val="en-US" w:eastAsia="en-US" w:bidi="ar-SA"/>
              </w:rPr>
            </w:pPr>
            <w:r>
              <w:t>响应文件格式</w:t>
            </w:r>
          </w:p>
        </w:tc>
        <w:tc>
          <w:tcPr>
            <w:tcW w:w="5607" w:type="dxa"/>
            <w:vAlign w:val="top"/>
          </w:tcPr>
          <w:p>
            <w:pPr>
              <w:pStyle w:val="25"/>
              <w:widowControl w:val="0"/>
              <w:jc w:val="both"/>
              <w:rPr>
                <w:rFonts w:hint="default" w:ascii="Arial" w:hAnsi="Arial" w:eastAsia="Arial" w:cs="Arial"/>
                <w:snapToGrid w:val="0"/>
                <w:color w:val="FF0000"/>
                <w:kern w:val="0"/>
                <w:sz w:val="20"/>
                <w:szCs w:val="20"/>
                <w:highlight w:val="none"/>
                <w:lang w:val="en-US" w:eastAsia="en-US" w:bidi="ar-SA"/>
              </w:rPr>
            </w:pPr>
            <w:r>
              <w:t>应符合“响应文件格式”要求（不得因文件排序等非实质性的格式、形式问题限制和影响供应商响应)</w:t>
            </w:r>
          </w:p>
        </w:tc>
        <w:tc>
          <w:tcPr>
            <w:tcW w:w="1684" w:type="dxa"/>
            <w:vAlign w:val="top"/>
          </w:tcPr>
          <w:p>
            <w:pPr>
              <w:pStyle w:val="25"/>
              <w:widowControl w:val="0"/>
              <w:jc w:val="both"/>
              <w:rPr>
                <w:rFonts w:hint="default" w:ascii="Arial" w:hAnsi="Arial" w:eastAsia="Arial" w:cs="Arial"/>
                <w:snapToGrid w:val="0"/>
                <w:color w:val="00B050"/>
                <w:kern w:val="0"/>
                <w:sz w:val="20"/>
                <w:szCs w:val="20"/>
                <w:highlight w:val="none"/>
                <w:lang w:val="en-US" w:eastAsia="en-US" w:bidi="ar-SA"/>
              </w:rPr>
            </w:pPr>
            <w:r>
              <w:t>商务技术部分 资格证明部分 标的清单 报价表 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665" w:type="dxa"/>
            <w:vAlign w:val="top"/>
          </w:tcPr>
          <w:p>
            <w:pPr>
              <w:pStyle w:val="25"/>
              <w:widowControl w:val="0"/>
              <w:jc w:val="both"/>
              <w:rPr>
                <w:rFonts w:hint="default"/>
                <w:color w:val="FF0000"/>
                <w:sz w:val="20"/>
                <w:szCs w:val="20"/>
                <w:highlight w:val="none"/>
              </w:rPr>
            </w:pPr>
            <w:r>
              <w:t>4</w:t>
            </w:r>
          </w:p>
        </w:tc>
        <w:tc>
          <w:tcPr>
            <w:tcW w:w="2000" w:type="dxa"/>
            <w:vAlign w:val="top"/>
          </w:tcPr>
          <w:p>
            <w:pPr>
              <w:pStyle w:val="25"/>
              <w:widowControl w:val="0"/>
              <w:jc w:val="both"/>
              <w:rPr>
                <w:color w:val="FF0000"/>
                <w:sz w:val="20"/>
                <w:szCs w:val="20"/>
                <w:highlight w:val="none"/>
              </w:rPr>
            </w:pPr>
            <w:r>
              <w:t>报价唯一</w:t>
            </w:r>
          </w:p>
        </w:tc>
        <w:tc>
          <w:tcPr>
            <w:tcW w:w="5607" w:type="dxa"/>
            <w:vAlign w:val="top"/>
          </w:tcPr>
          <w:p>
            <w:pPr>
              <w:pStyle w:val="25"/>
              <w:widowControl w:val="0"/>
              <w:jc w:val="both"/>
              <w:rPr>
                <w:color w:val="FF0000"/>
                <w:sz w:val="20"/>
                <w:szCs w:val="20"/>
                <w:highlight w:val="none"/>
              </w:rPr>
            </w:pPr>
            <w:r>
              <w:t>只能有一个有效报价，不得提交选择性报价，且报价不超过第二章“供应商须知”前附表规定的采购预算金额或最高限价</w:t>
            </w:r>
          </w:p>
        </w:tc>
        <w:tc>
          <w:tcPr>
            <w:tcW w:w="1684" w:type="dxa"/>
            <w:vAlign w:val="top"/>
          </w:tcPr>
          <w:p>
            <w:pPr>
              <w:pStyle w:val="25"/>
              <w:widowControl w:val="0"/>
              <w:jc w:val="both"/>
              <w:rPr>
                <w:rFonts w:hint="eastAsia" w:eastAsia="宋体"/>
                <w:lang w:eastAsia="zh-CN"/>
              </w:rPr>
            </w:pPr>
            <w:r>
              <w:t>商务技术部分 标的清单 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top"/>
          </w:tcPr>
          <w:p>
            <w:pPr>
              <w:pStyle w:val="25"/>
              <w:widowControl w:val="0"/>
              <w:jc w:val="both"/>
              <w:rPr>
                <w:rFonts w:hint="default"/>
                <w:color w:val="FF0000"/>
                <w:sz w:val="20"/>
                <w:szCs w:val="20"/>
                <w:highlight w:val="none"/>
              </w:rPr>
            </w:pPr>
            <w:r>
              <w:t>5</w:t>
            </w:r>
          </w:p>
        </w:tc>
        <w:tc>
          <w:tcPr>
            <w:tcW w:w="2000" w:type="dxa"/>
            <w:vAlign w:val="top"/>
          </w:tcPr>
          <w:p>
            <w:pPr>
              <w:pStyle w:val="25"/>
              <w:widowControl w:val="0"/>
              <w:jc w:val="both"/>
              <w:rPr>
                <w:rFonts w:hint="default"/>
                <w:color w:val="FF0000"/>
                <w:sz w:val="20"/>
                <w:szCs w:val="20"/>
                <w:highlight w:val="none"/>
              </w:rPr>
            </w:pPr>
            <w:r>
              <w:t>不存在恶意串通的情形</w:t>
            </w:r>
          </w:p>
        </w:tc>
        <w:tc>
          <w:tcPr>
            <w:tcW w:w="5607" w:type="dxa"/>
            <w:vAlign w:val="top"/>
          </w:tcPr>
          <w:p>
            <w:pPr>
              <w:pStyle w:val="25"/>
              <w:widowControl w:val="0"/>
              <w:jc w:val="both"/>
              <w:rPr>
                <w:rFonts w:hint="default"/>
              </w:rPr>
            </w:pPr>
            <w:r>
              <w:t>不存在以下情形： （1）不同供应商的响应文件由同一单位或者个人编制； （2）不同供应商委托同一单位或者个人办理磋商事宜； （3）不同供应商的响应文件载明的项目管理成员或者联系人员为同一人； （4）不同供应商的响应文件异常一致或者响应报价呈规律性差异；</w:t>
            </w:r>
          </w:p>
        </w:tc>
        <w:tc>
          <w:tcPr>
            <w:tcW w:w="1684" w:type="dxa"/>
            <w:vAlign w:val="top"/>
          </w:tcPr>
          <w:p>
            <w:pPr>
              <w:pStyle w:val="25"/>
              <w:widowControl w:val="0"/>
              <w:jc w:val="both"/>
              <w:rPr>
                <w:rFonts w:hint="default"/>
                <w:color w:val="00B050"/>
                <w:sz w:val="20"/>
                <w:szCs w:val="20"/>
                <w:highlight w:val="none"/>
              </w:rPr>
            </w:pPr>
            <w:r>
              <w:t>商务技术部分 资格证明部分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top"/>
          </w:tcPr>
          <w:p>
            <w:pPr>
              <w:pStyle w:val="25"/>
              <w:widowControl w:val="0"/>
              <w:jc w:val="both"/>
              <w:rPr>
                <w:rFonts w:hint="default"/>
                <w:color w:val="FF0000"/>
                <w:sz w:val="20"/>
                <w:szCs w:val="20"/>
                <w:highlight w:val="none"/>
              </w:rPr>
            </w:pPr>
            <w:r>
              <w:t>6</w:t>
            </w:r>
          </w:p>
        </w:tc>
        <w:tc>
          <w:tcPr>
            <w:tcW w:w="2000" w:type="dxa"/>
            <w:vAlign w:val="top"/>
          </w:tcPr>
          <w:p>
            <w:pPr>
              <w:pStyle w:val="25"/>
              <w:widowControl w:val="0"/>
              <w:jc w:val="both"/>
              <w:rPr>
                <w:rFonts w:hint="default"/>
                <w:color w:val="FF0000"/>
                <w:sz w:val="20"/>
                <w:szCs w:val="20"/>
                <w:highlight w:val="none"/>
                <w:lang w:val="en-US" w:eastAsia="en-US"/>
              </w:rPr>
            </w:pPr>
            <w:r>
              <w:t>响应文件内容</w:t>
            </w:r>
          </w:p>
        </w:tc>
        <w:tc>
          <w:tcPr>
            <w:tcW w:w="5607" w:type="dxa"/>
            <w:vAlign w:val="top"/>
          </w:tcPr>
          <w:p>
            <w:pPr>
              <w:pStyle w:val="25"/>
              <w:widowControl w:val="0"/>
              <w:jc w:val="both"/>
              <w:rPr>
                <w:rFonts w:hint="default"/>
                <w:color w:val="FF0000"/>
                <w:sz w:val="20"/>
                <w:szCs w:val="20"/>
                <w:highlight w:val="none"/>
                <w:lang w:val="en-US" w:eastAsia="en-US"/>
              </w:rPr>
            </w:pPr>
            <w:r>
              <w:t>响应文件内容齐全、无遗漏</w:t>
            </w:r>
          </w:p>
        </w:tc>
        <w:tc>
          <w:tcPr>
            <w:tcW w:w="1684" w:type="dxa"/>
            <w:vAlign w:val="top"/>
          </w:tcPr>
          <w:p>
            <w:pPr>
              <w:pStyle w:val="25"/>
              <w:widowControl w:val="0"/>
              <w:jc w:val="both"/>
              <w:rPr>
                <w:rFonts w:hint="default"/>
                <w:color w:val="00B050"/>
                <w:sz w:val="20"/>
                <w:szCs w:val="20"/>
                <w:highlight w:val="none"/>
                <w:lang w:val="en-US" w:eastAsia="en-US"/>
              </w:rPr>
            </w:pPr>
            <w:r>
              <w:t>响应文件封面 商务技术部分 资格证明部分 标的清单 报价表 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top"/>
          </w:tcPr>
          <w:p>
            <w:pPr>
              <w:pStyle w:val="25"/>
              <w:widowControl w:val="0"/>
              <w:jc w:val="both"/>
              <w:rPr>
                <w:rFonts w:hint="default"/>
                <w:color w:val="FF0000"/>
                <w:sz w:val="20"/>
                <w:szCs w:val="20"/>
                <w:highlight w:val="none"/>
              </w:rPr>
            </w:pPr>
            <w:r>
              <w:t>7</w:t>
            </w:r>
          </w:p>
        </w:tc>
        <w:tc>
          <w:tcPr>
            <w:tcW w:w="2000" w:type="dxa"/>
            <w:vAlign w:val="top"/>
          </w:tcPr>
          <w:p>
            <w:pPr>
              <w:pStyle w:val="25"/>
              <w:widowControl w:val="0"/>
              <w:jc w:val="both"/>
              <w:rPr>
                <w:rFonts w:hint="eastAsia" w:eastAsia="宋体"/>
                <w:color w:val="FF0000"/>
                <w:sz w:val="20"/>
                <w:szCs w:val="20"/>
                <w:highlight w:val="none"/>
                <w:lang w:eastAsia="zh-CN"/>
              </w:rPr>
            </w:pPr>
            <w:r>
              <w:t>对磋商文件响应程度</w:t>
            </w:r>
          </w:p>
        </w:tc>
        <w:tc>
          <w:tcPr>
            <w:tcW w:w="5607" w:type="dxa"/>
            <w:vAlign w:val="top"/>
          </w:tcPr>
          <w:p>
            <w:pPr>
              <w:pStyle w:val="25"/>
              <w:widowControl w:val="0"/>
              <w:jc w:val="both"/>
              <w:rPr>
                <w:rFonts w:hint="default"/>
                <w:color w:val="FF0000"/>
                <w:sz w:val="20"/>
                <w:szCs w:val="20"/>
                <w:highlight w:val="none"/>
              </w:rPr>
            </w:pPr>
            <w:r>
              <w:t>全面响应，且未含有采购人不能接受的附加条件</w:t>
            </w:r>
          </w:p>
        </w:tc>
        <w:tc>
          <w:tcPr>
            <w:tcW w:w="1684" w:type="dxa"/>
            <w:vAlign w:val="top"/>
          </w:tcPr>
          <w:p>
            <w:pPr>
              <w:pStyle w:val="25"/>
              <w:widowControl w:val="0"/>
              <w:jc w:val="both"/>
              <w:rPr>
                <w:rFonts w:hint="default"/>
                <w:color w:val="00B050"/>
                <w:sz w:val="20"/>
                <w:szCs w:val="20"/>
                <w:highlight w:val="none"/>
              </w:rPr>
            </w:pPr>
            <w:r>
              <w:t>商务技术部分 报价表 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65" w:type="dxa"/>
            <w:vAlign w:val="top"/>
          </w:tcPr>
          <w:p>
            <w:pPr>
              <w:pStyle w:val="25"/>
              <w:widowControl w:val="0"/>
              <w:jc w:val="both"/>
              <w:rPr>
                <w:rFonts w:hint="default"/>
                <w:color w:val="FF0000"/>
                <w:sz w:val="20"/>
                <w:szCs w:val="20"/>
                <w:highlight w:val="none"/>
              </w:rPr>
            </w:pPr>
            <w:r>
              <w:t>8</w:t>
            </w:r>
          </w:p>
        </w:tc>
        <w:tc>
          <w:tcPr>
            <w:tcW w:w="2000" w:type="dxa"/>
            <w:vAlign w:val="top"/>
          </w:tcPr>
          <w:p>
            <w:pPr>
              <w:pStyle w:val="25"/>
              <w:widowControl w:val="0"/>
              <w:jc w:val="both"/>
              <w:rPr>
                <w:rFonts w:hint="default"/>
                <w:color w:val="FF0000"/>
                <w:sz w:val="20"/>
                <w:szCs w:val="20"/>
                <w:highlight w:val="none"/>
              </w:rPr>
            </w:pPr>
            <w:r>
              <w:t>服务期限</w:t>
            </w:r>
          </w:p>
        </w:tc>
        <w:tc>
          <w:tcPr>
            <w:tcW w:w="5607" w:type="dxa"/>
            <w:vAlign w:val="top"/>
          </w:tcPr>
          <w:p>
            <w:pPr>
              <w:pStyle w:val="25"/>
              <w:widowControl w:val="0"/>
              <w:jc w:val="both"/>
              <w:rPr>
                <w:rFonts w:hint="default"/>
                <w:color w:val="FF0000"/>
                <w:sz w:val="20"/>
                <w:szCs w:val="20"/>
                <w:highlight w:val="none"/>
              </w:rPr>
            </w:pPr>
            <w:r>
              <w:t>应符合磋商文件中采购需求的规定</w:t>
            </w:r>
          </w:p>
        </w:tc>
        <w:tc>
          <w:tcPr>
            <w:tcW w:w="1684" w:type="dxa"/>
            <w:vAlign w:val="top"/>
          </w:tcPr>
          <w:p>
            <w:pPr>
              <w:pStyle w:val="25"/>
              <w:widowControl w:val="0"/>
              <w:jc w:val="both"/>
              <w:rPr>
                <w:rFonts w:hint="default"/>
                <w:color w:val="00B050"/>
                <w:sz w:val="20"/>
                <w:szCs w:val="20"/>
                <w:highlight w:val="none"/>
              </w:rPr>
            </w:pPr>
            <w:r>
              <w:t>报价表 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65" w:type="dxa"/>
            <w:vAlign w:val="top"/>
          </w:tcPr>
          <w:p>
            <w:pPr>
              <w:pStyle w:val="25"/>
              <w:widowControl w:val="0"/>
              <w:jc w:val="both"/>
              <w:rPr>
                <w:rFonts w:hint="default"/>
                <w:color w:val="FF0000"/>
                <w:sz w:val="20"/>
                <w:szCs w:val="20"/>
                <w:highlight w:val="none"/>
              </w:rPr>
            </w:pPr>
            <w:r>
              <w:t>9</w:t>
            </w:r>
          </w:p>
        </w:tc>
        <w:tc>
          <w:tcPr>
            <w:tcW w:w="2000" w:type="dxa"/>
            <w:vAlign w:val="top"/>
          </w:tcPr>
          <w:p>
            <w:pPr>
              <w:pStyle w:val="25"/>
              <w:widowControl w:val="0"/>
              <w:jc w:val="both"/>
              <w:rPr>
                <w:rFonts w:hint="default"/>
                <w:color w:val="FF0000"/>
                <w:sz w:val="20"/>
                <w:szCs w:val="20"/>
                <w:highlight w:val="none"/>
              </w:rPr>
            </w:pPr>
            <w:r>
              <w:t>磋商有效期</w:t>
            </w:r>
          </w:p>
        </w:tc>
        <w:tc>
          <w:tcPr>
            <w:tcW w:w="5607" w:type="dxa"/>
            <w:vAlign w:val="top"/>
          </w:tcPr>
          <w:p>
            <w:pPr>
              <w:pStyle w:val="25"/>
              <w:widowControl w:val="0"/>
              <w:jc w:val="both"/>
              <w:rPr>
                <w:rFonts w:hint="default"/>
                <w:color w:val="FF0000"/>
                <w:sz w:val="20"/>
                <w:szCs w:val="20"/>
                <w:highlight w:val="none"/>
              </w:rPr>
            </w:pPr>
            <w:r>
              <w:t>应符合磋商文件中的规定</w:t>
            </w:r>
          </w:p>
        </w:tc>
        <w:tc>
          <w:tcPr>
            <w:tcW w:w="1684" w:type="dxa"/>
            <w:vAlign w:val="top"/>
          </w:tcPr>
          <w:p>
            <w:pPr>
              <w:pStyle w:val="25"/>
              <w:widowControl w:val="0"/>
              <w:jc w:val="both"/>
              <w:rPr>
                <w:rFonts w:hint="default"/>
                <w:color w:val="00B050"/>
                <w:sz w:val="20"/>
                <w:szCs w:val="20"/>
                <w:highlight w:val="none"/>
              </w:rPr>
            </w:pPr>
            <w:r>
              <w:t>响应函</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6.3.3磋商</w:t>
      </w:r>
    </w:p>
    <w:p>
      <w:pPr>
        <w:keepNext w:val="0"/>
        <w:keepLines w:val="0"/>
        <w:pageBreakBefore w:val="0"/>
        <w:widowControl/>
        <w:numPr>
          <w:ilvl w:val="0"/>
          <w:numId w:val="5"/>
        </w:numPr>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磋商小组按照磋商文件的规定与邀请参加磋商的供应商分别进行磋商，磋商顺序由磋商小组确定。</w:t>
      </w:r>
    </w:p>
    <w:p>
      <w:pPr>
        <w:keepNext w:val="0"/>
        <w:keepLines w:val="0"/>
        <w:pageBreakBefore w:val="0"/>
        <w:widowControl/>
        <w:numPr>
          <w:ilvl w:val="0"/>
          <w:numId w:val="5"/>
        </w:numPr>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highlight w:val="none"/>
        </w:rPr>
      </w:pPr>
      <w:r>
        <w:rPr>
          <w:rFonts w:hint="default"/>
          <w:highlight w:val="none"/>
        </w:rPr>
        <w:t>磋商小组所有成员集中与单一供应商对技术、服务、合同条款等内容分别进行一轮或多轮的磋商。在磋商中，磋商的任何一方不得透露与磋商有关的其他供应商的技术资料、价格和其他信息。</w:t>
      </w:r>
    </w:p>
    <w:p>
      <w:pPr>
        <w:keepNext w:val="0"/>
        <w:keepLines w:val="0"/>
        <w:pageBreakBefore w:val="0"/>
        <w:widowControl/>
        <w:numPr>
          <w:ilvl w:val="0"/>
          <w:numId w:val="5"/>
        </w:numPr>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磋商小组可以根据磋商文件和磋商情况实质性变动第三章</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磋商项目技术、服务、商务及其他要求</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、第八章</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拟签订采购合同文本</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，但不得变动磋商文件中的其他内容。实质性变动的内容，须经采购人代表确认。</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对磋商文件作出的实质性变动是磋商文件的有效组成部分，磋商小组应通过项目电子化交易系统，将变动情况同时通知所有参加磋商的供应商。磋商过程中，磋商小组可以根据磋商情况调整磋商轮次。</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磋商过程中，磋商文件变动的，供应商应当按照磋商文件的变动情况和磋商小组的要求就磋商文件变动部分，以</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供应商响应表</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形式在线提交磋商小组。</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供应商响应表</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作为响应文件的组成部分，响应文件应加盖供应商（法定名称）电子印章，否则无效。</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经最终磋商后，响应文件仍有下列情况之一的，应按照无效响应文件处理：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（一）响应文件仍不能实质响应磋商文件可实质性变动的实质性要求的；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（二）响应文件中仍有磋商文件规定的其他无效响应情形的。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七、磋商小组对供应商在磋商、评审过程中的书面交换材料，未按要求加盖电子印章或签字的，视同未提交书面交换材料。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八、磋商小组在最终磋商后，对所有响应文件的有效性、完整性和响应程度进行审查后，确定最后报价的供应商名单。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九、磋商过程中，磋商的任何一方不得透露与磋商有关的其他供应商的技术资料、价格和其他信息。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18"/>
          <w:szCs w:val="18"/>
          <w:highlight w:val="none"/>
        </w:rPr>
      </w:pPr>
      <w:r>
        <w:rPr>
          <w:rFonts w:hint="default" w:ascii="Times New Roman" w:hAnsi="Times New Roman" w:eastAsia="宋体" w:cs="Times New Roman"/>
          <w:sz w:val="21"/>
          <w:szCs w:val="21"/>
          <w:highlight w:val="none"/>
        </w:rPr>
        <w:t>十、磋商过程中，磋商小组发现或者知晓供应商存在违法行为的，应当磋商报告中予以记录，并向本级财政部门报告，依法应将该供应商响应文件作无效处理的，应当作无效处理。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6.3.4最后报价</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一、方案评审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color w:val="00B050"/>
          <w:sz w:val="21"/>
          <w:szCs w:val="21"/>
          <w:highlight w:val="none"/>
        </w:rPr>
      </w:pPr>
      <w:r>
        <w:rPr>
          <w:rFonts w:hint="default" w:ascii="Times New Roman" w:hAnsi="Times New Roman" w:eastAsia="宋体" w:cs="Times New Roman"/>
          <w:sz w:val="21"/>
          <w:szCs w:val="21"/>
          <w:highlight w:val="none"/>
        </w:rPr>
        <w:t>采购包1：</w:t>
      </w:r>
      <w:r>
        <w:rPr>
          <w:rFonts w:hint="default" w:ascii="Times New Roman" w:hAnsi="Times New Roman" w:eastAsia="宋体" w:cs="Times New Roman"/>
          <w:color w:val="000000" w:themeColor="text1"/>
          <w:sz w:val="21"/>
          <w:szCs w:val="21"/>
          <w:highlight w:val="none"/>
          <w14:textFill>
            <w14:solidFill>
              <w14:schemeClr w14:val="tx1"/>
            </w14:solidFill>
          </w14:textFill>
        </w:rPr>
        <w:t>磋商/谈判/协商文件能够详细列明采购标的的技术、服务要求，磋商/谈判/协商结束后，磋商/谈判/协商小组可以根据磋商/谈判/协商情况要求所有实质性响应的供应商在规定时间内提交最后报价，提交最后报价的供应商不得少于3家。</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二、磋商小组开启报价后，供应商应随时关注项目电子化交易系统信息或短信提醒，登录项目电子化交易系统，通过</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等候大厅</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进行报价并签章后提交。</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三、供应商在未提高响应文件中承诺的标准情况下，其最后报价不得高于对该项目之前的报价，否则，磋商小组应当对其响应文件作无效处理，并通过项目电子化交易系统告知供应商，说明理由。</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四、供应商最后报价属于明显低价不正当竞争的，磋商小组应按照</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供应商须知前附表</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第8项规定处理。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五、供应商未在响应文件提交截止时间内提交报价或未按要求进行报价的，视为无效响应，由供应商自行承担不利后果。</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六、供应商未按磋商小组要求在规定时间内提交最后报价的，视为其退出磋商。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七、最后报价一旦提交后，供应商不得以任何理由撤回。</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八、最后报价为有效报价应符合下列条件：</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（一）供应商所提供的最后报价是在规定的时间内提交。</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（二）供应商的最后报价应加盖供应商（法定名称）电子印章。</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（三）供应商的最后报价应符合磋商文件的要求。</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（四）最后报价唯一，且不高于最高限价。</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80" w:rightChars="38"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九、最后报价出现下列情况的，不需要供应商澄清，按以下原则处理：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80" w:rightChars="38"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（一）报价中的大写金额和小写金额不一致的，以大写金额为准，但大写金额出现文字错误，导致金额无法判断的除外；</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（二）单价金额小数点或者百分比有明显错位的，应以总价为准，并修改单价；</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（三）总价金额与按单价汇总金额不一致的，以单价汇总金额计算结果为准；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同时出现两种以上不一致的，按照前款规定的顺序修正。修正后的最后报价经加盖供应商（法定名称）电子印章后产生约束力，供应商不确认的，其最后报价无效。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6.3.5解释、澄清有关问题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评审过程中，磋商小组认为磋商文件有关事项表述不明确或需要说明的，可以提请代理机构书面解释。代理机构的解释不得改变磋商文件的原义或者影响公平、公正，解释事项如果涉及供应商权益的以有利于供应商的原则进行解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对响应文件中含义不明确、同类问题表述不一致或者有明显文字和计算错误的内容，磋商小组应当要求供应商作出必要的澄清、说明或者更正，并给予供应商必要的反馈时间。供应商应当按磋商小组的要求进行澄清、说明或者更正。供应商的澄清、说明或者更正不得超出响应文件的范围或者改变响应文件的实质性内容。澄清、说明或者更正不影响响应文件的效力，有效的澄清、说明或者更正材料是响应文件的组成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供应商的澄清、说明或者更正需进行电子签章，应当不超出响应文件的范围、不实质性改变响应文件的内容、不影响供应商的公平竞争、不导致响应文件从不响应磋商文件变为响应磋商文件的条件。下列内容不得澄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（一）供应商响应文件中不响应磋商文件规定的技术参数指标和商务应答；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（二）供应商响应文件中未提供的证明其是否符合磋商文件资格、符合性规定要求的相关材料。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（三）供应商响应文件中的材料因印刷、影印等不清晰而难以辨认的。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四、响应文件报价出现前后不一致的情形，按照本章前述规定予以处理，不需要供应商澄清。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五、代理机构宣布评审结束前，供应商应通过项目电子化交易系统随时关注评审消息提示，及时响应磋商小组发出的澄清、说明或更正要求。供应商未能及时响应的，自行承担不利后果。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六、磋商小组应当积极履行澄清、说明或者更正的职责，不得滥用权力。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6.3.6 比较与评价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磋商小组应当按照磋商文件规定的评标细则及标准，对符合性检查合格的响应文件进行商务和技术评估，综合比较和评价。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6.3.7复核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评审结束后，磋商小组应当进行复核，特别要对拟推荐为成交候选供应商的、报价最低的、响应文件被认定为无效的进行重点复核。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评审结果汇总完成后，磋商小组拟出具磋商报告前，代理机构应当组织2名以上的工作人员，在采购现场监督人员的监督之下，依据有关的法律制度和磋商文件对评审结果进行复核，出具复核报告。代理机构复核过程中，磋商小组成员不得离开评审现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除资格检查认定错误、分值汇总计算错误、分项评分超出评分标准范围、客观评分不一致、经磋商小组一致认定评分畸高、畸低的情形外，采购人或者代理机构不得以任何理由组织重新评审。采购人、代理机构发现磋商小组未按照磋商文件规定的评审标准进行评审的，应当重新开展采购活动，并同时书面报告本级财政部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lang w:val="en-US" w:eastAsia="zh-CN"/>
        </w:rPr>
      </w:pPr>
      <w:r>
        <w:rPr>
          <w:rFonts w:hint="eastAsia" w:ascii="Times New Roman" w:hAnsi="Times New Roman" w:eastAsia="宋体" w:cs="Times New Roman"/>
          <w:b/>
          <w:bCs/>
          <w:spacing w:val="11"/>
          <w:sz w:val="24"/>
          <w:szCs w:val="24"/>
          <w:highlight w:val="none"/>
          <w:lang w:val="en-US" w:eastAsia="zh-CN"/>
        </w:rPr>
        <w:t>6.3.8推荐成交候选供应商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磋商小组应当根据综合评分情况，按照评审得分由高到低顺序推荐如下家数的成交候选供应商，并编写磋商报告。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采购包1：3家；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相同排名规则</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评审得分相同的，按照最后报价由低到高的顺序推荐。评审得分且最后报价相同的，按供应商提供的优先采购产品认证证书数量由多到少顺序排列</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评审得分</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最后报价</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优先采购产品认证证书数量</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均相同的，由采购人抽取决定</w:t>
      </w:r>
      <w:r>
        <w:rPr>
          <w:rFonts w:hint="default" w:ascii="Times New Roman" w:hAnsi="Times New Roman" w:eastAsia="宋体" w:cs="Times New Roman"/>
          <w:color w:val="000000" w:themeColor="text1"/>
          <w:sz w:val="21"/>
          <w:szCs w:val="21"/>
          <w:highlight w:val="none"/>
          <w14:textFill>
            <w14:solidFill>
              <w14:schemeClr w14:val="tx1"/>
            </w14:solidFill>
          </w14:textFill>
        </w:rPr>
        <w:t>成交候选供应商</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排序</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200" w:right="0" w:hanging="420" w:hangingChars="200"/>
        <w:jc w:val="center"/>
        <w:textAlignment w:val="baseline"/>
        <w:rPr>
          <w:rFonts w:hint="default" w:ascii="Times New Roman" w:hAnsi="Times New Roman" w:eastAsia="宋体" w:cs="Times New Roman"/>
          <w:color w:val="FF0000"/>
          <w:sz w:val="21"/>
          <w:szCs w:val="21"/>
          <w:highlight w:val="none"/>
        </w:rPr>
      </w:pPr>
      <w:r>
        <w:rPr>
          <w:highlight w:val="none"/>
        </w:rPr>
        <w:drawing>
          <wp:inline distT="0" distB="0" distL="114300" distR="114300">
            <wp:extent cx="5758180" cy="510349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758180" cy="5103495"/>
                    </a:xfrm>
                    <a:prstGeom prst="rect">
                      <a:avLst/>
                    </a:prstGeom>
                    <a:noFill/>
                    <a:ln>
                      <a:noFill/>
                    </a:ln>
                  </pic:spPr>
                </pic:pic>
              </a:graphicData>
            </a:graphic>
          </wp:inline>
        </w:drawing>
      </w:r>
    </w:p>
    <w:p>
      <w:pPr>
        <w:keepNext w:val="0"/>
        <w:keepLines w:val="0"/>
        <w:pageBreakBefore w:val="0"/>
        <w:widowControl/>
        <w:kinsoku w:val="0"/>
        <w:wordWrap/>
        <w:overflowPunct w:val="0"/>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6.3.9编写磋商报告</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磋商小组推荐成交候选供应商后，应向代理机构出具磋商报告。磋商报告应当包括以下主要内容：</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（一）邀请供应商参加采购活动的具体方式和相关情况；</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（二）响应文件开启日期和地点；</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（三）获取磋商文件的供应商名单和磋商小组成员名单；</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（四）评审情况记录和说明，包括对供应商响应文件审查情况、磋商情况、报价情况等；</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（五）提出的成交候选供应商的排序名单及理由。</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auto"/>
        <w:rPr>
          <w:rFonts w:ascii="宋体" w:hAnsi="宋体" w:eastAsia="宋体" w:cs="宋体"/>
          <w:sz w:val="18"/>
          <w:szCs w:val="18"/>
          <w:highlight w:val="none"/>
        </w:rPr>
      </w:pPr>
      <w:r>
        <w:rPr>
          <w:rFonts w:hint="default" w:ascii="Times New Roman" w:hAnsi="Times New Roman" w:eastAsia="宋体" w:cs="Times New Roman"/>
          <w:sz w:val="21"/>
          <w:szCs w:val="21"/>
          <w:highlight w:val="none"/>
        </w:rPr>
        <w:t>磋商报告应当由磋商小组全体人员签字或加盖电子签章认可。磋商小组成员对磋商报告有异议的，磋商小组按照少数服从多数的原则推荐成交候选供应商，采购程序继续进行。对磋商报告有异议的磋商小组成员，应当在报告上签署不同意见并说明理由，由磋商小组记录相关情况。磋商小组成员拒绝在磋商报告上签字或加盖电子签章又不书面说明其不同意见和理由的，视为同意磋商报告。</w:t>
      </w:r>
    </w:p>
    <w:p>
      <w:pPr>
        <w:keepNext w:val="0"/>
        <w:keepLines w:val="0"/>
        <w:pageBreakBefore w:val="0"/>
        <w:widowControl/>
        <w:kinsoku/>
        <w:wordWrap/>
        <w:overflowPunct w:val="0"/>
        <w:topLinePunct w:val="0"/>
        <w:autoSpaceDE w:val="0"/>
        <w:autoSpaceDN w:val="0"/>
        <w:bidi w:val="0"/>
        <w:adjustRightInd w:val="0"/>
        <w:snapToGrid w:val="0"/>
        <w:spacing w:line="360" w:lineRule="auto"/>
        <w:ind w:left="14"/>
        <w:textAlignment w:val="auto"/>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6.3.1</w:t>
      </w:r>
      <w:r>
        <w:rPr>
          <w:rFonts w:hint="eastAsia" w:ascii="Times New Roman" w:hAnsi="Times New Roman" w:eastAsia="宋体" w:cs="Times New Roman"/>
          <w:b/>
          <w:bCs/>
          <w:spacing w:val="11"/>
          <w:sz w:val="24"/>
          <w:szCs w:val="24"/>
          <w:highlight w:val="none"/>
          <w:lang w:val="en-US" w:eastAsia="zh-CN"/>
        </w:rPr>
        <w:t>0</w:t>
      </w:r>
      <w:r>
        <w:rPr>
          <w:rFonts w:hint="default" w:ascii="Times New Roman" w:hAnsi="Times New Roman" w:eastAsia="宋体" w:cs="Times New Roman"/>
          <w:b/>
          <w:bCs/>
          <w:spacing w:val="11"/>
          <w:sz w:val="24"/>
          <w:szCs w:val="24"/>
          <w:highlight w:val="none"/>
        </w:rPr>
        <w:t>评审争议处理规则</w:t>
      </w:r>
    </w:p>
    <w:p>
      <w:pPr>
        <w:keepNext w:val="0"/>
        <w:keepLines w:val="0"/>
        <w:pageBreakBefore w:val="0"/>
        <w:widowControl/>
        <w:kinsoku/>
        <w:wordWrap/>
        <w:overflowPunct w:val="0"/>
        <w:topLinePunct w:val="0"/>
        <w:autoSpaceDE w:val="0"/>
        <w:autoSpaceDN w:val="0"/>
        <w:bidi w:val="0"/>
        <w:adjustRightInd w:val="0"/>
        <w:snapToGrid w:val="0"/>
        <w:spacing w:line="360" w:lineRule="auto"/>
        <w:ind w:left="11" w:right="136"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在磋商过程中，对于符合性审查、对响应文件作无效响应处理的及其他需要共同认定的事项存在争议的，应当以少数服从多数的原则作出结论，但不得违背磋商文件规定。持不同意见的磋商小组成员应当在磋商报告中签署不同意见及理由，否则视为同意评审报告。持不同意见的磋商小组成员认为认定过程和结果不符合法律法规或者磋商文件规定的，应当及时向采购人或代理机构书面反映。采购人或代理机构收到书面反映后，应当书面报告采购项目同级财政部门依法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pacing w:val="15"/>
          <w:sz w:val="28"/>
          <w:szCs w:val="28"/>
          <w:highlight w:val="none"/>
        </w:rPr>
      </w:pPr>
      <w:r>
        <w:rPr>
          <w:rFonts w:hint="default" w:ascii="Times New Roman" w:hAnsi="Times New Roman" w:eastAsia="宋体" w:cs="Times New Roman"/>
          <w:b/>
          <w:bCs/>
          <w:spacing w:val="15"/>
          <w:sz w:val="28"/>
          <w:szCs w:val="28"/>
          <w:highlight w:val="none"/>
        </w:rPr>
        <w:t>6.4评审办法及标准</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一、磋商小组只对通过资格审查的响应文件，根据磋商文件的要求采用相同的评审程序、评分办法及标准进行评价和比较。</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二、磋商小组成员应依据磋商文件规定的评分标准和方法独立对每个有效响应的文件进行评价、打分，然后汇总每个供应商每项评分因素的得分。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6.4.1评分办法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36" w:firstLine="420" w:firstLineChars="200"/>
        <w:textAlignment w:val="baseline"/>
        <w:rPr>
          <w:rFonts w:ascii="宋体" w:hAnsi="宋体" w:eastAsia="宋体" w:cs="宋体"/>
          <w:sz w:val="18"/>
          <w:szCs w:val="18"/>
          <w:highlight w:val="none"/>
        </w:rPr>
      </w:pPr>
      <w:r>
        <w:rPr>
          <w:rFonts w:hint="default" w:ascii="Times New Roman" w:hAnsi="Times New Roman" w:eastAsia="宋体" w:cs="Times New Roman"/>
          <w:sz w:val="21"/>
          <w:szCs w:val="21"/>
          <w:highlight w:val="none"/>
        </w:rPr>
        <w:t>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default" w:ascii="Times New Roman" w:hAnsi="Times New Roman" w:eastAsia="宋体" w:cs="Times New Roman"/>
          <w:b/>
          <w:bCs/>
          <w:spacing w:val="11"/>
          <w:sz w:val="24"/>
          <w:szCs w:val="24"/>
          <w:highlight w:val="none"/>
        </w:rPr>
      </w:pPr>
      <w:r>
        <w:rPr>
          <w:rFonts w:hint="default" w:ascii="Times New Roman" w:hAnsi="Times New Roman" w:eastAsia="宋体" w:cs="Times New Roman"/>
          <w:b/>
          <w:bCs/>
          <w:spacing w:val="11"/>
          <w:sz w:val="24"/>
          <w:szCs w:val="24"/>
          <w:highlight w:val="none"/>
        </w:rPr>
        <w:t>6.4.2评分标准</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采购包1：</w:t>
      </w:r>
    </w:p>
    <w:tbl>
      <w:tblPr>
        <w:tblStyle w:val="20"/>
        <w:tblpPr w:leftFromText="180" w:rightFromText="180" w:vertAnchor="text" w:horzAnchor="page" w:tblpXSpec="center" w:tblpY="131"/>
        <w:tblOverlap w:val="never"/>
        <w:tblW w:w="10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2782"/>
        <w:gridCol w:w="3018"/>
        <w:gridCol w:w="747"/>
        <w:gridCol w:w="1008"/>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3479" w:type="dxa"/>
            <w:gridSpan w:val="2"/>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评审因素</w:t>
            </w:r>
          </w:p>
        </w:tc>
        <w:tc>
          <w:tcPr>
            <w:tcW w:w="7086" w:type="dxa"/>
            <w:gridSpan w:val="4"/>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3479" w:type="dxa"/>
            <w:gridSpan w:val="2"/>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分值构成</w:t>
            </w:r>
          </w:p>
        </w:tc>
        <w:tc>
          <w:tcPr>
            <w:tcW w:w="7086" w:type="dxa"/>
            <w:gridSpan w:val="4"/>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详细评审</w:t>
            </w:r>
            <w:r>
              <w:rPr>
                <w:rFonts w:hint="eastAsia" w:eastAsia="宋体"/>
                <w:color w:val="000000" w:themeColor="text1"/>
                <w:sz w:val="18"/>
                <w:szCs w:val="18"/>
                <w:lang w:val="en-US" w:eastAsia="zh-CN"/>
                <w14:textFill>
                  <w14:solidFill>
                    <w14:schemeClr w14:val="tx1"/>
                  </w14:solidFill>
                </w14:textFill>
              </w:rPr>
              <w:t>9</w:t>
            </w:r>
            <w:r>
              <w:rPr>
                <w:color w:val="000000" w:themeColor="text1"/>
                <w:sz w:val="18"/>
                <w:szCs w:val="18"/>
                <w14:textFill>
                  <w14:solidFill>
                    <w14:schemeClr w14:val="tx1"/>
                  </w14:solidFill>
                </w14:textFill>
              </w:rPr>
              <w:t>0.00分</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报价得分</w:t>
            </w:r>
            <w:r>
              <w:rPr>
                <w:rFonts w:hint="eastAsia" w:eastAsia="宋体"/>
                <w:color w:val="000000" w:themeColor="text1"/>
                <w:sz w:val="18"/>
                <w:szCs w:val="18"/>
                <w:lang w:val="en-US" w:eastAsia="zh-CN"/>
                <w14:textFill>
                  <w14:solidFill>
                    <w14:schemeClr w14:val="tx1"/>
                  </w14:solidFill>
                </w14:textFill>
              </w:rPr>
              <w:t>1</w:t>
            </w:r>
            <w:r>
              <w:rPr>
                <w:color w:val="000000" w:themeColor="text1"/>
                <w:sz w:val="18"/>
                <w:szCs w:val="18"/>
                <w14:textFill>
                  <w14:solidFill>
                    <w14:schemeClr w14:val="tx1"/>
                  </w14:solidFill>
                </w14:textFill>
              </w:rPr>
              <w:t>0.00分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97" w:type="dxa"/>
            <w:vAlign w:val="center"/>
          </w:tcPr>
          <w:p>
            <w:pPr>
              <w:jc w:val="center"/>
              <w:rPr>
                <w:color w:val="000000" w:themeColor="text1"/>
                <w:sz w:val="18"/>
                <w:szCs w:val="18"/>
                <w:lang w:val="en-US" w:eastAsia="en-US"/>
                <w14:textFill>
                  <w14:solidFill>
                    <w14:schemeClr w14:val="tx1"/>
                  </w14:solidFill>
                </w14:textFill>
              </w:rPr>
            </w:pPr>
          </w:p>
        </w:tc>
        <w:tc>
          <w:tcPr>
            <w:tcW w:w="2782" w:type="dxa"/>
            <w:vAlign w:val="center"/>
          </w:tcPr>
          <w:p>
            <w:pPr>
              <w:jc w:val="center"/>
              <w:rPr>
                <w:color w:val="000000" w:themeColor="text1"/>
                <w:sz w:val="18"/>
                <w:szCs w:val="18"/>
                <w:lang w:val="en-US" w:eastAsia="en-US"/>
                <w14:textFill>
                  <w14:solidFill>
                    <w14:schemeClr w14:val="tx1"/>
                  </w14:solidFill>
                </w14:textFill>
              </w:rPr>
            </w:pPr>
            <w:r>
              <w:rPr>
                <w:color w:val="000000" w:themeColor="text1"/>
                <w:sz w:val="18"/>
                <w:szCs w:val="18"/>
                <w14:textFill>
                  <w14:solidFill>
                    <w14:schemeClr w14:val="tx1"/>
                  </w14:solidFill>
                </w14:textFill>
              </w:rPr>
              <w:t>评审项</w:t>
            </w:r>
          </w:p>
        </w:tc>
        <w:tc>
          <w:tcPr>
            <w:tcW w:w="3018"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详细描述</w:t>
            </w:r>
          </w:p>
        </w:tc>
        <w:tc>
          <w:tcPr>
            <w:tcW w:w="74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分值</w:t>
            </w:r>
          </w:p>
        </w:tc>
        <w:tc>
          <w:tcPr>
            <w:tcW w:w="1008"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客观/主观</w:t>
            </w:r>
          </w:p>
        </w:tc>
        <w:tc>
          <w:tcPr>
            <w:tcW w:w="231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关联格式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2" w:hRule="atLeast"/>
          <w:jc w:val="center"/>
        </w:trPr>
        <w:tc>
          <w:tcPr>
            <w:tcW w:w="697" w:type="dxa"/>
            <w:vMerge w:val="restart"/>
            <w:vAlign w:val="center"/>
          </w:tcPr>
          <w:p>
            <w:pPr>
              <w:jc w:val="center"/>
              <w:rPr>
                <w:color w:val="000000" w:themeColor="text1"/>
                <w:sz w:val="18"/>
                <w:szCs w:val="18"/>
                <w:lang w:val="en-US" w:eastAsia="en-US"/>
                <w14:textFill>
                  <w14:solidFill>
                    <w14:schemeClr w14:val="tx1"/>
                  </w14:solidFill>
                </w14:textFill>
              </w:rPr>
            </w:pPr>
            <w:r>
              <w:rPr>
                <w:color w:val="000000" w:themeColor="text1"/>
                <w:sz w:val="18"/>
                <w:szCs w:val="18"/>
                <w:lang w:val="en-US" w:eastAsia="en-US"/>
                <w14:textFill>
                  <w14:solidFill>
                    <w14:schemeClr w14:val="tx1"/>
                  </w14:solidFill>
                </w14:textFill>
              </w:rPr>
              <w:t>详细评审</w:t>
            </w:r>
          </w:p>
        </w:tc>
        <w:tc>
          <w:tcPr>
            <w:tcW w:w="2782" w:type="dxa"/>
            <w:vAlign w:val="top"/>
          </w:tcPr>
          <w:p>
            <w:pPr>
              <w:spacing w:line="258" w:lineRule="auto"/>
              <w:rPr>
                <w:rFonts w:ascii="Arial"/>
                <w:color w:val="000000" w:themeColor="text1"/>
                <w:sz w:val="21"/>
                <w14:textFill>
                  <w14:solidFill>
                    <w14:schemeClr w14:val="tx1"/>
                  </w14:solidFill>
                </w14:textFill>
              </w:rPr>
            </w:pPr>
          </w:p>
          <w:p>
            <w:pPr>
              <w:spacing w:line="258" w:lineRule="auto"/>
              <w:rPr>
                <w:rFonts w:ascii="Arial"/>
                <w:color w:val="000000" w:themeColor="text1"/>
                <w:sz w:val="21"/>
                <w14:textFill>
                  <w14:solidFill>
                    <w14:schemeClr w14:val="tx1"/>
                  </w14:solidFill>
                </w14:textFill>
              </w:rPr>
            </w:pPr>
          </w:p>
          <w:p>
            <w:pPr>
              <w:spacing w:line="258" w:lineRule="auto"/>
              <w:rPr>
                <w:rFonts w:ascii="Arial"/>
                <w:color w:val="000000" w:themeColor="text1"/>
                <w:sz w:val="21"/>
                <w14:textFill>
                  <w14:solidFill>
                    <w14:schemeClr w14:val="tx1"/>
                  </w14:solidFill>
                </w14:textFill>
              </w:rPr>
            </w:pPr>
          </w:p>
          <w:p>
            <w:pPr>
              <w:spacing w:line="258" w:lineRule="auto"/>
              <w:rPr>
                <w:rFonts w:ascii="Arial"/>
                <w:color w:val="000000" w:themeColor="text1"/>
                <w:sz w:val="21"/>
                <w14:textFill>
                  <w14:solidFill>
                    <w14:schemeClr w14:val="tx1"/>
                  </w14:solidFill>
                </w14:textFill>
              </w:rPr>
            </w:pPr>
          </w:p>
          <w:p>
            <w:pPr>
              <w:spacing w:line="258" w:lineRule="auto"/>
              <w:rPr>
                <w:rFonts w:ascii="Arial"/>
                <w:color w:val="000000" w:themeColor="text1"/>
                <w:sz w:val="21"/>
                <w14:textFill>
                  <w14:solidFill>
                    <w14:schemeClr w14:val="tx1"/>
                  </w14:solidFill>
                </w14:textFill>
              </w:rPr>
            </w:pPr>
          </w:p>
          <w:p>
            <w:pPr>
              <w:spacing w:line="259" w:lineRule="auto"/>
              <w:rPr>
                <w:rFonts w:ascii="Arial"/>
                <w:color w:val="000000" w:themeColor="text1"/>
                <w:sz w:val="21"/>
                <w14:textFill>
                  <w14:solidFill>
                    <w14:schemeClr w14:val="tx1"/>
                  </w14:solidFill>
                </w14:textFill>
              </w:rPr>
            </w:pPr>
          </w:p>
          <w:p>
            <w:pPr>
              <w:pStyle w:val="21"/>
              <w:spacing w:before="61" w:line="221" w:lineRule="auto"/>
              <w:ind w:left="103" w:leftChars="0"/>
              <w:rPr>
                <w:color w:val="000000" w:themeColor="text1"/>
                <w:sz w:val="18"/>
                <w:szCs w:val="18"/>
                <w:lang w:val="en-US" w:eastAsia="en-US"/>
                <w14:textFill>
                  <w14:solidFill>
                    <w14:schemeClr w14:val="tx1"/>
                  </w14:solidFill>
                </w14:textFill>
              </w:rPr>
            </w:pPr>
            <w:r>
              <w:rPr>
                <w:color w:val="000000" w:themeColor="text1"/>
                <w14:textFill>
                  <w14:solidFill>
                    <w14:schemeClr w14:val="tx1"/>
                  </w14:solidFill>
                </w14:textFill>
              </w:rPr>
              <w:t>整体服务方案</w:t>
            </w:r>
          </w:p>
        </w:tc>
        <w:tc>
          <w:tcPr>
            <w:tcW w:w="3018" w:type="dxa"/>
            <w:vAlign w:val="top"/>
          </w:tcPr>
          <w:p>
            <w:pPr>
              <w:pStyle w:val="21"/>
              <w:spacing w:before="1" w:line="240" w:lineRule="auto"/>
              <w:ind w:left="110" w:leftChars="0"/>
              <w:rPr>
                <w:color w:val="000000" w:themeColor="text1"/>
                <w:sz w:val="18"/>
                <w:szCs w:val="18"/>
                <w14:textFill>
                  <w14:solidFill>
                    <w14:schemeClr w14:val="tx1"/>
                  </w14:solidFill>
                </w14:textFill>
              </w:rPr>
            </w:pPr>
            <w:r>
              <w:rPr>
                <w:color w:val="000000" w:themeColor="text1"/>
                <w14:textFill>
                  <w14:solidFill>
                    <w14:schemeClr w14:val="tx1"/>
                  </w14:solidFill>
                </w14:textFill>
              </w:rPr>
              <w:t>针对本项目有整体服务方案，包括但不限于工作目标、定位实施方案、岗位职责制度与考核办法、工作秩序、以及本项目重点、难点把控等。（12分） 整体服务方案全面具体、针对性强、服务思路清晰、服务标准高、质量标准明确、可操作及可行性强、能完全满足本项目采购所需的得12分。 整体服务方案较为全面、针对性较好、服务思路清晰、服务标准合格、质量标准明确、可操作及可行性良好、能满足基本采购所需的得10分。 整体服务方案不全面、针对性一般、服务思路不清晰、服务标准一般、质量标准一般、缺少关键点、可操作及可行性一般、不能满足基本采购所需的得8分。 整体服务方案简单、无针对性，服务标准较低，可操作及可行性较差，不能满足采购所需的得4分。 未提供整体服务方案或整体服务方案完全脱离项目实际的不得分。</w:t>
            </w:r>
          </w:p>
        </w:tc>
        <w:tc>
          <w:tcPr>
            <w:tcW w:w="747" w:type="dxa"/>
            <w:vAlign w:val="top"/>
          </w:tcPr>
          <w:p>
            <w:pPr>
              <w:spacing w:before="73" w:line="187" w:lineRule="auto"/>
              <w:ind w:left="10" w:leftChars="0" w:hanging="10" w:hangingChars="6"/>
              <w:jc w:val="center"/>
              <w:rPr>
                <w:color w:val="000000" w:themeColor="text1"/>
                <w:sz w:val="18"/>
                <w:szCs w:val="18"/>
                <w14:textFill>
                  <w14:solidFill>
                    <w14:schemeClr w14:val="tx1"/>
                  </w14:solidFill>
                </w14:textFill>
              </w:rPr>
            </w:pPr>
            <w:r>
              <w:rPr>
                <w:rFonts w:hint="eastAsia" w:ascii="宋体" w:hAnsi="宋体" w:eastAsia="宋体" w:cs="宋体"/>
                <w:color w:val="000000" w:themeColor="text1"/>
                <w:spacing w:val="-5"/>
                <w:sz w:val="18"/>
                <w:szCs w:val="18"/>
                <w14:textFill>
                  <w14:solidFill>
                    <w14:schemeClr w14:val="tx1"/>
                  </w14:solidFill>
                </w14:textFill>
              </w:rPr>
              <w:t>1</w:t>
            </w:r>
            <w:r>
              <w:rPr>
                <w:rFonts w:hint="eastAsia" w:ascii="宋体" w:hAnsi="宋体" w:eastAsia="宋体" w:cs="宋体"/>
                <w:color w:val="000000" w:themeColor="text1"/>
                <w:spacing w:val="-5"/>
                <w:sz w:val="18"/>
                <w:szCs w:val="18"/>
                <w:lang w:val="en-US" w:eastAsia="zh-CN"/>
                <w14:textFill>
                  <w14:solidFill>
                    <w14:schemeClr w14:val="tx1"/>
                  </w14:solidFill>
                </w14:textFill>
              </w:rPr>
              <w:t>2</w:t>
            </w:r>
            <w:r>
              <w:rPr>
                <w:rFonts w:hint="eastAsia" w:ascii="宋体" w:hAnsi="宋体" w:eastAsia="宋体" w:cs="宋体"/>
                <w:color w:val="000000" w:themeColor="text1"/>
                <w:spacing w:val="-5"/>
                <w:sz w:val="18"/>
                <w:szCs w:val="18"/>
                <w14:textFill>
                  <w14:solidFill>
                    <w14:schemeClr w14:val="tx1"/>
                  </w14:solidFill>
                </w14:textFill>
              </w:rPr>
              <w:t>.00</w:t>
            </w:r>
          </w:p>
        </w:tc>
        <w:tc>
          <w:tcPr>
            <w:tcW w:w="1008" w:type="dxa"/>
            <w:vAlign w:val="top"/>
          </w:tcPr>
          <w:p>
            <w:pPr>
              <w:pStyle w:val="21"/>
              <w:spacing w:before="62" w:line="222" w:lineRule="auto"/>
              <w:ind w:left="109" w:leftChars="0"/>
              <w:jc w:val="center"/>
              <w:rPr>
                <w:color w:val="000000" w:themeColor="text1"/>
                <w:sz w:val="18"/>
                <w:szCs w:val="18"/>
                <w14:textFill>
                  <w14:solidFill>
                    <w14:schemeClr w14:val="tx1"/>
                  </w14:solidFill>
                </w14:textFill>
              </w:rPr>
            </w:pPr>
            <w:r>
              <w:rPr>
                <w:color w:val="000000" w:themeColor="text1"/>
                <w:spacing w:val="-4"/>
                <w:sz w:val="18"/>
                <w:szCs w:val="18"/>
                <w14:textFill>
                  <w14:solidFill>
                    <w14:schemeClr w14:val="tx1"/>
                  </w14:solidFill>
                </w14:textFill>
              </w:rPr>
              <w:t>主观</w:t>
            </w:r>
          </w:p>
        </w:tc>
        <w:tc>
          <w:tcPr>
            <w:tcW w:w="2313" w:type="dxa"/>
            <w:vAlign w:val="top"/>
          </w:tcPr>
          <w:p>
            <w:pPr>
              <w:pStyle w:val="21"/>
              <w:spacing w:before="61" w:line="221" w:lineRule="auto"/>
              <w:ind w:left="112" w:left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商务技术</w:t>
            </w:r>
            <w:r>
              <w:rPr>
                <w:rFonts w:hint="eastAsia"/>
                <w:color w:val="000000" w:themeColor="text1"/>
                <w:sz w:val="18"/>
                <w:szCs w:val="18"/>
                <w:lang w:eastAsia="zh-CN"/>
                <w14:textFill>
                  <w14:solidFill>
                    <w14:schemeClr w14:val="tx1"/>
                  </w14:solidFill>
                </w14:textFill>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8" w:hRule="atLeast"/>
          <w:jc w:val="center"/>
        </w:trPr>
        <w:tc>
          <w:tcPr>
            <w:tcW w:w="697" w:type="dxa"/>
            <w:vMerge w:val="continue"/>
            <w:vAlign w:val="center"/>
          </w:tcPr>
          <w:p>
            <w:pPr>
              <w:jc w:val="center"/>
              <w:rPr>
                <w:color w:val="000000" w:themeColor="text1"/>
                <w:sz w:val="18"/>
                <w:szCs w:val="18"/>
                <w:lang w:val="en-US" w:eastAsia="en-US"/>
                <w14:textFill>
                  <w14:solidFill>
                    <w14:schemeClr w14:val="tx1"/>
                  </w14:solidFill>
                </w14:textFill>
              </w:rPr>
            </w:pPr>
          </w:p>
        </w:tc>
        <w:tc>
          <w:tcPr>
            <w:tcW w:w="2782" w:type="dxa"/>
            <w:vAlign w:val="top"/>
          </w:tcPr>
          <w:p>
            <w:pPr>
              <w:pStyle w:val="25"/>
              <w:rPr>
                <w:rFonts w:hint="default"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产品质量保证</w:t>
            </w:r>
          </w:p>
        </w:tc>
        <w:tc>
          <w:tcPr>
            <w:tcW w:w="3018" w:type="dxa"/>
            <w:vAlign w:val="top"/>
          </w:tcPr>
          <w:p>
            <w:pPr>
              <w:spacing w:line="288" w:lineRule="auto"/>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产品货源渠道正规、有质量保证，无劣质、假冒、瑕疵产品及产权纠纷，提供产品来源渠道合法的证明文件（包括但不限于销售协议、代理协议、原厂授权等）；相关产品的证明材料完善、合法有效，无产权纠纷，提供的相关资料齐全，计</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10</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；有部分证明材料和资料，计</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8</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分；</w:t>
            </w:r>
          </w:p>
          <w:p>
            <w:pPr>
              <w:pStyle w:val="25"/>
              <w:rPr>
                <w:rFonts w:hint="default"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有</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少量</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部分证明材料和资料，计</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6</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分</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证明材料和资料缺失严重，计</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3</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分，未提供不得分。</w:t>
            </w:r>
          </w:p>
        </w:tc>
        <w:tc>
          <w:tcPr>
            <w:tcW w:w="747" w:type="dxa"/>
            <w:vAlign w:val="top"/>
          </w:tcPr>
          <w:p>
            <w:pPr>
              <w:pStyle w:val="25"/>
              <w:jc w:val="center"/>
              <w:rPr>
                <w:rFonts w:hint="default"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default" w:ascii="宋体" w:hAnsi="宋体" w:eastAsia="宋体" w:cs="宋体"/>
                <w:b w:val="0"/>
                <w:bCs w:val="0"/>
                <w:snapToGrid w:val="0"/>
                <w:color w:val="000000" w:themeColor="text1"/>
                <w:kern w:val="0"/>
                <w:sz w:val="18"/>
                <w:szCs w:val="18"/>
                <w:lang w:val="en-US" w:eastAsia="en-US" w:bidi="ar-SA"/>
                <w14:textFill>
                  <w14:solidFill>
                    <w14:schemeClr w14:val="tx1"/>
                  </w14:solidFill>
                </w14:textFill>
              </w:rPr>
              <w:t>10.</w:t>
            </w:r>
            <w:r>
              <w:rPr>
                <w:rFonts w:hint="default" w:ascii="宋体" w:hAnsi="宋体" w:eastAsia="宋体" w:cs="宋体"/>
                <w:snapToGrid w:val="0"/>
                <w:color w:val="000000" w:themeColor="text1"/>
                <w:kern w:val="0"/>
                <w:sz w:val="18"/>
                <w:szCs w:val="18"/>
                <w:lang w:val="en-US" w:eastAsia="en-US" w:bidi="ar-SA"/>
                <w14:textFill>
                  <w14:solidFill>
                    <w14:schemeClr w14:val="tx1"/>
                  </w14:solidFill>
                </w14:textFill>
              </w:rPr>
              <w:t>00</w:t>
            </w:r>
          </w:p>
        </w:tc>
        <w:tc>
          <w:tcPr>
            <w:tcW w:w="1008" w:type="dxa"/>
            <w:vAlign w:val="top"/>
          </w:tcPr>
          <w:p>
            <w:pPr>
              <w:pStyle w:val="21"/>
              <w:spacing w:before="62" w:line="222" w:lineRule="auto"/>
              <w:jc w:val="center"/>
              <w:rPr>
                <w:rFonts w:hint="default"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default" w:ascii="宋体" w:hAnsi="宋体" w:eastAsia="宋体" w:cs="宋体"/>
                <w:snapToGrid w:val="0"/>
                <w:color w:val="000000" w:themeColor="text1"/>
                <w:kern w:val="0"/>
                <w:sz w:val="18"/>
                <w:szCs w:val="18"/>
                <w:lang w:val="en-US" w:eastAsia="en-US" w:bidi="ar-SA"/>
                <w14:textFill>
                  <w14:solidFill>
                    <w14:schemeClr w14:val="tx1"/>
                  </w14:solidFill>
                </w14:textFill>
              </w:rPr>
              <w:t>主观</w:t>
            </w:r>
          </w:p>
        </w:tc>
        <w:tc>
          <w:tcPr>
            <w:tcW w:w="2313" w:type="dxa"/>
            <w:vAlign w:val="top"/>
          </w:tcPr>
          <w:p>
            <w:pPr>
              <w:pStyle w:val="21"/>
              <w:spacing w:before="61" w:line="221" w:lineRule="auto"/>
              <w:jc w:val="center"/>
              <w:rPr>
                <w:color w:val="000000" w:themeColor="text1"/>
                <w:sz w:val="18"/>
                <w:szCs w:val="18"/>
                <w:lang w:val="en-US" w:eastAsia="en-US"/>
                <w14:textFill>
                  <w14:solidFill>
                    <w14:schemeClr w14:val="tx1"/>
                  </w14:solidFill>
                </w14:textFill>
              </w:rPr>
            </w:pPr>
            <w:r>
              <w:rPr>
                <w:color w:val="000000" w:themeColor="text1"/>
                <w:sz w:val="18"/>
                <w:szCs w:val="18"/>
                <w14:textFill>
                  <w14:solidFill>
                    <w14:schemeClr w14:val="tx1"/>
                  </w14:solidFill>
                </w14:textFill>
              </w:rPr>
              <w:t>商务技术</w:t>
            </w:r>
            <w:r>
              <w:rPr>
                <w:rFonts w:hint="eastAsia"/>
                <w:color w:val="000000" w:themeColor="text1"/>
                <w:sz w:val="18"/>
                <w:szCs w:val="18"/>
                <w:lang w:eastAsia="zh-CN"/>
                <w14:textFill>
                  <w14:solidFill>
                    <w14:schemeClr w14:val="tx1"/>
                  </w14:solidFill>
                </w14:textFill>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97" w:type="dxa"/>
            <w:vMerge w:val="continue"/>
            <w:vAlign w:val="center"/>
          </w:tcPr>
          <w:p>
            <w:pPr>
              <w:jc w:val="center"/>
              <w:rPr>
                <w:color w:val="000000" w:themeColor="text1"/>
                <w:sz w:val="18"/>
                <w:szCs w:val="18"/>
                <w:lang w:val="en-US" w:eastAsia="en-US"/>
                <w14:textFill>
                  <w14:solidFill>
                    <w14:schemeClr w14:val="tx1"/>
                  </w14:solidFill>
                </w14:textFill>
              </w:rPr>
            </w:pPr>
          </w:p>
        </w:tc>
        <w:tc>
          <w:tcPr>
            <w:tcW w:w="2782" w:type="dxa"/>
            <w:vAlign w:val="top"/>
          </w:tcPr>
          <w:p>
            <w:pPr>
              <w:spacing w:line="288" w:lineRule="auto"/>
              <w:rPr>
                <w:rFonts w:hint="default"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产品配置</w:t>
            </w:r>
          </w:p>
        </w:tc>
        <w:tc>
          <w:tcPr>
            <w:tcW w:w="3018" w:type="dxa"/>
            <w:vAlign w:val="top"/>
          </w:tcPr>
          <w:p>
            <w:pPr>
              <w:spacing w:line="288" w:lineRule="auto"/>
              <w:rPr>
                <w:rFonts w:hint="default"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拟提供移动执法终端性能</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配置、功能齐全，选型符合磋商文件要求，数量准确，移动执法终端满足采购</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需求，</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计</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10分；基本满足采购需求计8分；</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不能满足采购</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需求</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的得3分</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 xml:space="preserve"> 未提供</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相应资料</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的不得分。</w:t>
            </w:r>
          </w:p>
        </w:tc>
        <w:tc>
          <w:tcPr>
            <w:tcW w:w="747" w:type="dxa"/>
            <w:vAlign w:val="top"/>
          </w:tcPr>
          <w:p>
            <w:pPr>
              <w:pStyle w:val="25"/>
              <w:jc w:val="center"/>
              <w:rPr>
                <w:rFonts w:hint="default"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b w:val="0"/>
                <w:bCs w:val="0"/>
                <w:snapToGrid w:val="0"/>
                <w:color w:val="000000" w:themeColor="text1"/>
                <w:kern w:val="0"/>
                <w:sz w:val="18"/>
                <w:szCs w:val="18"/>
                <w:lang w:val="en-US" w:eastAsia="zh-CN" w:bidi="ar-SA"/>
                <w14:textFill>
                  <w14:solidFill>
                    <w14:schemeClr w14:val="tx1"/>
                  </w14:solidFill>
                </w14:textFill>
              </w:rPr>
              <w:t>10</w:t>
            </w:r>
            <w:r>
              <w:rPr>
                <w:rFonts w:hint="default" w:ascii="宋体" w:hAnsi="宋体" w:eastAsia="宋体" w:cs="宋体"/>
                <w:b w:val="0"/>
                <w:bCs w:val="0"/>
                <w:snapToGrid w:val="0"/>
                <w:color w:val="000000" w:themeColor="text1"/>
                <w:kern w:val="0"/>
                <w:sz w:val="18"/>
                <w:szCs w:val="18"/>
                <w:lang w:val="en-US" w:eastAsia="en-US" w:bidi="ar-SA"/>
                <w14:textFill>
                  <w14:solidFill>
                    <w14:schemeClr w14:val="tx1"/>
                  </w14:solidFill>
                </w14:textFill>
              </w:rPr>
              <w:t>.00</w:t>
            </w:r>
          </w:p>
        </w:tc>
        <w:tc>
          <w:tcPr>
            <w:tcW w:w="1008" w:type="dxa"/>
            <w:vAlign w:val="top"/>
          </w:tcPr>
          <w:p>
            <w:pPr>
              <w:pStyle w:val="25"/>
              <w:jc w:val="center"/>
              <w:rPr>
                <w:rFonts w:hint="default" w:ascii="宋体" w:hAnsi="宋体" w:eastAsia="宋体" w:cs="宋体"/>
                <w:snapToGrid w:val="0"/>
                <w:color w:val="000000" w:themeColor="text1"/>
                <w:kern w:val="0"/>
                <w:sz w:val="18"/>
                <w:szCs w:val="18"/>
                <w:lang w:val="en-US" w:eastAsia="en-US" w:bidi="ar-SA"/>
                <w14:textFill>
                  <w14:solidFill>
                    <w14:schemeClr w14:val="tx1"/>
                  </w14:solidFill>
                </w14:textFill>
              </w:rPr>
            </w:pPr>
            <w:r>
              <w:rPr>
                <w:color w:val="000000" w:themeColor="text1"/>
                <w:sz w:val="18"/>
                <w:szCs w:val="18"/>
                <w14:textFill>
                  <w14:solidFill>
                    <w14:schemeClr w14:val="tx1"/>
                  </w14:solidFill>
                </w14:textFill>
              </w:rPr>
              <w:t>主观</w:t>
            </w:r>
          </w:p>
        </w:tc>
        <w:tc>
          <w:tcPr>
            <w:tcW w:w="2313" w:type="dxa"/>
            <w:vAlign w:val="top"/>
          </w:tcPr>
          <w:p>
            <w:pPr>
              <w:pStyle w:val="21"/>
              <w:spacing w:before="61" w:line="221" w:lineRule="auto"/>
              <w:jc w:val="center"/>
              <w:rPr>
                <w:rFonts w:hint="eastAsia" w:eastAsia="宋体"/>
                <w:color w:val="000000" w:themeColor="text1"/>
                <w:sz w:val="18"/>
                <w:szCs w:val="18"/>
                <w:lang w:val="en-US" w:eastAsia="zh-CN"/>
                <w14:textFill>
                  <w14:solidFill>
                    <w14:schemeClr w14:val="tx1"/>
                  </w14:solidFill>
                </w14:textFill>
              </w:rPr>
            </w:pPr>
            <w:r>
              <w:rPr>
                <w:color w:val="000000" w:themeColor="text1"/>
                <w:sz w:val="18"/>
                <w:szCs w:val="18"/>
                <w14:textFill>
                  <w14:solidFill>
                    <w14:schemeClr w14:val="tx1"/>
                  </w14:solidFill>
                </w14:textFill>
              </w:rPr>
              <w:t>商务技术</w:t>
            </w:r>
            <w:r>
              <w:rPr>
                <w:rFonts w:hint="eastAsia"/>
                <w:color w:val="000000" w:themeColor="text1"/>
                <w:sz w:val="18"/>
                <w:szCs w:val="18"/>
                <w:lang w:eastAsia="zh-CN"/>
                <w14:textFill>
                  <w14:solidFill>
                    <w14:schemeClr w14:val="tx1"/>
                  </w14:solidFill>
                </w14:textFill>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697" w:type="dxa"/>
            <w:vMerge w:val="continue"/>
            <w:vAlign w:val="center"/>
          </w:tcPr>
          <w:p>
            <w:pPr>
              <w:jc w:val="center"/>
              <w:rPr>
                <w:color w:val="000000" w:themeColor="text1"/>
                <w:sz w:val="18"/>
                <w:szCs w:val="18"/>
                <w:lang w:val="en-US" w:eastAsia="en-US"/>
                <w14:textFill>
                  <w14:solidFill>
                    <w14:schemeClr w14:val="tx1"/>
                  </w14:solidFill>
                </w14:textFill>
              </w:rPr>
            </w:pPr>
          </w:p>
        </w:tc>
        <w:tc>
          <w:tcPr>
            <w:tcW w:w="2782" w:type="dxa"/>
            <w:vAlign w:val="top"/>
          </w:tcPr>
          <w:p>
            <w:pPr>
              <w:spacing w:line="288" w:lineRule="auto"/>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管理措施及制度</w:t>
            </w:r>
          </w:p>
        </w:tc>
        <w:tc>
          <w:tcPr>
            <w:tcW w:w="3018" w:type="dxa"/>
            <w:vAlign w:val="top"/>
          </w:tcPr>
          <w:p>
            <w:pPr>
              <w:spacing w:line="288" w:lineRule="auto"/>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针对本项目拟定的各岗位管理制度、自查制度、内控制度、工作质量标准、奖惩考核机制等有明确方案措施。 管理措施及制度完整全面、科学合理、针对性强、可操作及可行性高，完全满足采购要求的得</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8</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分； 管理措施及制度较为全面、科学合理性较好、针对性较好，可操作及可行性良好，能满足采购基本所需的得</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6</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分。 管理措施及制度不全面、科学合理性一般、针对性一般、可操作及可行性一般、缺少部分关键点，不能完全满足基本采购所需的得</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4</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分。 管理措施及制度简单、无科学合理性、无针对性、可操作及可行性较差，不能满足采购所需的得</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2</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分。 未提供管理措施及制度或管理措施及制度完全脱离采购实际的不得分。</w:t>
            </w:r>
          </w:p>
        </w:tc>
        <w:tc>
          <w:tcPr>
            <w:tcW w:w="747" w:type="dxa"/>
            <w:vAlign w:val="top"/>
          </w:tcPr>
          <w:p>
            <w:pPr>
              <w:spacing w:line="288" w:lineRule="auto"/>
              <w:jc w:val="center"/>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8</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.00</w:t>
            </w:r>
          </w:p>
        </w:tc>
        <w:tc>
          <w:tcPr>
            <w:tcW w:w="1008" w:type="dxa"/>
            <w:vAlign w:val="top"/>
          </w:tcPr>
          <w:p>
            <w:pPr>
              <w:spacing w:line="288" w:lineRule="auto"/>
              <w:jc w:val="center"/>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主观</w:t>
            </w:r>
          </w:p>
        </w:tc>
        <w:tc>
          <w:tcPr>
            <w:tcW w:w="2313" w:type="dxa"/>
            <w:vAlign w:val="top"/>
          </w:tcPr>
          <w:p>
            <w:pPr>
              <w:spacing w:line="288" w:lineRule="auto"/>
              <w:jc w:val="center"/>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商务技术部分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697" w:type="dxa"/>
            <w:vMerge w:val="continue"/>
            <w:vAlign w:val="center"/>
          </w:tcPr>
          <w:p>
            <w:pPr>
              <w:jc w:val="center"/>
              <w:rPr>
                <w:color w:val="000000" w:themeColor="text1"/>
                <w:sz w:val="18"/>
                <w:szCs w:val="18"/>
                <w:lang w:val="en-US" w:eastAsia="en-US"/>
                <w14:textFill>
                  <w14:solidFill>
                    <w14:schemeClr w14:val="tx1"/>
                  </w14:solidFill>
                </w14:textFill>
              </w:rPr>
            </w:pPr>
          </w:p>
        </w:tc>
        <w:tc>
          <w:tcPr>
            <w:tcW w:w="2782" w:type="dxa"/>
            <w:vAlign w:val="top"/>
          </w:tcPr>
          <w:p>
            <w:pPr>
              <w:spacing w:line="288" w:lineRule="auto"/>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拟投入设备配备方案</w:t>
            </w:r>
          </w:p>
        </w:tc>
        <w:tc>
          <w:tcPr>
            <w:tcW w:w="3018" w:type="dxa"/>
            <w:vAlign w:val="top"/>
          </w:tcPr>
          <w:p>
            <w:pPr>
              <w:spacing w:line="288" w:lineRule="auto"/>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针对拟投入本项目的设施设备提供相关（包括但不限于设备的清单、来源、配套使用情况以及储存场地的标准、安全、管理等）证明材料。 拟投入设备方案配套齐全、设备数量充足、能有效保证项目顺利实施的得</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8</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分； 拟投入设备方案配套基本齐全、设备数量较为充足、能基本保证项目顺利实施的得</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6</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分； 拟投入设备方案配套不齐全、设备数量一般、缺少关键设施设备，不能保证基本所需的得</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4</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分。 未提供设备方案或设备方案与本项目实施无关的不得分。</w:t>
            </w:r>
          </w:p>
        </w:tc>
        <w:tc>
          <w:tcPr>
            <w:tcW w:w="747" w:type="dxa"/>
            <w:vAlign w:val="top"/>
          </w:tcPr>
          <w:p>
            <w:pPr>
              <w:spacing w:line="288" w:lineRule="auto"/>
              <w:jc w:val="center"/>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8</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.00</w:t>
            </w:r>
          </w:p>
        </w:tc>
        <w:tc>
          <w:tcPr>
            <w:tcW w:w="1008" w:type="dxa"/>
            <w:vAlign w:val="top"/>
          </w:tcPr>
          <w:p>
            <w:pPr>
              <w:spacing w:line="288" w:lineRule="auto"/>
              <w:jc w:val="center"/>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主观</w:t>
            </w:r>
          </w:p>
        </w:tc>
        <w:tc>
          <w:tcPr>
            <w:tcW w:w="2313" w:type="dxa"/>
            <w:vAlign w:val="top"/>
          </w:tcPr>
          <w:p>
            <w:pPr>
              <w:spacing w:line="288" w:lineRule="auto"/>
              <w:jc w:val="center"/>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商务技术部分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697" w:type="dxa"/>
            <w:vMerge w:val="continue"/>
            <w:vAlign w:val="center"/>
          </w:tcPr>
          <w:p>
            <w:pPr>
              <w:jc w:val="center"/>
              <w:rPr>
                <w:color w:val="000000" w:themeColor="text1"/>
                <w:sz w:val="18"/>
                <w:szCs w:val="18"/>
                <w:lang w:val="en-US" w:eastAsia="en-US"/>
                <w14:textFill>
                  <w14:solidFill>
                    <w14:schemeClr w14:val="tx1"/>
                  </w14:solidFill>
                </w14:textFill>
              </w:rPr>
            </w:pPr>
          </w:p>
        </w:tc>
        <w:tc>
          <w:tcPr>
            <w:tcW w:w="2782" w:type="dxa"/>
            <w:vAlign w:val="top"/>
          </w:tcPr>
          <w:p>
            <w:pPr>
              <w:spacing w:line="288" w:lineRule="auto"/>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拟投入人员配备方案</w:t>
            </w:r>
          </w:p>
        </w:tc>
        <w:tc>
          <w:tcPr>
            <w:tcW w:w="3018" w:type="dxa"/>
            <w:vAlign w:val="top"/>
          </w:tcPr>
          <w:p>
            <w:pPr>
              <w:spacing w:line="288" w:lineRule="auto"/>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针对拟投入本项目的服务人员配置合理、职责明确、分工清晰合理、相关人员经过严格培训、有相应的工作经验等有详细的描述和相关（包括但不限于执业证、劳动合同、从业证明、资格证书等）证明材料； 拟派配人员配备合理、人员数量充足、职责明确、分工清晰、工作经历丰富、能够完全满足采购所需的得8分； 拟派人员配备较为合理、人员数量充足、职责较为明确、分工较为清晰、缺少部分工作经历、但能满足基本采购所需的得6分； 拟派人员配备较为合理、人员数量一般、职责、分工一般、缺少部分工作经历、勉强能满足基本采购所需的得4分； 拟派人员配备不合理且有欠缺、人员数量无保证、职责、分工不明确、工作经历较少、不能够满足采购所需的得2分； 未提供人员配备方案或完全脱离项目实际的得0分。</w:t>
            </w:r>
          </w:p>
        </w:tc>
        <w:tc>
          <w:tcPr>
            <w:tcW w:w="747" w:type="dxa"/>
            <w:vAlign w:val="top"/>
          </w:tcPr>
          <w:p>
            <w:pPr>
              <w:spacing w:line="288" w:lineRule="auto"/>
              <w:jc w:val="center"/>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8.00</w:t>
            </w:r>
          </w:p>
        </w:tc>
        <w:tc>
          <w:tcPr>
            <w:tcW w:w="1008" w:type="dxa"/>
            <w:vAlign w:val="top"/>
          </w:tcPr>
          <w:p>
            <w:pPr>
              <w:spacing w:line="288" w:lineRule="auto"/>
              <w:jc w:val="center"/>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主观</w:t>
            </w:r>
          </w:p>
        </w:tc>
        <w:tc>
          <w:tcPr>
            <w:tcW w:w="2313" w:type="dxa"/>
            <w:vAlign w:val="top"/>
          </w:tcPr>
          <w:p>
            <w:pPr>
              <w:spacing w:line="288" w:lineRule="auto"/>
              <w:jc w:val="center"/>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商务技术部分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3" w:hRule="atLeast"/>
          <w:jc w:val="center"/>
        </w:trPr>
        <w:tc>
          <w:tcPr>
            <w:tcW w:w="697" w:type="dxa"/>
            <w:vMerge w:val="continue"/>
            <w:vAlign w:val="center"/>
          </w:tcPr>
          <w:p>
            <w:pPr>
              <w:jc w:val="center"/>
              <w:rPr>
                <w:color w:val="000000" w:themeColor="text1"/>
                <w:sz w:val="18"/>
                <w:szCs w:val="18"/>
                <w:lang w:val="en-US" w:eastAsia="en-US"/>
                <w14:textFill>
                  <w14:solidFill>
                    <w14:schemeClr w14:val="tx1"/>
                  </w14:solidFill>
                </w14:textFill>
              </w:rPr>
            </w:pPr>
          </w:p>
        </w:tc>
        <w:tc>
          <w:tcPr>
            <w:tcW w:w="2782" w:type="dxa"/>
            <w:vAlign w:val="top"/>
          </w:tcPr>
          <w:p>
            <w:pPr>
              <w:spacing w:line="288" w:lineRule="auto"/>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服务质量保障</w:t>
            </w:r>
          </w:p>
        </w:tc>
        <w:tc>
          <w:tcPr>
            <w:tcW w:w="3018" w:type="dxa"/>
            <w:vAlign w:val="top"/>
          </w:tcPr>
          <w:p>
            <w:pPr>
              <w:spacing w:line="288" w:lineRule="auto"/>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针对本项目服务有服务质量保障措施或相关承诺，包括但不限于项目服务时间、服务质量、服务人员到位情况等有实质性方案措施或相关承诺； 服务质量保障措施或相关承诺完整详细、科学合理，能保质保量按时完成、人员及时到位，响应及时有保障的得6分； 服务质量保障措施或相关承诺较为完整详细、较为科学合理，完成时间和完成质量较为勉强、人员到位较为及时，较为勉强的得4分； 服务质量保障措施或相关承诺存在缺陷，完成时间和完成质量无法保证，人员无法及时到位，服务无保障的得2分； 未提供服务质量保障措施或完全脱离项目实际的不得分。</w:t>
            </w:r>
          </w:p>
        </w:tc>
        <w:tc>
          <w:tcPr>
            <w:tcW w:w="747" w:type="dxa"/>
            <w:vAlign w:val="top"/>
          </w:tcPr>
          <w:p>
            <w:pPr>
              <w:spacing w:line="288" w:lineRule="auto"/>
              <w:jc w:val="cente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6.00</w:t>
            </w:r>
          </w:p>
        </w:tc>
        <w:tc>
          <w:tcPr>
            <w:tcW w:w="1008" w:type="dxa"/>
            <w:vAlign w:val="top"/>
          </w:tcPr>
          <w:p>
            <w:pPr>
              <w:spacing w:line="288" w:lineRule="auto"/>
              <w:jc w:val="cente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主观</w:t>
            </w:r>
          </w:p>
        </w:tc>
        <w:tc>
          <w:tcPr>
            <w:tcW w:w="2313" w:type="dxa"/>
            <w:vAlign w:val="top"/>
          </w:tcPr>
          <w:p>
            <w:pPr>
              <w:spacing w:line="288" w:lineRule="auto"/>
              <w:jc w:val="center"/>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商务技术部分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3" w:hRule="atLeast"/>
          <w:jc w:val="center"/>
        </w:trPr>
        <w:tc>
          <w:tcPr>
            <w:tcW w:w="697" w:type="dxa"/>
            <w:vMerge w:val="continue"/>
            <w:vAlign w:val="center"/>
          </w:tcPr>
          <w:p>
            <w:pPr>
              <w:jc w:val="center"/>
              <w:rPr>
                <w:color w:val="000000" w:themeColor="text1"/>
                <w:sz w:val="18"/>
                <w:szCs w:val="18"/>
                <w:lang w:val="en-US" w:eastAsia="en-US"/>
                <w14:textFill>
                  <w14:solidFill>
                    <w14:schemeClr w14:val="tx1"/>
                  </w14:solidFill>
                </w14:textFill>
              </w:rPr>
            </w:pPr>
          </w:p>
        </w:tc>
        <w:tc>
          <w:tcPr>
            <w:tcW w:w="2782" w:type="dxa"/>
            <w:vAlign w:val="top"/>
          </w:tcPr>
          <w:p>
            <w:pPr>
              <w:spacing w:line="288" w:lineRule="auto"/>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应急措施</w:t>
            </w:r>
          </w:p>
        </w:tc>
        <w:tc>
          <w:tcPr>
            <w:tcW w:w="3018" w:type="dxa"/>
            <w:vAlign w:val="top"/>
          </w:tcPr>
          <w:p>
            <w:pPr>
              <w:spacing w:line="288" w:lineRule="auto"/>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提供全面详细、完善合理的应急处置预案，提出完备的应急事件处置流程，包括但不限于应急事件、故障分类、处置、应急保障措施和应急人员保障等， 应急预案完备健全，科学性强、合理性强、可行性强的得</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6</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分； 应急预案较为完备健全，方案具有一定科学性、合理性较好、基本可行性的得</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4</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分； 应急预案完备程度一般，方案合理性一般、可行性低或需要优化后才能基本满足项目需要的得</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2</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分。 未提供应急措施或应急措施完全脱离项目实际的不得分。</w:t>
            </w:r>
          </w:p>
        </w:tc>
        <w:tc>
          <w:tcPr>
            <w:tcW w:w="747" w:type="dxa"/>
            <w:vAlign w:val="top"/>
          </w:tcPr>
          <w:p>
            <w:pPr>
              <w:spacing w:line="288" w:lineRule="auto"/>
              <w:jc w:val="cente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6.00</w:t>
            </w:r>
          </w:p>
        </w:tc>
        <w:tc>
          <w:tcPr>
            <w:tcW w:w="1008" w:type="dxa"/>
            <w:vAlign w:val="top"/>
          </w:tcPr>
          <w:p>
            <w:pPr>
              <w:spacing w:line="288" w:lineRule="auto"/>
              <w:jc w:val="cente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主观</w:t>
            </w:r>
          </w:p>
        </w:tc>
        <w:tc>
          <w:tcPr>
            <w:tcW w:w="2313" w:type="dxa"/>
            <w:vAlign w:val="top"/>
          </w:tcPr>
          <w:p>
            <w:pPr>
              <w:spacing w:line="288" w:lineRule="auto"/>
              <w:jc w:val="center"/>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商务技术部分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3" w:hRule="atLeast"/>
          <w:jc w:val="center"/>
        </w:trPr>
        <w:tc>
          <w:tcPr>
            <w:tcW w:w="697" w:type="dxa"/>
            <w:vMerge w:val="continue"/>
            <w:vAlign w:val="center"/>
          </w:tcPr>
          <w:p>
            <w:pPr>
              <w:jc w:val="center"/>
              <w:rPr>
                <w:color w:val="000000" w:themeColor="text1"/>
                <w:sz w:val="18"/>
                <w:szCs w:val="18"/>
                <w:lang w:val="en-US" w:eastAsia="en-US"/>
                <w14:textFill>
                  <w14:solidFill>
                    <w14:schemeClr w14:val="tx1"/>
                  </w14:solidFill>
                </w14:textFill>
              </w:rPr>
            </w:pPr>
          </w:p>
        </w:tc>
        <w:tc>
          <w:tcPr>
            <w:tcW w:w="2782" w:type="dxa"/>
            <w:vAlign w:val="top"/>
          </w:tcPr>
          <w:p>
            <w:pPr>
              <w:spacing w:line="288" w:lineRule="auto"/>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技术支持</w:t>
            </w:r>
          </w:p>
        </w:tc>
        <w:tc>
          <w:tcPr>
            <w:tcW w:w="3018" w:type="dxa"/>
            <w:vAlign w:val="top"/>
          </w:tcPr>
          <w:p>
            <w:pPr>
              <w:spacing w:line="288" w:lineRule="auto"/>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磋商响应文件中附有拟提供移动执法终端的相关技术资料（包括但不限于设备产品彩页、官网和功能截图等），整体表述一致，</w:t>
            </w:r>
          </w:p>
          <w:p>
            <w:pPr>
              <w:spacing w:line="288" w:lineRule="auto"/>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相关产品的证明材料完善</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提供的相关资料齐全，计</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6分</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；有部分证明材料和资料，计</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4</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分；有</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少量</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部分证明材料和资料，计</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2</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分</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证明材料和资料缺失严重，计</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1</w:t>
            </w: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分，未提供不得分。</w:t>
            </w:r>
          </w:p>
        </w:tc>
        <w:tc>
          <w:tcPr>
            <w:tcW w:w="747" w:type="dxa"/>
            <w:vAlign w:val="top"/>
          </w:tcPr>
          <w:p>
            <w:pPr>
              <w:spacing w:line="288" w:lineRule="auto"/>
              <w:jc w:val="cente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6.00</w:t>
            </w:r>
          </w:p>
        </w:tc>
        <w:tc>
          <w:tcPr>
            <w:tcW w:w="1008" w:type="dxa"/>
            <w:vAlign w:val="top"/>
          </w:tcPr>
          <w:p>
            <w:pPr>
              <w:spacing w:line="288" w:lineRule="auto"/>
              <w:jc w:val="cente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主观</w:t>
            </w:r>
          </w:p>
        </w:tc>
        <w:tc>
          <w:tcPr>
            <w:tcW w:w="2313" w:type="dxa"/>
            <w:vAlign w:val="top"/>
          </w:tcPr>
          <w:p>
            <w:pPr>
              <w:spacing w:line="288" w:lineRule="auto"/>
              <w:jc w:val="center"/>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商务技术部分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3" w:hRule="atLeast"/>
          <w:jc w:val="center"/>
        </w:trPr>
        <w:tc>
          <w:tcPr>
            <w:tcW w:w="697" w:type="dxa"/>
            <w:vMerge w:val="continue"/>
            <w:vAlign w:val="center"/>
          </w:tcPr>
          <w:p>
            <w:pPr>
              <w:jc w:val="center"/>
              <w:rPr>
                <w:color w:val="000000" w:themeColor="text1"/>
                <w:sz w:val="18"/>
                <w:szCs w:val="18"/>
                <w:lang w:val="en-US" w:eastAsia="en-US"/>
                <w14:textFill>
                  <w14:solidFill>
                    <w14:schemeClr w14:val="tx1"/>
                  </w14:solidFill>
                </w14:textFill>
              </w:rPr>
            </w:pPr>
          </w:p>
        </w:tc>
        <w:tc>
          <w:tcPr>
            <w:tcW w:w="2782" w:type="dxa"/>
            <w:vAlign w:val="top"/>
          </w:tcPr>
          <w:p>
            <w:pPr>
              <w:spacing w:line="288" w:lineRule="auto"/>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履约能力及后续服务</w:t>
            </w:r>
          </w:p>
        </w:tc>
        <w:tc>
          <w:tcPr>
            <w:tcW w:w="3018" w:type="dxa"/>
            <w:vAlign w:val="top"/>
          </w:tcPr>
          <w:p>
            <w:pPr>
              <w:spacing w:line="288" w:lineRule="auto"/>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针对本项目有详细完整可行的售后服务措施及承诺，包括但不限于后续服务商式、响应时间及方式、人员到位情况等。 售后服务措施及承诺全面具体、科学合理、可行性强的得6分； 售后服务措施及承诺较为全面具体、合理性较好、基本可行的得4分； 售后服务措施及承诺缺少关键点、不完善、可行性的得2分 未提供售后服务措施及承诺或售后服务措施及承诺完全脱离项目实际的不得分。</w:t>
            </w:r>
          </w:p>
        </w:tc>
        <w:tc>
          <w:tcPr>
            <w:tcW w:w="747" w:type="dxa"/>
            <w:vAlign w:val="top"/>
          </w:tcPr>
          <w:p>
            <w:pPr>
              <w:spacing w:line="288" w:lineRule="auto"/>
              <w:jc w:val="cente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6.00</w:t>
            </w:r>
          </w:p>
        </w:tc>
        <w:tc>
          <w:tcPr>
            <w:tcW w:w="1008" w:type="dxa"/>
            <w:vAlign w:val="top"/>
          </w:tcPr>
          <w:p>
            <w:pPr>
              <w:spacing w:line="288" w:lineRule="auto"/>
              <w:jc w:val="cente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主观</w:t>
            </w:r>
          </w:p>
        </w:tc>
        <w:tc>
          <w:tcPr>
            <w:tcW w:w="2313" w:type="dxa"/>
            <w:vAlign w:val="top"/>
          </w:tcPr>
          <w:p>
            <w:pPr>
              <w:spacing w:line="288" w:lineRule="auto"/>
              <w:jc w:val="center"/>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商务技术部分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3" w:hRule="atLeast"/>
          <w:jc w:val="center"/>
        </w:trPr>
        <w:tc>
          <w:tcPr>
            <w:tcW w:w="697" w:type="dxa"/>
            <w:vMerge w:val="continue"/>
            <w:vAlign w:val="center"/>
          </w:tcPr>
          <w:p>
            <w:pPr>
              <w:jc w:val="center"/>
              <w:rPr>
                <w:color w:val="000000" w:themeColor="text1"/>
                <w:sz w:val="18"/>
                <w:szCs w:val="18"/>
                <w:lang w:val="en-US" w:eastAsia="en-US"/>
                <w14:textFill>
                  <w14:solidFill>
                    <w14:schemeClr w14:val="tx1"/>
                  </w14:solidFill>
                </w14:textFill>
              </w:rPr>
            </w:pPr>
          </w:p>
        </w:tc>
        <w:tc>
          <w:tcPr>
            <w:tcW w:w="2782" w:type="dxa"/>
            <w:vAlign w:val="center"/>
          </w:tcPr>
          <w:p>
            <w:pPr>
              <w:spacing w:line="288" w:lineRule="auto"/>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价格分</w:t>
            </w:r>
          </w:p>
        </w:tc>
        <w:tc>
          <w:tcPr>
            <w:tcW w:w="3018" w:type="dxa"/>
            <w:vAlign w:val="top"/>
          </w:tcPr>
          <w:p>
            <w:pPr>
              <w:spacing w:line="288" w:lineRule="auto"/>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t>供应商的价格分，按照财政部财库〔2014〕214号文件第二十四条和 财库〔2020〕46号文件的规定，采用低价优先法计算，以本次满足磋商文件要求的最低</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评审</w:t>
            </w:r>
            <w:r>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t>报价为磋商基准价，其磋商报价为满分。供应商的磋商报价得分，统一按照下列公式计算：磋商报价得分=(磋商基准价／最后磋商报价)×</w:t>
            </w:r>
            <w:r>
              <w:rPr>
                <w:rFonts w:hint="eastAsia" w:ascii="宋体" w:hAnsi="宋体" w:eastAsia="宋体" w:cs="宋体"/>
                <w:snapToGrid w:val="0"/>
                <w:color w:val="000000" w:themeColor="text1"/>
                <w:kern w:val="0"/>
                <w:sz w:val="18"/>
                <w:szCs w:val="18"/>
                <w:lang w:val="en-US" w:eastAsia="zh-CN" w:bidi="ar-SA"/>
                <w14:textFill>
                  <w14:solidFill>
                    <w14:schemeClr w14:val="tx1"/>
                  </w14:solidFill>
                </w14:textFill>
              </w:rPr>
              <w:t>1</w:t>
            </w:r>
            <w:r>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t>0</w:t>
            </w:r>
          </w:p>
        </w:tc>
        <w:tc>
          <w:tcPr>
            <w:tcW w:w="747" w:type="dxa"/>
            <w:vAlign w:val="top"/>
          </w:tcPr>
          <w:p>
            <w:pPr>
              <w:spacing w:line="288" w:lineRule="auto"/>
              <w:jc w:val="center"/>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10.00</w:t>
            </w:r>
          </w:p>
        </w:tc>
        <w:tc>
          <w:tcPr>
            <w:tcW w:w="1008" w:type="dxa"/>
            <w:vAlign w:val="top"/>
          </w:tcPr>
          <w:p>
            <w:pPr>
              <w:spacing w:line="288" w:lineRule="auto"/>
              <w:jc w:val="center"/>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客观</w:t>
            </w:r>
          </w:p>
        </w:tc>
        <w:tc>
          <w:tcPr>
            <w:tcW w:w="2313" w:type="dxa"/>
            <w:vAlign w:val="top"/>
          </w:tcPr>
          <w:p>
            <w:pPr>
              <w:spacing w:line="288" w:lineRule="auto"/>
              <w:jc w:val="cente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报价表标的清单</w:t>
            </w:r>
          </w:p>
          <w:p>
            <w:pPr>
              <w:spacing w:line="288" w:lineRule="auto"/>
              <w:jc w:val="center"/>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697" w:type="dxa"/>
            <w:vMerge w:val="continue"/>
            <w:vAlign w:val="center"/>
          </w:tcPr>
          <w:p>
            <w:pPr>
              <w:jc w:val="center"/>
              <w:rPr>
                <w:color w:val="000000" w:themeColor="text1"/>
                <w:sz w:val="18"/>
                <w:szCs w:val="18"/>
                <w14:textFill>
                  <w14:solidFill>
                    <w14:schemeClr w14:val="tx1"/>
                  </w14:solidFill>
                </w14:textFill>
              </w:rPr>
            </w:pPr>
          </w:p>
        </w:tc>
        <w:tc>
          <w:tcPr>
            <w:tcW w:w="2782" w:type="dxa"/>
            <w:vAlign w:val="top"/>
          </w:tcPr>
          <w:p>
            <w:pPr>
              <w:spacing w:line="288" w:lineRule="auto"/>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业绩</w:t>
            </w:r>
          </w:p>
        </w:tc>
        <w:tc>
          <w:tcPr>
            <w:tcW w:w="3018" w:type="dxa"/>
            <w:vAlign w:val="top"/>
          </w:tcPr>
          <w:p>
            <w:pPr>
              <w:spacing w:line="288" w:lineRule="auto"/>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具有2021年1月1日起至今的类似项目(智慧城管)业绩，业绩以合同扫描件（复印件）为依据；每提供1个业绩合同得2分，最多得10分。</w:t>
            </w:r>
          </w:p>
        </w:tc>
        <w:tc>
          <w:tcPr>
            <w:tcW w:w="747" w:type="dxa"/>
            <w:vAlign w:val="top"/>
          </w:tcPr>
          <w:p>
            <w:pPr>
              <w:spacing w:line="288" w:lineRule="auto"/>
              <w:jc w:val="center"/>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10.00</w:t>
            </w:r>
          </w:p>
        </w:tc>
        <w:tc>
          <w:tcPr>
            <w:tcW w:w="1008" w:type="dxa"/>
            <w:vAlign w:val="top"/>
          </w:tcPr>
          <w:p>
            <w:pPr>
              <w:spacing w:line="288" w:lineRule="auto"/>
              <w:jc w:val="center"/>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客观</w:t>
            </w:r>
          </w:p>
        </w:tc>
        <w:tc>
          <w:tcPr>
            <w:tcW w:w="2313" w:type="dxa"/>
            <w:vAlign w:val="top"/>
          </w:tcPr>
          <w:p>
            <w:pPr>
              <w:spacing w:line="288" w:lineRule="auto"/>
              <w:jc w:val="center"/>
              <w:rPr>
                <w:rFonts w:hint="eastAsia" w:ascii="宋体" w:hAnsi="宋体" w:eastAsia="宋体" w:cs="宋体"/>
                <w:snapToGrid w:val="0"/>
                <w:color w:val="000000" w:themeColor="text1"/>
                <w:kern w:val="0"/>
                <w:sz w:val="18"/>
                <w:szCs w:val="18"/>
                <w:lang w:val="en-US" w:eastAsia="en-US" w:bidi="ar-SA"/>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Hans" w:bidi="ar-SA"/>
                <w14:textFill>
                  <w14:solidFill>
                    <w14:schemeClr w14:val="tx1"/>
                  </w14:solidFill>
                </w14:textFill>
              </w:rPr>
              <w:t>商务技术部分</w:t>
            </w:r>
          </w:p>
        </w:tc>
      </w:tr>
    </w:tbl>
    <w:p>
      <w:pPr>
        <w:spacing w:line="151" w:lineRule="exact"/>
        <w:rPr>
          <w:highlight w:val="none"/>
        </w:rPr>
      </w:pPr>
    </w:p>
    <w:p>
      <w:pPr>
        <w:spacing w:before="137" w:line="218" w:lineRule="auto"/>
        <w:ind w:left="367"/>
        <w:rPr>
          <w:rFonts w:ascii="宋体" w:hAnsi="宋体" w:eastAsia="宋体" w:cs="宋体"/>
          <w:color w:val="000000" w:themeColor="text1"/>
          <w:spacing w:val="-3"/>
          <w:sz w:val="21"/>
          <w:szCs w:val="21"/>
          <w:highlight w:val="none"/>
          <w14:textFill>
            <w14:solidFill>
              <w14:schemeClr w14:val="tx1"/>
            </w14:solidFill>
          </w14:textFill>
        </w:rPr>
      </w:pPr>
      <w:r>
        <w:rPr>
          <w:rFonts w:ascii="宋体" w:hAnsi="宋体" w:eastAsia="宋体" w:cs="宋体"/>
          <w:color w:val="000000" w:themeColor="text1"/>
          <w:spacing w:val="-3"/>
          <w:sz w:val="21"/>
          <w:szCs w:val="21"/>
          <w:highlight w:val="none"/>
          <w14:textFill>
            <w14:solidFill>
              <w14:schemeClr w14:val="tx1"/>
            </w14:solidFill>
          </w14:textFill>
        </w:rPr>
        <w:t>价格扣除</w:t>
      </w:r>
    </w:p>
    <w:tbl>
      <w:tblPr>
        <w:tblStyle w:val="20"/>
        <w:tblW w:w="5437" w:type="pct"/>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0"/>
        <w:gridCol w:w="1743"/>
        <w:gridCol w:w="1689"/>
        <w:gridCol w:w="1022"/>
        <w:gridCol w:w="2911"/>
        <w:gridCol w:w="2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trPr>
        <w:tc>
          <w:tcPr>
            <w:tcW w:w="446" w:type="pct"/>
            <w:vAlign w:val="top"/>
          </w:tcPr>
          <w:p>
            <w:pPr>
              <w:pStyle w:val="21"/>
              <w:spacing w:before="82" w:line="221" w:lineRule="auto"/>
              <w:ind w:left="91"/>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序号</w:t>
            </w:r>
          </w:p>
        </w:tc>
        <w:tc>
          <w:tcPr>
            <w:tcW w:w="810" w:type="pct"/>
            <w:vAlign w:val="top"/>
          </w:tcPr>
          <w:p>
            <w:pPr>
              <w:pStyle w:val="21"/>
              <w:spacing w:before="82" w:line="220" w:lineRule="auto"/>
              <w:ind w:left="88"/>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情形</w:t>
            </w:r>
          </w:p>
        </w:tc>
        <w:tc>
          <w:tcPr>
            <w:tcW w:w="785" w:type="pct"/>
            <w:vAlign w:val="top"/>
          </w:tcPr>
          <w:p>
            <w:pPr>
              <w:pStyle w:val="21"/>
              <w:spacing w:before="83" w:line="219" w:lineRule="auto"/>
              <w:ind w:left="9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适用对象</w:t>
            </w:r>
          </w:p>
        </w:tc>
        <w:tc>
          <w:tcPr>
            <w:tcW w:w="475" w:type="pct"/>
            <w:vAlign w:val="top"/>
          </w:tcPr>
          <w:p>
            <w:pPr>
              <w:pStyle w:val="21"/>
              <w:spacing w:before="82" w:line="221" w:lineRule="auto"/>
              <w:ind w:left="111"/>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比例</w:t>
            </w:r>
          </w:p>
        </w:tc>
        <w:tc>
          <w:tcPr>
            <w:tcW w:w="1353" w:type="pct"/>
            <w:vAlign w:val="top"/>
          </w:tcPr>
          <w:p>
            <w:pPr>
              <w:pStyle w:val="21"/>
              <w:spacing w:before="83" w:line="219" w:lineRule="auto"/>
              <w:ind w:left="9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说明</w:t>
            </w:r>
          </w:p>
        </w:tc>
        <w:tc>
          <w:tcPr>
            <w:tcW w:w="1129" w:type="pct"/>
            <w:vAlign w:val="top"/>
          </w:tcPr>
          <w:p>
            <w:pPr>
              <w:pStyle w:val="21"/>
              <w:spacing w:before="83" w:line="219" w:lineRule="auto"/>
              <w:ind w:left="97"/>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关联格式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446" w:type="pct"/>
            <w:vAlign w:val="top"/>
          </w:tcPr>
          <w:p>
            <w:pPr>
              <w:pStyle w:val="25"/>
              <w:rPr>
                <w:color w:val="FF0000"/>
                <w:highlight w:val="none"/>
              </w:rPr>
            </w:pPr>
            <w:r>
              <w:t>1</w:t>
            </w:r>
          </w:p>
        </w:tc>
        <w:tc>
          <w:tcPr>
            <w:tcW w:w="810" w:type="pct"/>
            <w:vAlign w:val="top"/>
          </w:tcPr>
          <w:p>
            <w:pPr>
              <w:pStyle w:val="25"/>
              <w:rPr>
                <w:color w:val="FF0000"/>
                <w:highlight w:val="none"/>
              </w:rPr>
            </w:pPr>
            <w:r>
              <w:t>小型、微型企业，监狱企业，残疾人福利性单位</w:t>
            </w:r>
          </w:p>
        </w:tc>
        <w:tc>
          <w:tcPr>
            <w:tcW w:w="785" w:type="pct"/>
            <w:vAlign w:val="top"/>
          </w:tcPr>
          <w:p>
            <w:pPr>
              <w:pStyle w:val="25"/>
              <w:rPr>
                <w:color w:val="FF0000"/>
                <w:highlight w:val="none"/>
              </w:rPr>
            </w:pPr>
            <w:r>
              <w:t>投标人或联合体成员均为小型、微型企业</w:t>
            </w:r>
          </w:p>
        </w:tc>
        <w:tc>
          <w:tcPr>
            <w:tcW w:w="475" w:type="pct"/>
            <w:vAlign w:val="top"/>
          </w:tcPr>
          <w:p>
            <w:pPr>
              <w:pStyle w:val="25"/>
              <w:jc w:val="right"/>
              <w:rPr>
                <w:color w:val="FF0000"/>
                <w:highlight w:val="none"/>
              </w:rPr>
            </w:pPr>
            <w:r>
              <w:t>10.00%</w:t>
            </w:r>
          </w:p>
        </w:tc>
        <w:tc>
          <w:tcPr>
            <w:tcW w:w="1353" w:type="pct"/>
            <w:vAlign w:val="top"/>
          </w:tcPr>
          <w:p>
            <w:pPr>
              <w:pStyle w:val="25"/>
              <w:rPr>
                <w:color w:val="FF0000"/>
                <w:highlight w:val="none"/>
              </w:rPr>
            </w:pPr>
            <w:r>
              <w:t>对于经主管预算单位 统筹后未预留份额专 门面向中小企业采购 的采购项目，以及预 留份额项目中的非预 留部分采购包，对符 合《政府采购促进中 小企业发展管理办法 》（财库〔2020〕46 号）规定的小微企业 报价给予10%的扣除 ，用扣除后的价格参 加评审。承接本项目 的供应商符合相应条 件时，给予10%的价 格扣除，即：磋商评 审价=磋商最后报价× （1-10%）;监狱企业 与残疾人福利性单位 视同小型、微型企业 ，享受同等价格扣除 ，当企业属性重复时 ，不重复价格扣除，只要有大中型企业提供服务的，就不得享受价格扣除优惠政策。</w:t>
            </w:r>
          </w:p>
        </w:tc>
        <w:tc>
          <w:tcPr>
            <w:tcW w:w="1129" w:type="pct"/>
            <w:vAlign w:val="top"/>
          </w:tcPr>
          <w:p>
            <w:pPr>
              <w:pStyle w:val="25"/>
              <w:rPr>
                <w:color w:val="FF0000"/>
                <w:highlight w:val="none"/>
              </w:rPr>
            </w:pPr>
            <w:r>
              <w:t>监狱企业的证明 中小企业声明函 残疾人福利性单位声明函</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pacing w:val="15"/>
          <w:sz w:val="28"/>
          <w:szCs w:val="28"/>
          <w:highlight w:val="none"/>
        </w:rPr>
      </w:pPr>
      <w:r>
        <w:rPr>
          <w:rFonts w:hint="default" w:ascii="Times New Roman" w:hAnsi="Times New Roman" w:eastAsia="宋体" w:cs="Times New Roman"/>
          <w:b/>
          <w:bCs/>
          <w:spacing w:val="15"/>
          <w:sz w:val="28"/>
          <w:szCs w:val="28"/>
          <w:highlight w:val="none"/>
        </w:rPr>
        <w:t>6.</w:t>
      </w:r>
      <w:r>
        <w:rPr>
          <w:rFonts w:hint="eastAsia" w:ascii="Times New Roman" w:hAnsi="Times New Roman" w:eastAsia="宋体" w:cs="Times New Roman"/>
          <w:b/>
          <w:bCs/>
          <w:spacing w:val="15"/>
          <w:sz w:val="28"/>
          <w:szCs w:val="28"/>
          <w:highlight w:val="none"/>
          <w:lang w:val="en-US" w:eastAsia="zh-CN"/>
        </w:rPr>
        <w:t>5</w:t>
      </w:r>
      <w:r>
        <w:rPr>
          <w:rFonts w:hint="default" w:ascii="Times New Roman" w:hAnsi="Times New Roman" w:eastAsia="宋体" w:cs="Times New Roman"/>
          <w:b/>
          <w:bCs/>
          <w:spacing w:val="15"/>
          <w:sz w:val="28"/>
          <w:szCs w:val="28"/>
          <w:highlight w:val="none"/>
        </w:rPr>
        <w:t>终止采购活动</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出现下列情形之一的，采购人或者代理机构应当终止竞争性磋商采购活动，发布项目终止公告并说明原因，重新开展采购活动：</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一、因情况变化，不再符合规定的竞争性磋商采购方式适用情形的；</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二、出现影响采购公正的违法、违规行为的；</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三、除《政府采购竞争性磋商采购方式管理暂行办法》第二十一条第三款规定的情形外，在采购过程中符合要求的供应商或者报价未超过采购预算的供应商不足3家的（财政部另有规定的除外）；</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四、法律法规规定的其他情形。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pacing w:val="15"/>
          <w:sz w:val="28"/>
          <w:szCs w:val="28"/>
          <w:highlight w:val="none"/>
        </w:rPr>
      </w:pPr>
      <w:r>
        <w:rPr>
          <w:rFonts w:hint="default" w:ascii="Times New Roman" w:hAnsi="Times New Roman" w:eastAsia="宋体" w:cs="Times New Roman"/>
          <w:b/>
          <w:bCs/>
          <w:spacing w:val="15"/>
          <w:sz w:val="28"/>
          <w:szCs w:val="28"/>
          <w:highlight w:val="none"/>
        </w:rPr>
        <w:t>6.</w:t>
      </w:r>
      <w:r>
        <w:rPr>
          <w:rFonts w:hint="eastAsia" w:ascii="Times New Roman" w:hAnsi="Times New Roman" w:eastAsia="宋体" w:cs="Times New Roman"/>
          <w:b/>
          <w:bCs/>
          <w:spacing w:val="15"/>
          <w:sz w:val="28"/>
          <w:szCs w:val="28"/>
          <w:highlight w:val="none"/>
          <w:lang w:val="en-US" w:eastAsia="zh-CN"/>
        </w:rPr>
        <w:t>6</w:t>
      </w:r>
      <w:r>
        <w:rPr>
          <w:rFonts w:hint="default" w:ascii="Times New Roman" w:hAnsi="Times New Roman" w:eastAsia="宋体" w:cs="Times New Roman"/>
          <w:b/>
          <w:bCs/>
          <w:spacing w:val="15"/>
          <w:sz w:val="28"/>
          <w:szCs w:val="28"/>
          <w:highlight w:val="none"/>
        </w:rPr>
        <w:t>确定成交供应商</w:t>
      </w:r>
    </w:p>
    <w:p>
      <w:pPr>
        <w:keepNext w:val="0"/>
        <w:keepLines w:val="0"/>
        <w:pageBreakBefore w:val="0"/>
        <w:widowControl/>
        <w:tabs>
          <w:tab w:val="left" w:pos="9870"/>
        </w:tabs>
        <w:kinsoku/>
        <w:wordWrap/>
        <w:overflowPunct/>
        <w:topLinePunct w:val="0"/>
        <w:autoSpaceDE w:val="0"/>
        <w:autoSpaceDN w:val="0"/>
        <w:bidi w:val="0"/>
        <w:adjustRightInd w:val="0"/>
        <w:snapToGrid w:val="0"/>
        <w:spacing w:line="360" w:lineRule="auto"/>
        <w:ind w:left="0" w:right="0" w:rightChars="0" w:firstLine="420" w:firstLineChars="200"/>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一、代理机构在评审结束之日起</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个工作日内将磋商报告及有关资料送交采购人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确认</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pPr>
        <w:keepNext w:val="0"/>
        <w:keepLines w:val="0"/>
        <w:pageBreakBefore w:val="0"/>
        <w:widowControl/>
        <w:tabs>
          <w:tab w:val="left" w:pos="9870"/>
        </w:tabs>
        <w:kinsoku/>
        <w:wordWrap/>
        <w:overflowPunct/>
        <w:topLinePunct w:val="0"/>
        <w:autoSpaceDE w:val="0"/>
        <w:autoSpaceDN w:val="0"/>
        <w:bidi w:val="0"/>
        <w:adjustRightInd w:val="0"/>
        <w:snapToGrid w:val="0"/>
        <w:spacing w:line="360" w:lineRule="auto"/>
        <w:ind w:left="0" w:right="0" w:rightChars="0" w:firstLine="420" w:firstLineChars="200"/>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二、采购人在收到磋商报告后</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个工作日内，按照评审报告中推荐的成交候选人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顺序</w:t>
      </w:r>
      <w:r>
        <w:rPr>
          <w:rFonts w:hint="default" w:ascii="Times New Roman" w:hAnsi="Times New Roman" w:eastAsia="宋体" w:cs="Times New Roman"/>
          <w:color w:val="000000" w:themeColor="text1"/>
          <w:sz w:val="21"/>
          <w:szCs w:val="21"/>
          <w:highlight w:val="none"/>
          <w14:textFill>
            <w14:solidFill>
              <w14:schemeClr w14:val="tx1"/>
            </w14:solidFill>
          </w14:textFill>
        </w:rPr>
        <w:t>确定成交供应商。同时，将确定成交供应商的结果复函至采购代理机构。</w:t>
      </w:r>
    </w:p>
    <w:p>
      <w:pPr>
        <w:keepNext w:val="0"/>
        <w:keepLines w:val="0"/>
        <w:pageBreakBefore w:val="0"/>
        <w:widowControl/>
        <w:tabs>
          <w:tab w:val="left" w:pos="9870"/>
        </w:tabs>
        <w:kinsoku/>
        <w:wordWrap/>
        <w:overflowPunct/>
        <w:topLinePunct w:val="0"/>
        <w:autoSpaceDE w:val="0"/>
        <w:autoSpaceDN w:val="0"/>
        <w:bidi w:val="0"/>
        <w:adjustRightInd w:val="0"/>
        <w:snapToGrid w:val="0"/>
        <w:spacing w:line="360" w:lineRule="auto"/>
        <w:ind w:left="0" w:right="0" w:rightChars="0" w:firstLine="420" w:firstLineChars="200"/>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宋体" w:hAnsi="宋体"/>
          <w:color w:val="000000" w:themeColor="text1"/>
          <w:szCs w:val="21"/>
          <w14:textFill>
            <w14:solidFill>
              <w14:schemeClr w14:val="tx1"/>
            </w14:solidFill>
          </w14:textFill>
        </w:rPr>
        <w:t>采购人</w:t>
      </w:r>
      <w:r>
        <w:rPr>
          <w:rFonts w:hint="eastAsia" w:ascii="宋体" w:hAnsi="宋体" w:eastAsia="宋体"/>
          <w:color w:val="000000" w:themeColor="text1"/>
          <w:szCs w:val="21"/>
          <w:lang w:eastAsia="zh-CN"/>
          <w14:textFill>
            <w14:solidFill>
              <w14:schemeClr w14:val="tx1"/>
            </w14:solidFill>
          </w14:textFill>
        </w:rPr>
        <w:t>逾期</w:t>
      </w:r>
      <w:r>
        <w:rPr>
          <w:rFonts w:hint="eastAsia" w:ascii="宋体" w:hAnsi="宋体"/>
          <w:color w:val="000000" w:themeColor="text1"/>
          <w:szCs w:val="21"/>
          <w14:textFill>
            <w14:solidFill>
              <w14:schemeClr w14:val="tx1"/>
            </w14:solidFill>
          </w14:textFill>
        </w:rPr>
        <w:t>未按评审报告推荐的成交候</w:t>
      </w:r>
      <w:r>
        <w:rPr>
          <w:rFonts w:hint="eastAsia" w:ascii="宋体" w:hAnsi="宋体" w:eastAsia="宋体"/>
          <w:color w:val="000000" w:themeColor="text1"/>
          <w:szCs w:val="21"/>
          <w:lang w:eastAsia="zh-CN"/>
          <w14:textFill>
            <w14:solidFill>
              <w14:schemeClr w14:val="tx1"/>
            </w14:solidFill>
          </w14:textFill>
        </w:rPr>
        <w:t>选</w:t>
      </w:r>
      <w:r>
        <w:rPr>
          <w:rFonts w:hint="eastAsia" w:ascii="宋体" w:hAnsi="宋体"/>
          <w:color w:val="000000" w:themeColor="text1"/>
          <w:szCs w:val="21"/>
          <w14:textFill>
            <w14:solidFill>
              <w14:schemeClr w14:val="tx1"/>
            </w14:solidFill>
          </w14:textFill>
        </w:rPr>
        <w:t>人中顺序确定成交供应商，又不能说明合法理由的，视同按照评审报告推荐的顺序确定排名第一的成交候选人为成交供应商。</w:t>
      </w:r>
    </w:p>
    <w:p>
      <w:pPr>
        <w:keepNext w:val="0"/>
        <w:keepLines w:val="0"/>
        <w:pageBreakBefore w:val="0"/>
        <w:widowControl/>
        <w:tabs>
          <w:tab w:val="left" w:pos="9870"/>
        </w:tabs>
        <w:kinsoku/>
        <w:wordWrap/>
        <w:overflowPunct/>
        <w:topLinePunct w:val="0"/>
        <w:autoSpaceDE w:val="0"/>
        <w:autoSpaceDN w:val="0"/>
        <w:bidi w:val="0"/>
        <w:adjustRightInd w:val="0"/>
        <w:snapToGrid w:val="0"/>
        <w:spacing w:line="360" w:lineRule="auto"/>
        <w:ind w:left="0" w:right="0" w:rightChars="0" w:firstLine="420" w:firstLineChars="200"/>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三</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宋体" w:hAnsi="宋体"/>
          <w:color w:val="000000" w:themeColor="text1"/>
          <w:szCs w:val="21"/>
          <w14:textFill>
            <w14:solidFill>
              <w14:schemeClr w14:val="tx1"/>
            </w14:solidFill>
          </w14:textFill>
        </w:rPr>
        <w:t>采购代理机构应当在接到采购人复函之日起</w:t>
      </w:r>
      <w:r>
        <w:rPr>
          <w:rFonts w:hint="eastAsia" w:ascii="宋体" w:hAnsi="宋体" w:eastAsia="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个工作日内公告成交结果，</w:t>
      </w:r>
      <w:r>
        <w:rPr>
          <w:rFonts w:hint="default" w:ascii="Times New Roman" w:hAnsi="Times New Roman" w:eastAsia="宋体" w:cs="Times New Roman"/>
          <w:color w:val="000000" w:themeColor="text1"/>
          <w:sz w:val="21"/>
          <w:szCs w:val="21"/>
          <w:highlight w:val="none"/>
          <w14:textFill>
            <w14:solidFill>
              <w14:schemeClr w14:val="tx1"/>
            </w14:solidFill>
          </w14:textFill>
        </w:rPr>
        <w:t>同时向成交供应商发出成交通知书。</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供应商可登录陕西省政府采购网自行查看最终得分与排名。</w:t>
      </w:r>
      <w:r>
        <w:rPr>
          <w:rFonts w:hint="eastAsia" w:ascii="宋体" w:hAnsi="宋体"/>
          <w:color w:val="000000" w:themeColor="text1"/>
          <w:szCs w:val="21"/>
          <w14:textFill>
            <w14:solidFill>
              <w14:schemeClr w14:val="tx1"/>
            </w14:solidFill>
          </w14:textFill>
        </w:rPr>
        <w:t>磋商文件</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成交供应商的《中小企业声明函》或者《残疾人福利性单位声明函》也应随成交结果同时公告。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pacing w:val="15"/>
          <w:sz w:val="28"/>
          <w:szCs w:val="28"/>
          <w:highlight w:val="none"/>
        </w:rPr>
      </w:pPr>
      <w:r>
        <w:rPr>
          <w:rFonts w:hint="default" w:ascii="Times New Roman" w:hAnsi="Times New Roman" w:eastAsia="宋体" w:cs="Times New Roman"/>
          <w:b/>
          <w:bCs/>
          <w:spacing w:val="15"/>
          <w:sz w:val="28"/>
          <w:szCs w:val="28"/>
          <w:highlight w:val="none"/>
        </w:rPr>
        <w:t>6.</w:t>
      </w:r>
      <w:r>
        <w:rPr>
          <w:rFonts w:hint="eastAsia" w:ascii="Times New Roman" w:hAnsi="Times New Roman" w:eastAsia="宋体" w:cs="Times New Roman"/>
          <w:b/>
          <w:bCs/>
          <w:spacing w:val="15"/>
          <w:sz w:val="28"/>
          <w:szCs w:val="28"/>
          <w:highlight w:val="none"/>
          <w:lang w:val="en-US" w:eastAsia="zh-CN"/>
        </w:rPr>
        <w:t>7</w:t>
      </w:r>
      <w:r>
        <w:rPr>
          <w:rFonts w:hint="default" w:ascii="Times New Roman" w:hAnsi="Times New Roman" w:eastAsia="宋体" w:cs="Times New Roman"/>
          <w:b/>
          <w:bCs/>
          <w:spacing w:val="15"/>
          <w:sz w:val="28"/>
          <w:szCs w:val="28"/>
          <w:highlight w:val="none"/>
        </w:rPr>
        <w:t>评审专家在政府采购活动中承担以下义务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（一）遵守评审工作纪律；</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（二）按照客观、公正、审慎的原则，根据采购文件规定的评审程序、评审方法和评审标准进行独立评审；</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（三）不得泄露评审文件、评审情况和在评审过程中获悉的商业秘密；</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（四）及时向监督管理部门报告评审过程中的违法违规情况，包括采购组织单位向评审专家作出倾向性、误导性的解释或者说明情况，供应商行贿、提供虚假材料或者串通情况，其他非法干预评审情况等；</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（五）发现采购文件内容违反国家有关强制性规定或者存在歧义、重大缺陷导致评审工作无法进行时，停止评审并通过项目电子化交易系统向采购组织单位书面说明情况，说明停止评审的情形和具体理由；</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（六）配合答复处理供应商的询问、质疑和投诉等事项；</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（七）法律、法规和规章规定的其他义务。</w:t>
      </w:r>
    </w:p>
    <w:p>
      <w:pPr>
        <w:keepNext w:val="0"/>
        <w:keepLines w:val="0"/>
        <w:pageBreakBefore w:val="0"/>
        <w:widowControl/>
        <w:kinsoku/>
        <w:wordWrap/>
        <w:overflowPunct w:val="0"/>
        <w:topLinePunct w:val="0"/>
        <w:autoSpaceDE w:val="0"/>
        <w:autoSpaceDN w:val="0"/>
        <w:bidi w:val="0"/>
        <w:adjustRightInd w:val="0"/>
        <w:snapToGrid w:val="0"/>
        <w:spacing w:line="360" w:lineRule="auto"/>
        <w:ind w:left="15"/>
        <w:textAlignment w:val="baseline"/>
        <w:outlineLvl w:val="1"/>
        <w:rPr>
          <w:rFonts w:hint="default" w:ascii="Times New Roman" w:hAnsi="Times New Roman" w:eastAsia="宋体" w:cs="Times New Roman"/>
          <w:b/>
          <w:bCs/>
          <w:spacing w:val="15"/>
          <w:sz w:val="28"/>
          <w:szCs w:val="28"/>
          <w:highlight w:val="none"/>
        </w:rPr>
      </w:pPr>
      <w:r>
        <w:rPr>
          <w:rFonts w:hint="default" w:ascii="Times New Roman" w:hAnsi="Times New Roman" w:eastAsia="宋体" w:cs="Times New Roman"/>
          <w:b/>
          <w:bCs/>
          <w:spacing w:val="15"/>
          <w:sz w:val="28"/>
          <w:szCs w:val="28"/>
          <w:highlight w:val="none"/>
        </w:rPr>
        <w:t>6.</w:t>
      </w:r>
      <w:r>
        <w:rPr>
          <w:rFonts w:hint="eastAsia" w:ascii="Times New Roman" w:hAnsi="Times New Roman" w:eastAsia="宋体" w:cs="Times New Roman"/>
          <w:b/>
          <w:bCs/>
          <w:spacing w:val="15"/>
          <w:sz w:val="28"/>
          <w:szCs w:val="28"/>
          <w:highlight w:val="none"/>
          <w:lang w:val="en-US" w:eastAsia="zh-CN"/>
        </w:rPr>
        <w:t>8</w:t>
      </w:r>
      <w:r>
        <w:rPr>
          <w:rFonts w:hint="default" w:ascii="Times New Roman" w:hAnsi="Times New Roman" w:eastAsia="宋体" w:cs="Times New Roman"/>
          <w:b/>
          <w:bCs/>
          <w:spacing w:val="15"/>
          <w:sz w:val="28"/>
          <w:szCs w:val="28"/>
          <w:highlight w:val="none"/>
        </w:rPr>
        <w:t>评审专家在政府采购活动中应当遵守以下工作纪律</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（一）遵行《中华人民共和国政府采购法》第十二条和《中华人民共和国政府采购法实施条例》第九条及财政部关于回避的规定。</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（二）评审前，应当将通讯工具或者相关电子设备交由采购组织单位统一保管。</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（三）评审过程中，不得与外界联系，因发生不可预见情况，确实需要与外界联系的，应当在监督人员监督之下办理。</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（四）评审过程中，不得干预或者影响正常评审工作，不得发表倾向性、引导性意见， 不得修改或细化磋商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（五）在评审过程中和评审结束后，不得记录、复制或带走任何评审资料，不得向外界透露评审内容。</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（六）服从评审现场采购组织单位的现场秩序管理，接受评审现场监督人员的合法监督。</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18"/>
          <w:szCs w:val="18"/>
          <w:highlight w:val="none"/>
        </w:rPr>
      </w:pPr>
      <w:r>
        <w:rPr>
          <w:rFonts w:hint="default" w:ascii="Times New Roman" w:hAnsi="Times New Roman" w:eastAsia="宋体" w:cs="Times New Roman"/>
          <w:sz w:val="21"/>
          <w:szCs w:val="21"/>
          <w:highlight w:val="none"/>
        </w:rPr>
        <w:t>（七）遵守有关廉洁自律规定，不得私下接触供应商，不得收受供应商及有关业务单位和个人的财物或好处，不得接受采购组织单位的请托。</w:t>
      </w:r>
    </w:p>
    <w:p>
      <w:pPr>
        <w:spacing w:line="220" w:lineRule="auto"/>
        <w:rPr>
          <w:rFonts w:ascii="宋体" w:hAnsi="宋体" w:eastAsia="宋体" w:cs="宋体"/>
          <w:sz w:val="18"/>
          <w:szCs w:val="18"/>
          <w:highlight w:val="none"/>
        </w:rPr>
        <w:sectPr>
          <w:pgSz w:w="11900" w:h="16840"/>
          <w:pgMar w:top="1440" w:right="940" w:bottom="1440" w:left="1080" w:header="0" w:footer="0" w:gutter="0"/>
          <w:cols w:space="720" w:num="1"/>
        </w:sectPr>
      </w:pPr>
    </w:p>
    <w:p>
      <w:pPr>
        <w:spacing w:before="58" w:line="220" w:lineRule="auto"/>
        <w:jc w:val="center"/>
        <w:outlineLvl w:val="0"/>
        <w:rPr>
          <w:rFonts w:ascii="宋体" w:hAnsi="宋体" w:eastAsia="宋体" w:cs="宋体"/>
          <w:spacing w:val="6"/>
          <w:sz w:val="29"/>
          <w:szCs w:val="29"/>
          <w:highlight w:val="none"/>
        </w:rPr>
      </w:pPr>
      <w:r>
        <w:rPr>
          <w:rFonts w:ascii="宋体" w:hAnsi="宋体" w:eastAsia="宋体" w:cs="宋体"/>
          <w:spacing w:val="6"/>
          <w:sz w:val="29"/>
          <w:szCs w:val="29"/>
          <w:highlight w:val="none"/>
        </w:rPr>
        <w:t>第七章 响应文件格式</w:t>
      </w:r>
    </w:p>
    <w:p>
      <w:pPr>
        <w:pStyle w:val="3"/>
        <w:spacing w:line="353" w:lineRule="auto"/>
        <w:rPr>
          <w:highlight w:val="none"/>
        </w:rPr>
      </w:pPr>
    </w:p>
    <w:p>
      <w:pPr>
        <w:keepNext w:val="0"/>
        <w:keepLines w:val="0"/>
        <w:pageBreakBefore w:val="0"/>
        <w:widowControl w:val="0"/>
        <w:kinsoku/>
        <w:wordWrap/>
        <w:overflowPunct/>
        <w:topLinePunct w:val="0"/>
        <w:autoSpaceDE/>
        <w:autoSpaceDN/>
        <w:bidi w:val="0"/>
        <w:adjustRightInd w:val="0"/>
        <w:snapToGrid w:val="0"/>
        <w:spacing w:before="58" w:line="360" w:lineRule="auto"/>
        <w:ind w:left="6"/>
        <w:textAlignment w:val="auto"/>
        <w:rPr>
          <w:rFonts w:cs="宋体" w:asciiTheme="majorEastAsia" w:hAnsiTheme="majorEastAsia" w:eastAsiaTheme="majorEastAsia"/>
          <w:szCs w:val="21"/>
        </w:rPr>
      </w:pPr>
      <w:r>
        <w:rPr>
          <w:rFonts w:cs="宋体" w:asciiTheme="majorEastAsia" w:hAnsiTheme="majorEastAsia" w:eastAsiaTheme="majorEastAsia"/>
          <w:szCs w:val="21"/>
        </w:rPr>
        <w:t>一、本章所制响应文件格式，除格式中明确将该格式作为实</w:t>
      </w:r>
      <w:r>
        <w:rPr>
          <w:rFonts w:cs="宋体" w:asciiTheme="majorEastAsia" w:hAnsiTheme="majorEastAsia" w:eastAsiaTheme="majorEastAsia"/>
          <w:spacing w:val="-1"/>
          <w:szCs w:val="21"/>
        </w:rPr>
        <w:t>质性要求的，不具有强制性。</w:t>
      </w:r>
    </w:p>
    <w:p>
      <w:pPr>
        <w:keepNext w:val="0"/>
        <w:keepLines w:val="0"/>
        <w:pageBreakBefore w:val="0"/>
        <w:widowControl w:val="0"/>
        <w:kinsoku/>
        <w:wordWrap/>
        <w:overflowPunct/>
        <w:topLinePunct w:val="0"/>
        <w:autoSpaceDE/>
        <w:autoSpaceDN/>
        <w:bidi w:val="0"/>
        <w:adjustRightInd w:val="0"/>
        <w:snapToGrid w:val="0"/>
        <w:spacing w:before="146" w:line="360" w:lineRule="auto"/>
        <w:ind w:left="6"/>
        <w:textAlignment w:val="auto"/>
        <w:rPr>
          <w:rFonts w:cs="宋体" w:asciiTheme="majorEastAsia" w:hAnsiTheme="majorEastAsia" w:eastAsiaTheme="majorEastAsia"/>
          <w:szCs w:val="21"/>
        </w:rPr>
      </w:pPr>
      <w:r>
        <w:rPr>
          <w:rFonts w:cs="宋体" w:asciiTheme="majorEastAsia" w:hAnsiTheme="majorEastAsia" w:eastAsiaTheme="majorEastAsia"/>
          <w:position w:val="13"/>
          <w:szCs w:val="21"/>
        </w:rPr>
        <w:t>二、本章所制响应文件格式有关表格中的备注栏，由供应商根据自身响应情况作</w:t>
      </w:r>
      <w:r>
        <w:rPr>
          <w:rFonts w:cs="宋体" w:asciiTheme="majorEastAsia" w:hAnsiTheme="majorEastAsia" w:eastAsiaTheme="majorEastAsia"/>
          <w:spacing w:val="-1"/>
          <w:position w:val="13"/>
          <w:szCs w:val="21"/>
        </w:rPr>
        <w:t>解释性说明，不作为必填项。</w:t>
      </w:r>
    </w:p>
    <w:p>
      <w:pPr>
        <w:spacing w:line="360" w:lineRule="auto"/>
        <w:rPr>
          <w:rFonts w:cs="宋体" w:asciiTheme="majorEastAsia" w:hAnsiTheme="majorEastAsia" w:eastAsiaTheme="majorEastAsia"/>
          <w:color w:val="000000" w:themeColor="text1"/>
          <w:szCs w:val="21"/>
          <w14:textFill>
            <w14:solidFill>
              <w14:schemeClr w14:val="tx1"/>
            </w14:solidFill>
          </w14:textFill>
        </w:rPr>
      </w:pPr>
      <w:r>
        <w:rPr>
          <w:rFonts w:cs="宋体" w:asciiTheme="majorEastAsia" w:hAnsiTheme="majorEastAsia" w:eastAsiaTheme="majorEastAsia"/>
          <w:color w:val="000000" w:themeColor="text1"/>
          <w:spacing w:val="-2"/>
          <w:szCs w:val="21"/>
          <w14:textFill>
            <w14:solidFill>
              <w14:schemeClr w14:val="tx1"/>
            </w14:solidFill>
          </w14:textFill>
        </w:rPr>
        <w:t>采购包</w:t>
      </w:r>
      <w:r>
        <w:rPr>
          <w:rFonts w:cs="Lucida Sans Unicode" w:asciiTheme="majorEastAsia" w:hAnsiTheme="majorEastAsia" w:eastAsiaTheme="majorEastAsia"/>
          <w:color w:val="000000" w:themeColor="text1"/>
          <w:spacing w:val="-2"/>
          <w:szCs w:val="21"/>
          <w14:textFill>
            <w14:solidFill>
              <w14:schemeClr w14:val="tx1"/>
            </w14:solidFill>
          </w14:textFill>
        </w:rPr>
        <w:t>1</w:t>
      </w:r>
      <w:r>
        <w:rPr>
          <w:rFonts w:cs="宋体" w:asciiTheme="majorEastAsia" w:hAnsiTheme="majorEastAsia" w:eastAsiaTheme="majorEastAsia"/>
          <w:color w:val="000000" w:themeColor="text1"/>
          <w:spacing w:val="-2"/>
          <w:szCs w:val="21"/>
          <w14:textFill>
            <w14:solidFill>
              <w14:schemeClr w14:val="tx1"/>
            </w14:solidFill>
          </w14:textFill>
        </w:rPr>
        <w:t>：</w:t>
      </w:r>
    </w:p>
    <w:p>
      <w:pPr>
        <w:spacing w:before="1" w:line="218" w:lineRule="auto"/>
        <w:ind w:left="362"/>
        <w:rPr>
          <w:rFonts w:cs="宋体" w:asciiTheme="majorEastAsia" w:hAnsiTheme="majorEastAsia" w:eastAsiaTheme="majorEastAsia"/>
          <w:color w:val="000000" w:themeColor="text1"/>
          <w:spacing w:val="-1"/>
          <w:position w:val="13"/>
          <w:szCs w:val="21"/>
          <w14:textFill>
            <w14:solidFill>
              <w14:schemeClr w14:val="tx1"/>
            </w14:solidFill>
          </w14:textFill>
        </w:rPr>
      </w:pPr>
      <w:r>
        <w:rPr>
          <w:rFonts w:hint="eastAsia" w:cs="宋体" w:asciiTheme="majorEastAsia" w:hAnsiTheme="majorEastAsia" w:eastAsiaTheme="majorEastAsia"/>
          <w:color w:val="000000" w:themeColor="text1"/>
          <w:spacing w:val="-1"/>
          <w:position w:val="13"/>
          <w:szCs w:val="21"/>
          <w14:textFill>
            <w14:solidFill>
              <w14:schemeClr w14:val="tx1"/>
            </w14:solidFill>
          </w14:textFill>
        </w:rPr>
        <w:t>详见附件：响应文件封面</w:t>
      </w:r>
    </w:p>
    <w:p>
      <w:pPr>
        <w:spacing w:before="1" w:line="218" w:lineRule="auto"/>
        <w:ind w:left="362"/>
        <w:rPr>
          <w:rFonts w:cs="宋体" w:asciiTheme="majorEastAsia" w:hAnsiTheme="majorEastAsia" w:eastAsiaTheme="majorEastAsia"/>
          <w:color w:val="000000" w:themeColor="text1"/>
          <w:spacing w:val="-1"/>
          <w:position w:val="13"/>
          <w:szCs w:val="21"/>
          <w14:textFill>
            <w14:solidFill>
              <w14:schemeClr w14:val="tx1"/>
            </w14:solidFill>
          </w14:textFill>
        </w:rPr>
      </w:pPr>
      <w:r>
        <w:rPr>
          <w:rFonts w:hint="eastAsia" w:cs="宋体" w:asciiTheme="majorEastAsia" w:hAnsiTheme="majorEastAsia" w:eastAsiaTheme="majorEastAsia"/>
          <w:color w:val="000000" w:themeColor="text1"/>
          <w:spacing w:val="-1"/>
          <w:position w:val="13"/>
          <w:szCs w:val="21"/>
          <w14:textFill>
            <w14:solidFill>
              <w14:schemeClr w14:val="tx1"/>
            </w14:solidFill>
          </w14:textFill>
        </w:rPr>
        <w:t>详见附件：响应函</w:t>
      </w:r>
    </w:p>
    <w:p>
      <w:pPr>
        <w:spacing w:before="1" w:line="218" w:lineRule="auto"/>
        <w:ind w:left="362"/>
        <w:rPr>
          <w:rFonts w:cs="宋体" w:asciiTheme="majorEastAsia" w:hAnsiTheme="majorEastAsia" w:eastAsiaTheme="majorEastAsia"/>
          <w:color w:val="000000" w:themeColor="text1"/>
          <w:spacing w:val="-1"/>
          <w:position w:val="13"/>
          <w:szCs w:val="21"/>
          <w14:textFill>
            <w14:solidFill>
              <w14:schemeClr w14:val="tx1"/>
            </w14:solidFill>
          </w14:textFill>
        </w:rPr>
      </w:pPr>
      <w:r>
        <w:rPr>
          <w:rFonts w:hint="eastAsia" w:cs="宋体" w:asciiTheme="majorEastAsia" w:hAnsiTheme="majorEastAsia" w:eastAsiaTheme="majorEastAsia"/>
          <w:color w:val="000000" w:themeColor="text1"/>
          <w:spacing w:val="-1"/>
          <w:position w:val="13"/>
          <w:szCs w:val="21"/>
          <w14:textFill>
            <w14:solidFill>
              <w14:schemeClr w14:val="tx1"/>
            </w14:solidFill>
          </w14:textFill>
        </w:rPr>
        <w:t>详见附件：报价表</w:t>
      </w:r>
    </w:p>
    <w:p>
      <w:pPr>
        <w:spacing w:before="1" w:line="218" w:lineRule="auto"/>
        <w:ind w:left="362"/>
        <w:rPr>
          <w:rFonts w:cs="宋体" w:asciiTheme="majorEastAsia" w:hAnsiTheme="majorEastAsia" w:eastAsiaTheme="majorEastAsia"/>
          <w:color w:val="000000" w:themeColor="text1"/>
          <w:spacing w:val="-1"/>
          <w:position w:val="13"/>
          <w:szCs w:val="21"/>
          <w14:textFill>
            <w14:solidFill>
              <w14:schemeClr w14:val="tx1"/>
            </w14:solidFill>
          </w14:textFill>
        </w:rPr>
      </w:pPr>
      <w:r>
        <w:rPr>
          <w:rFonts w:hint="eastAsia" w:cs="宋体" w:asciiTheme="majorEastAsia" w:hAnsiTheme="majorEastAsia" w:eastAsiaTheme="majorEastAsia"/>
          <w:color w:val="000000" w:themeColor="text1"/>
          <w:spacing w:val="-1"/>
          <w:position w:val="13"/>
          <w:szCs w:val="21"/>
          <w14:textFill>
            <w14:solidFill>
              <w14:schemeClr w14:val="tx1"/>
            </w14:solidFill>
          </w14:textFill>
        </w:rPr>
        <w:t>详见附件：标的清单</w:t>
      </w:r>
    </w:p>
    <w:p>
      <w:pPr>
        <w:spacing w:before="1" w:line="218" w:lineRule="auto"/>
        <w:ind w:left="362"/>
        <w:rPr>
          <w:rFonts w:cs="宋体" w:asciiTheme="majorEastAsia" w:hAnsiTheme="majorEastAsia" w:eastAsiaTheme="majorEastAsia"/>
          <w:color w:val="000000" w:themeColor="text1"/>
          <w:spacing w:val="-1"/>
          <w:position w:val="13"/>
          <w:szCs w:val="21"/>
          <w14:textFill>
            <w14:solidFill>
              <w14:schemeClr w14:val="tx1"/>
            </w14:solidFill>
          </w14:textFill>
        </w:rPr>
      </w:pPr>
      <w:r>
        <w:rPr>
          <w:rFonts w:hint="eastAsia" w:cs="宋体" w:asciiTheme="majorEastAsia" w:hAnsiTheme="majorEastAsia" w:eastAsiaTheme="majorEastAsia"/>
          <w:color w:val="000000" w:themeColor="text1"/>
          <w:spacing w:val="-1"/>
          <w:position w:val="13"/>
          <w:szCs w:val="21"/>
          <w14:textFill>
            <w14:solidFill>
              <w14:schemeClr w14:val="tx1"/>
            </w14:solidFill>
          </w14:textFill>
        </w:rPr>
        <w:t>详见附件：中小企业声明函</w:t>
      </w:r>
    </w:p>
    <w:p>
      <w:pPr>
        <w:spacing w:before="1" w:line="218" w:lineRule="auto"/>
        <w:ind w:left="362"/>
        <w:rPr>
          <w:rFonts w:cs="宋体" w:asciiTheme="majorEastAsia" w:hAnsiTheme="majorEastAsia" w:eastAsiaTheme="majorEastAsia"/>
          <w:color w:val="000000" w:themeColor="text1"/>
          <w:spacing w:val="-1"/>
          <w:position w:val="13"/>
          <w:szCs w:val="21"/>
          <w14:textFill>
            <w14:solidFill>
              <w14:schemeClr w14:val="tx1"/>
            </w14:solidFill>
          </w14:textFill>
        </w:rPr>
      </w:pPr>
      <w:r>
        <w:rPr>
          <w:rFonts w:hint="eastAsia" w:cs="宋体" w:asciiTheme="majorEastAsia" w:hAnsiTheme="majorEastAsia" w:eastAsiaTheme="majorEastAsia"/>
          <w:color w:val="000000" w:themeColor="text1"/>
          <w:spacing w:val="-1"/>
          <w:position w:val="13"/>
          <w:szCs w:val="21"/>
          <w14:textFill>
            <w14:solidFill>
              <w14:schemeClr w14:val="tx1"/>
            </w14:solidFill>
          </w14:textFill>
        </w:rPr>
        <w:t>详见附件：残疾人福利性单位声明函</w:t>
      </w:r>
    </w:p>
    <w:p>
      <w:pPr>
        <w:spacing w:before="1" w:line="218" w:lineRule="auto"/>
        <w:ind w:left="362"/>
        <w:rPr>
          <w:rFonts w:cs="宋体" w:asciiTheme="majorEastAsia" w:hAnsiTheme="majorEastAsia" w:eastAsiaTheme="majorEastAsia"/>
          <w:color w:val="000000" w:themeColor="text1"/>
          <w:spacing w:val="-1"/>
          <w:position w:val="13"/>
          <w:szCs w:val="21"/>
          <w14:textFill>
            <w14:solidFill>
              <w14:schemeClr w14:val="tx1"/>
            </w14:solidFill>
          </w14:textFill>
        </w:rPr>
      </w:pPr>
      <w:r>
        <w:rPr>
          <w:rFonts w:hint="eastAsia" w:cs="宋体" w:asciiTheme="majorEastAsia" w:hAnsiTheme="majorEastAsia" w:eastAsiaTheme="majorEastAsia"/>
          <w:color w:val="000000" w:themeColor="text1"/>
          <w:spacing w:val="-1"/>
          <w:position w:val="13"/>
          <w:szCs w:val="21"/>
          <w14:textFill>
            <w14:solidFill>
              <w14:schemeClr w14:val="tx1"/>
            </w14:solidFill>
          </w14:textFill>
        </w:rPr>
        <w:t>详见附件：监狱企业的证明文件</w:t>
      </w:r>
    </w:p>
    <w:p>
      <w:pPr>
        <w:spacing w:before="1" w:line="218" w:lineRule="auto"/>
        <w:ind w:left="362"/>
        <w:rPr>
          <w:rFonts w:cs="宋体" w:asciiTheme="majorEastAsia" w:hAnsiTheme="majorEastAsia" w:eastAsiaTheme="majorEastAsia"/>
          <w:color w:val="000000" w:themeColor="text1"/>
          <w:spacing w:val="-1"/>
          <w:position w:val="13"/>
          <w:szCs w:val="21"/>
          <w14:textFill>
            <w14:solidFill>
              <w14:schemeClr w14:val="tx1"/>
            </w14:solidFill>
          </w14:textFill>
        </w:rPr>
      </w:pPr>
      <w:r>
        <w:rPr>
          <w:rFonts w:hint="eastAsia" w:cs="宋体" w:asciiTheme="majorEastAsia" w:hAnsiTheme="majorEastAsia" w:eastAsiaTheme="majorEastAsia"/>
          <w:color w:val="000000" w:themeColor="text1"/>
          <w:spacing w:val="-1"/>
          <w:position w:val="13"/>
          <w:szCs w:val="21"/>
          <w14:textFill>
            <w14:solidFill>
              <w14:schemeClr w14:val="tx1"/>
            </w14:solidFill>
          </w14:textFill>
        </w:rPr>
        <w:t>详见附件：资格证明部分</w:t>
      </w:r>
    </w:p>
    <w:p>
      <w:pPr>
        <w:spacing w:before="1" w:line="218" w:lineRule="auto"/>
        <w:ind w:left="362"/>
        <w:rPr>
          <w:rFonts w:cs="宋体" w:asciiTheme="majorEastAsia" w:hAnsiTheme="majorEastAsia" w:eastAsiaTheme="majorEastAsia"/>
          <w:color w:val="000000" w:themeColor="text1"/>
          <w:spacing w:val="-1"/>
          <w:position w:val="13"/>
          <w:szCs w:val="21"/>
          <w14:textFill>
            <w14:solidFill>
              <w14:schemeClr w14:val="tx1"/>
            </w14:solidFill>
          </w14:textFill>
        </w:rPr>
      </w:pPr>
      <w:r>
        <w:rPr>
          <w:rFonts w:hint="eastAsia" w:cs="宋体" w:asciiTheme="majorEastAsia" w:hAnsiTheme="majorEastAsia" w:eastAsiaTheme="majorEastAsia"/>
          <w:color w:val="000000" w:themeColor="text1"/>
          <w:spacing w:val="-1"/>
          <w:position w:val="13"/>
          <w:szCs w:val="21"/>
          <w14:textFill>
            <w14:solidFill>
              <w14:schemeClr w14:val="tx1"/>
            </w14:solidFill>
          </w14:textFill>
        </w:rPr>
        <w:t>详见附件：商务技术部分</w:t>
      </w:r>
    </w:p>
    <w:p>
      <w:pPr>
        <w:widowControl/>
        <w:jc w:val="left"/>
        <w:rPr>
          <w:rFonts w:asciiTheme="majorEastAsia" w:hAnsiTheme="majorEastAsia" w:eastAsiaTheme="majorEastAsia"/>
          <w:szCs w:val="21"/>
        </w:rPr>
      </w:pPr>
      <w:r>
        <w:rPr>
          <w:rFonts w:asciiTheme="majorEastAsia" w:hAnsiTheme="majorEastAsia" w:eastAsiaTheme="majorEastAsia"/>
          <w:szCs w:val="21"/>
        </w:rPr>
        <w:br w:type="page"/>
      </w:r>
    </w:p>
    <w:p>
      <w:pPr>
        <w:pStyle w:val="4"/>
        <w:spacing w:before="240" w:beforeLines="100" w:after="0" w:line="360" w:lineRule="auto"/>
        <w:jc w:val="center"/>
        <w:rPr>
          <w:rFonts w:ascii="方正小标宋简体" w:hAnsi="宋体" w:eastAsia="方正小标宋简体"/>
          <w:b w:val="0"/>
          <w:sz w:val="84"/>
          <w:szCs w:val="84"/>
        </w:rPr>
      </w:pPr>
    </w:p>
    <w:p>
      <w:pPr>
        <w:pStyle w:val="5"/>
      </w:pPr>
    </w:p>
    <w:p>
      <w:pPr>
        <w:pStyle w:val="5"/>
      </w:pPr>
    </w:p>
    <w:p>
      <w:pPr>
        <w:pStyle w:val="5"/>
      </w:pPr>
    </w:p>
    <w:p>
      <w:pPr>
        <w:pStyle w:val="5"/>
      </w:pPr>
    </w:p>
    <w:p>
      <w:pPr>
        <w:pStyle w:val="5"/>
      </w:pPr>
    </w:p>
    <w:p>
      <w:pPr>
        <w:pStyle w:val="5"/>
      </w:pPr>
    </w:p>
    <w:p>
      <w:pPr>
        <w:pStyle w:val="5"/>
      </w:pPr>
    </w:p>
    <w:p>
      <w:pPr>
        <w:pStyle w:val="4"/>
        <w:spacing w:before="240" w:beforeLines="100" w:after="0" w:line="360" w:lineRule="auto"/>
        <w:jc w:val="center"/>
        <w:rPr>
          <w:rFonts w:ascii="方正小标宋简体" w:hAnsi="宋体" w:eastAsia="方正小标宋简体"/>
          <w:b w:val="0"/>
          <w:sz w:val="84"/>
          <w:szCs w:val="84"/>
        </w:rPr>
      </w:pPr>
      <w:r>
        <w:rPr>
          <w:rFonts w:hint="eastAsia" w:ascii="方正小标宋简体" w:hAnsi="宋体" w:eastAsia="方正小标宋简体"/>
          <w:b w:val="0"/>
          <w:sz w:val="84"/>
          <w:szCs w:val="84"/>
        </w:rPr>
        <w:t>响 应 文 件</w:t>
      </w:r>
    </w:p>
    <w:p>
      <w:pPr>
        <w:pStyle w:val="3"/>
        <w:bidi w:val="0"/>
        <w:rPr>
          <w:rFonts w:hint="eastAsia" w:ascii="Arial" w:hAnsi="Arial" w:eastAsia="Arial" w:cs="宋体"/>
          <w:b/>
          <w:bCs/>
          <w:snapToGrid w:val="0"/>
          <w:color w:val="000000"/>
          <w:kern w:val="0"/>
          <w:sz w:val="32"/>
          <w:szCs w:val="32"/>
          <w:u w:val="none"/>
          <w:shd w:val="clear" w:color="auto" w:fill="FFFFFF"/>
          <w:lang w:val="en-US" w:eastAsia="zh-CN" w:bidi="ar"/>
        </w:rPr>
      </w:pPr>
      <w:r>
        <w:rPr>
          <w:rFonts w:hint="eastAsia" w:ascii="Arial" w:hAnsi="Arial" w:eastAsia="Arial" w:cs="宋体"/>
          <w:b/>
          <w:bCs/>
          <w:snapToGrid w:val="0"/>
          <w:color w:val="000000"/>
          <w:kern w:val="0"/>
          <w:sz w:val="32"/>
          <w:szCs w:val="32"/>
          <w:u w:val="none"/>
          <w:shd w:val="clear" w:color="auto" w:fill="FFFFFF"/>
          <w:lang w:val="en-US" w:eastAsia="zh-CN" w:bidi="ar"/>
        </w:rPr>
        <w:t>项目名称：{项目名称}</w:t>
      </w:r>
    </w:p>
    <w:p>
      <w:pPr>
        <w:pStyle w:val="3"/>
        <w:bidi w:val="0"/>
        <w:rPr>
          <w:rFonts w:hint="eastAsia" w:ascii="Arial" w:hAnsi="Arial" w:eastAsia="Arial" w:cs="宋体"/>
          <w:b/>
          <w:bCs/>
          <w:snapToGrid w:val="0"/>
          <w:color w:val="000000"/>
          <w:kern w:val="0"/>
          <w:sz w:val="32"/>
          <w:szCs w:val="32"/>
          <w:u w:val="none"/>
          <w:shd w:val="clear" w:color="auto" w:fill="FFFFFF"/>
          <w:lang w:val="en-US" w:eastAsia="zh-CN" w:bidi="ar"/>
        </w:rPr>
      </w:pPr>
      <w:r>
        <w:rPr>
          <w:rFonts w:hint="eastAsia" w:ascii="Arial" w:hAnsi="Arial" w:eastAsia="Arial" w:cs="宋体"/>
          <w:b/>
          <w:bCs/>
          <w:snapToGrid w:val="0"/>
          <w:color w:val="000000"/>
          <w:kern w:val="0"/>
          <w:sz w:val="32"/>
          <w:szCs w:val="32"/>
          <w:u w:val="none"/>
          <w:shd w:val="clear" w:color="auto" w:fill="FFFFFF"/>
          <w:lang w:val="en-US" w:eastAsia="zh-CN" w:bidi="ar"/>
        </w:rPr>
        <w:t>项目编号：{项目编码}</w:t>
      </w:r>
    </w:p>
    <w:p>
      <w:pPr>
        <w:pStyle w:val="3"/>
        <w:bidi w:val="0"/>
        <w:rPr>
          <w:rFonts w:ascii="Arial" w:hAnsi="Arial" w:eastAsia="Arial" w:cs="宋体"/>
          <w:b/>
          <w:bCs/>
          <w:snapToGrid w:val="0"/>
          <w:color w:val="000000"/>
          <w:kern w:val="0"/>
          <w:sz w:val="32"/>
          <w:szCs w:val="32"/>
          <w:u w:val="none"/>
          <w:shd w:val="clear" w:color="auto" w:fill="FFFFFF"/>
          <w:lang w:val="en-US" w:eastAsia="zh-CN" w:bidi="ar"/>
        </w:rPr>
      </w:pPr>
      <w:r>
        <w:rPr>
          <w:rFonts w:hint="eastAsia" w:ascii="Arial" w:hAnsi="Arial" w:eastAsia="Arial" w:cs="宋体"/>
          <w:b/>
          <w:bCs/>
          <w:snapToGrid w:val="0"/>
          <w:color w:val="000000"/>
          <w:kern w:val="0"/>
          <w:sz w:val="32"/>
          <w:szCs w:val="32"/>
          <w:u w:val="none"/>
          <w:shd w:val="clear" w:color="auto" w:fill="FFFFFF"/>
          <w:lang w:val="en-US" w:eastAsia="zh-CN" w:bidi="ar"/>
        </w:rPr>
        <w:t>采购包号：{包号}</w:t>
      </w:r>
    </w:p>
    <w:p>
      <w:pPr>
        <w:pStyle w:val="2"/>
        <w:ind w:firstLine="210"/>
      </w:pPr>
    </w:p>
    <w:p>
      <w:pPr>
        <w:pStyle w:val="2"/>
        <w:ind w:firstLine="210"/>
      </w:pPr>
    </w:p>
    <w:p>
      <w:pPr>
        <w:pStyle w:val="2"/>
        <w:ind w:firstLine="210"/>
      </w:pPr>
    </w:p>
    <w:p>
      <w:pPr>
        <w:pStyle w:val="2"/>
        <w:ind w:firstLine="210"/>
      </w:pPr>
    </w:p>
    <w:p>
      <w:pPr>
        <w:pStyle w:val="5"/>
        <w:spacing w:before="120" w:beforeLines="50" w:line="480" w:lineRule="auto"/>
        <w:ind w:firstLine="417" w:firstLineChars="149"/>
        <w:rPr>
          <w:rFonts w:ascii="宋体" w:hAnsi="宋体"/>
          <w:b/>
          <w:sz w:val="28"/>
          <w:szCs w:val="28"/>
        </w:rPr>
      </w:pPr>
    </w:p>
    <w:p>
      <w:pPr>
        <w:pStyle w:val="5"/>
        <w:spacing w:before="120" w:beforeLines="50" w:line="480" w:lineRule="auto"/>
        <w:ind w:firstLine="417" w:firstLineChars="149"/>
        <w:rPr>
          <w:rFonts w:ascii="宋体" w:hAnsi="宋体"/>
          <w:sz w:val="28"/>
          <w:szCs w:val="28"/>
        </w:rPr>
      </w:pPr>
      <w:r>
        <w:rPr>
          <w:rFonts w:hint="eastAsia" w:ascii="宋体" w:hAnsi="宋体"/>
          <w:b/>
          <w:sz w:val="28"/>
          <w:szCs w:val="28"/>
        </w:rPr>
        <w:t>供应商名称：</w:t>
      </w:r>
      <w:r>
        <w:rPr>
          <w:rFonts w:hint="eastAsia" w:ascii="宋体" w:hAnsi="宋体"/>
          <w:b/>
          <w:sz w:val="28"/>
          <w:szCs w:val="28"/>
          <w:u w:val="single"/>
        </w:rPr>
        <w:t xml:space="preserve">                          </w:t>
      </w:r>
      <w:r>
        <w:rPr>
          <w:rFonts w:hint="eastAsia" w:ascii="宋体" w:hAnsi="宋体"/>
          <w:sz w:val="28"/>
          <w:szCs w:val="28"/>
        </w:rPr>
        <w:t>（盖单位章）</w:t>
      </w:r>
    </w:p>
    <w:p>
      <w:pPr>
        <w:pStyle w:val="5"/>
        <w:spacing w:before="120" w:beforeLines="50" w:line="480" w:lineRule="auto"/>
        <w:ind w:firstLine="417" w:firstLineChars="149"/>
        <w:rPr>
          <w:rFonts w:ascii="宋体" w:hAnsi="宋体"/>
          <w:sz w:val="28"/>
          <w:szCs w:val="28"/>
        </w:rPr>
      </w:pPr>
      <w:r>
        <w:rPr>
          <w:rFonts w:hint="eastAsia" w:ascii="宋体" w:hAnsi="宋体"/>
          <w:b/>
          <w:sz w:val="28"/>
          <w:szCs w:val="28"/>
        </w:rPr>
        <w:t>法定代表人（单位负责人）或其委托代理人：</w:t>
      </w:r>
      <w:r>
        <w:rPr>
          <w:rFonts w:hint="eastAsia" w:ascii="宋体" w:hAnsi="宋体"/>
          <w:b/>
          <w:sz w:val="28"/>
          <w:szCs w:val="28"/>
          <w:u w:val="single"/>
        </w:rPr>
        <w:t xml:space="preserve">         </w:t>
      </w:r>
      <w:r>
        <w:rPr>
          <w:rFonts w:hint="eastAsia" w:ascii="宋体" w:hAnsi="宋体"/>
          <w:sz w:val="28"/>
          <w:szCs w:val="28"/>
        </w:rPr>
        <w:t>（签名）</w:t>
      </w:r>
    </w:p>
    <w:p>
      <w:pPr>
        <w:pStyle w:val="5"/>
        <w:spacing w:before="120" w:beforeLines="50" w:line="480" w:lineRule="auto"/>
        <w:ind w:firstLine="417" w:firstLineChars="149"/>
        <w:rPr>
          <w:sz w:val="28"/>
          <w:szCs w:val="28"/>
        </w:rPr>
      </w:pPr>
      <w:r>
        <w:rPr>
          <w:rFonts w:hint="eastAsia"/>
          <w:b/>
          <w:sz w:val="28"/>
          <w:szCs w:val="28"/>
        </w:rPr>
        <w:t xml:space="preserve">日  期： </w:t>
      </w:r>
      <w:r>
        <w:rPr>
          <w:sz w:val="28"/>
          <w:szCs w:val="28"/>
          <w:u w:val="single"/>
        </w:rPr>
        <w:t xml:space="preserve">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15"/>
        <w:spacing w:before="0" w:beforeAutospacing="0" w:after="0" w:afterAutospacing="0" w:line="360" w:lineRule="auto"/>
        <w:jc w:val="center"/>
        <w:outlineLvl w:val="1"/>
        <w:rPr>
          <w:rFonts w:cs="宋体"/>
          <w:b/>
          <w:bCs/>
          <w:sz w:val="38"/>
          <w:szCs w:val="38"/>
        </w:rPr>
      </w:pPr>
      <w:r>
        <w:rPr>
          <w:rFonts w:hint="eastAsia" w:cs="宋体"/>
          <w:b/>
          <w:bCs/>
          <w:sz w:val="38"/>
          <w:szCs w:val="38"/>
        </w:rPr>
        <w:t>响应函</w:t>
      </w:r>
    </w:p>
    <w:p>
      <w:pPr>
        <w:pStyle w:val="15"/>
        <w:shd w:val="clear" w:color="auto" w:fill="FFFFFF"/>
        <w:spacing w:before="0" w:beforeAutospacing="0" w:after="216" w:afterAutospacing="0"/>
        <w:rPr>
          <w:rFonts w:cs="宋体"/>
          <w:b/>
          <w:bCs/>
          <w:sz w:val="21"/>
        </w:rPr>
      </w:pPr>
      <w:r>
        <w:rPr>
          <w:rFonts w:cs="宋体"/>
          <w:b/>
          <w:bCs/>
          <w:sz w:val="21"/>
          <w:shd w:val="clear" w:color="auto" w:fill="FFFFFF"/>
        </w:rPr>
        <w:t>致：</w:t>
      </w:r>
      <w:r>
        <w:rPr>
          <w:rFonts w:hint="eastAsia" w:cs="宋体"/>
          <w:b/>
          <w:bCs/>
          <w:sz w:val="21"/>
          <w:shd w:val="clear" w:color="auto" w:fill="FFFFFF"/>
        </w:rPr>
        <w:t xml:space="preserve"> </w:t>
      </w:r>
      <w:r>
        <w:rPr>
          <w:rFonts w:cs="宋体"/>
          <w:b/>
          <w:bCs/>
          <w:sz w:val="21"/>
          <w:u w:val="single"/>
          <w:shd w:val="clear" w:color="auto" w:fill="FFFFFF"/>
        </w:rPr>
        <w:t xml:space="preserve"> {代理机构名称}  </w:t>
      </w:r>
    </w:p>
    <w:p>
      <w:pPr>
        <w:pStyle w:val="15"/>
        <w:shd w:val="clear" w:color="auto" w:fill="FFFFFF"/>
        <w:spacing w:before="0" w:beforeAutospacing="0" w:after="0" w:afterAutospacing="0" w:line="360" w:lineRule="auto"/>
        <w:ind w:firstLine="420"/>
        <w:rPr>
          <w:rFonts w:cs="宋体"/>
          <w:sz w:val="21"/>
        </w:rPr>
      </w:pPr>
      <w:r>
        <w:rPr>
          <w:rFonts w:cs="宋体"/>
          <w:sz w:val="21"/>
          <w:shd w:val="clear" w:color="auto" w:fill="FFFFFF"/>
        </w:rPr>
        <w:t>我单位作为</w:t>
      </w:r>
      <w:r>
        <w:rPr>
          <w:rFonts w:cs="宋体"/>
          <w:sz w:val="21"/>
          <w:u w:val="single"/>
          <w:shd w:val="clear" w:color="auto" w:fill="FFFFFF"/>
        </w:rPr>
        <w:t>{项目名称}（{项目</w:t>
      </w:r>
      <w:r>
        <w:rPr>
          <w:rFonts w:hint="eastAsia" w:cs="宋体"/>
          <w:sz w:val="21"/>
          <w:u w:val="single"/>
          <w:shd w:val="clear" w:color="auto" w:fill="FFFFFF"/>
        </w:rPr>
        <w:t>编号</w:t>
      </w:r>
      <w:r>
        <w:rPr>
          <w:rFonts w:cs="宋体"/>
          <w:sz w:val="21"/>
          <w:u w:val="single"/>
          <w:shd w:val="clear" w:color="auto" w:fill="FFFFFF"/>
        </w:rPr>
        <w:t>}）（</w:t>
      </w:r>
      <w:r>
        <w:rPr>
          <w:rFonts w:hint="eastAsia" w:cs="宋体"/>
          <w:sz w:val="21"/>
          <w:u w:val="single"/>
          <w:shd w:val="clear" w:color="auto" w:fill="FFFFFF"/>
        </w:rPr>
        <w:t>采购包号</w:t>
      </w:r>
      <w:r>
        <w:rPr>
          <w:rFonts w:cs="宋体"/>
          <w:sz w:val="21"/>
          <w:u w:val="single"/>
          <w:shd w:val="clear" w:color="auto" w:fill="FFFFFF"/>
        </w:rPr>
        <w:t>）</w:t>
      </w:r>
      <w:r>
        <w:rPr>
          <w:rFonts w:cs="宋体"/>
          <w:sz w:val="21"/>
          <w:shd w:val="clear" w:color="auto" w:fill="FFFFFF"/>
        </w:rPr>
        <w:t>的投标（响应）供应商，自愿参与本项目政府采购活动，充分理解采购文件的要求，在此郑重声明及承诺：</w:t>
      </w:r>
    </w:p>
    <w:p>
      <w:pPr>
        <w:pStyle w:val="15"/>
        <w:spacing w:before="0" w:beforeAutospacing="0" w:after="0" w:afterAutospacing="0" w:line="360" w:lineRule="auto"/>
        <w:ind w:firstLine="420"/>
        <w:rPr>
          <w:sz w:val="21"/>
        </w:rPr>
      </w:pPr>
      <w:r>
        <w:rPr>
          <w:rFonts w:cs="宋体"/>
          <w:sz w:val="21"/>
          <w:shd w:val="clear" w:color="auto" w:fill="FFFFFF"/>
        </w:rPr>
        <w:t>一、我单位具有独立承担民事责任的能力；</w:t>
      </w:r>
    </w:p>
    <w:p>
      <w:pPr>
        <w:pStyle w:val="15"/>
        <w:spacing w:before="0" w:beforeAutospacing="0" w:after="0" w:afterAutospacing="0" w:line="360" w:lineRule="auto"/>
        <w:ind w:firstLine="420"/>
        <w:rPr>
          <w:sz w:val="21"/>
        </w:rPr>
      </w:pPr>
      <w:r>
        <w:rPr>
          <w:rFonts w:cs="宋体"/>
          <w:sz w:val="21"/>
          <w:shd w:val="clear" w:color="auto" w:fill="FFFFFF"/>
        </w:rPr>
        <w:t>二、我单位具有良好的商业信誉和健全的财务会计制度；</w:t>
      </w:r>
    </w:p>
    <w:p>
      <w:pPr>
        <w:pStyle w:val="15"/>
        <w:spacing w:before="0" w:beforeAutospacing="0" w:after="0" w:afterAutospacing="0" w:line="360" w:lineRule="auto"/>
        <w:ind w:firstLine="420"/>
        <w:rPr>
          <w:sz w:val="21"/>
        </w:rPr>
      </w:pPr>
      <w:r>
        <w:rPr>
          <w:rFonts w:cs="宋体"/>
          <w:sz w:val="21"/>
          <w:shd w:val="clear" w:color="auto" w:fill="FFFFFF"/>
        </w:rPr>
        <w:t>三、我单位具有履行合同所必需的设备和专业技术能力；</w:t>
      </w:r>
    </w:p>
    <w:p>
      <w:pPr>
        <w:pStyle w:val="15"/>
        <w:spacing w:before="0" w:beforeAutospacing="0" w:after="0" w:afterAutospacing="0" w:line="360" w:lineRule="auto"/>
        <w:ind w:firstLine="420"/>
        <w:rPr>
          <w:sz w:val="21"/>
        </w:rPr>
      </w:pPr>
      <w:r>
        <w:rPr>
          <w:rFonts w:cs="宋体"/>
          <w:sz w:val="21"/>
          <w:shd w:val="clear" w:color="auto" w:fill="FFFFFF"/>
        </w:rPr>
        <w:t>四、我单位具有依法缴纳税收和社会保障资金的良好记录；</w:t>
      </w:r>
    </w:p>
    <w:p>
      <w:pPr>
        <w:pStyle w:val="15"/>
        <w:spacing w:before="0" w:beforeAutospacing="0" w:after="0" w:afterAutospacing="0" w:line="360" w:lineRule="auto"/>
        <w:ind w:firstLine="420"/>
        <w:rPr>
          <w:sz w:val="21"/>
        </w:rPr>
      </w:pPr>
      <w:r>
        <w:rPr>
          <w:rFonts w:cs="宋体"/>
          <w:sz w:val="21"/>
          <w:shd w:val="clear" w:color="auto" w:fill="FFFFFF"/>
        </w:rPr>
        <w:t>五、我单位参加政府采购活动前三年内，在经营活动中没有重大违法记录；</w:t>
      </w:r>
    </w:p>
    <w:p>
      <w:pPr>
        <w:pStyle w:val="15"/>
        <w:spacing w:before="0" w:beforeAutospacing="0" w:after="0" w:afterAutospacing="0" w:line="360" w:lineRule="auto"/>
        <w:ind w:firstLine="420"/>
        <w:rPr>
          <w:sz w:val="21"/>
        </w:rPr>
      </w:pPr>
      <w:r>
        <w:rPr>
          <w:rFonts w:cs="宋体"/>
          <w:sz w:val="21"/>
          <w:shd w:val="clear" w:color="auto" w:fill="FFFFFF"/>
        </w:rPr>
        <w:t>六、我单位满足采购文件规定的特定条件；</w:t>
      </w:r>
    </w:p>
    <w:p>
      <w:pPr>
        <w:pStyle w:val="15"/>
        <w:spacing w:before="0" w:beforeAutospacing="0" w:after="0" w:afterAutospacing="0" w:line="360" w:lineRule="auto"/>
        <w:ind w:firstLine="420"/>
        <w:rPr>
          <w:sz w:val="21"/>
        </w:rPr>
      </w:pPr>
      <w:r>
        <w:rPr>
          <w:rFonts w:cs="宋体"/>
          <w:sz w:val="21"/>
          <w:shd w:val="clear" w:color="auto" w:fill="FFFFFF"/>
        </w:rPr>
        <w:t>七、我单位不存在与单位负责人为同一人或者存在直接控股、管理关系的其他供应商参与同一合同项下的政府采购活动的行为；</w:t>
      </w:r>
    </w:p>
    <w:p>
      <w:pPr>
        <w:pStyle w:val="15"/>
        <w:spacing w:before="0" w:beforeAutospacing="0" w:after="0" w:afterAutospacing="0" w:line="360" w:lineRule="auto"/>
        <w:ind w:firstLine="420"/>
        <w:rPr>
          <w:sz w:val="21"/>
        </w:rPr>
      </w:pPr>
      <w:r>
        <w:rPr>
          <w:rFonts w:cs="宋体"/>
          <w:sz w:val="21"/>
          <w:shd w:val="clear" w:color="auto" w:fill="FFFFFF"/>
        </w:rPr>
        <w:t>八、我单位不属于为本项目提供整体设计、规范编制或者项目管理、监理、检测等服务的供应商；</w:t>
      </w:r>
    </w:p>
    <w:p>
      <w:pPr>
        <w:pStyle w:val="15"/>
        <w:spacing w:before="0" w:beforeAutospacing="0" w:after="0" w:afterAutospacing="0" w:line="360" w:lineRule="auto"/>
        <w:ind w:firstLine="420"/>
        <w:rPr>
          <w:sz w:val="21"/>
        </w:rPr>
      </w:pPr>
      <w:r>
        <w:rPr>
          <w:rFonts w:cs="宋体"/>
          <w:sz w:val="21"/>
          <w:shd w:val="clear" w:color="auto" w:fill="FFFFFF"/>
        </w:rPr>
        <w:t>九、我单位不存在与其他供应商委托同一单位或者个人编制投标（响应）文件、办理投标（响应）事宜的情形；</w:t>
      </w:r>
    </w:p>
    <w:p>
      <w:pPr>
        <w:pStyle w:val="15"/>
        <w:spacing w:before="0" w:beforeAutospacing="0" w:after="0" w:afterAutospacing="0" w:line="360" w:lineRule="auto"/>
        <w:ind w:firstLine="420"/>
        <w:rPr>
          <w:sz w:val="21"/>
        </w:rPr>
      </w:pPr>
      <w:r>
        <w:rPr>
          <w:rFonts w:cs="宋体"/>
          <w:sz w:val="21"/>
          <w:shd w:val="clear" w:color="auto" w:fill="FFFFFF"/>
        </w:rPr>
        <w:t>十、如本项目采购过程中需要提供样品，我单位提供的样品即为中标（成交）后将要提供的产品，我单位对提供样品的性能和质量负责，因样品存在缺陷或者不符合采购文件要求导致未能中标（成交）的，我单位愿意承担相应不利后果；</w:t>
      </w:r>
    </w:p>
    <w:p>
      <w:pPr>
        <w:pStyle w:val="15"/>
        <w:spacing w:before="0" w:beforeAutospacing="0" w:after="0" w:afterAutospacing="0" w:line="360" w:lineRule="auto"/>
        <w:ind w:firstLine="420"/>
        <w:rPr>
          <w:sz w:val="21"/>
        </w:rPr>
      </w:pPr>
      <w:r>
        <w:rPr>
          <w:rFonts w:cs="宋体"/>
          <w:sz w:val="21"/>
          <w:shd w:val="clear" w:color="auto" w:fill="FFFFFF"/>
        </w:rPr>
        <w:t>十一、我单位一旦中标（成交），将严格按照采购文件规定交纳代理服务费、履约保证金，在约定期限内签订采购合同，并严格履行采购合同规定的责任和义务；</w:t>
      </w:r>
    </w:p>
    <w:p>
      <w:pPr>
        <w:pStyle w:val="15"/>
        <w:spacing w:before="0" w:beforeAutospacing="0" w:after="0" w:afterAutospacing="0" w:line="360" w:lineRule="auto"/>
        <w:ind w:firstLine="420"/>
        <w:rPr>
          <w:sz w:val="21"/>
        </w:rPr>
      </w:pPr>
      <w:r>
        <w:rPr>
          <w:rFonts w:cs="宋体"/>
          <w:sz w:val="21"/>
          <w:shd w:val="clear" w:color="auto" w:fill="FFFFFF"/>
        </w:rPr>
        <w:t>十二、我单位在本项目使用的任何技术、产品和服务（包括部分使用），不会产生因第三方提出侵犯其专利权、商标权或其它知识产权而引起的法律和经济纠纷，如因专利权、商标权或其它知识产权而引起法律和经济纠纷，由我单位承担所有相关责任；</w:t>
      </w:r>
    </w:p>
    <w:p>
      <w:pPr>
        <w:pStyle w:val="15"/>
        <w:spacing w:before="0" w:beforeAutospacing="0" w:after="0" w:afterAutospacing="0" w:line="360" w:lineRule="auto"/>
        <w:ind w:firstLine="420"/>
        <w:rPr>
          <w:sz w:val="21"/>
        </w:rPr>
      </w:pPr>
      <w:r>
        <w:rPr>
          <w:rFonts w:cs="宋体"/>
          <w:sz w:val="21"/>
          <w:shd w:val="clear" w:color="auto" w:fill="FFFFFF"/>
        </w:rPr>
        <w:t>十三、我单位为本项目实施涉及的商品包装和快递包装，均符合《商品包装政府采购需求标准（试行）》《快递包装政府采购需求标准（试行）》的要求，包装适应于远距离运输、防潮、防震、防锈和防野蛮装卸，以确保货物安全无损运抵指定地点。</w:t>
      </w:r>
    </w:p>
    <w:p>
      <w:pPr>
        <w:pStyle w:val="15"/>
        <w:spacing w:before="0" w:beforeAutospacing="0" w:after="0" w:afterAutospacing="0" w:line="360" w:lineRule="auto"/>
        <w:ind w:firstLine="420"/>
        <w:rPr>
          <w:sz w:val="21"/>
        </w:rPr>
      </w:pPr>
      <w:r>
        <w:rPr>
          <w:rFonts w:cs="宋体"/>
          <w:sz w:val="21"/>
          <w:shd w:val="clear" w:color="auto" w:fill="FFFFFF"/>
        </w:rPr>
        <w:t>十四、我单位完全接受和理解本项目采购文件规定的实质性要求；</w:t>
      </w:r>
    </w:p>
    <w:p>
      <w:pPr>
        <w:pStyle w:val="15"/>
        <w:spacing w:before="0" w:beforeAutospacing="0" w:after="0" w:afterAutospacing="0" w:line="360" w:lineRule="auto"/>
        <w:ind w:firstLine="420"/>
        <w:rPr>
          <w:sz w:val="21"/>
        </w:rPr>
      </w:pPr>
      <w:r>
        <w:rPr>
          <w:rFonts w:cs="宋体"/>
          <w:sz w:val="21"/>
          <w:shd w:val="clear" w:color="auto" w:fill="FFFFFF"/>
        </w:rPr>
        <w:t>十五、我单位承诺，响应有效期为提交响应文件截止之日起{投标（响应）有效期天数}天；</w:t>
      </w:r>
    </w:p>
    <w:p>
      <w:pPr>
        <w:pStyle w:val="15"/>
        <w:spacing w:before="0" w:beforeAutospacing="0" w:after="0" w:afterAutospacing="0" w:line="360" w:lineRule="auto"/>
        <w:ind w:firstLine="420"/>
        <w:rPr>
          <w:sz w:val="21"/>
        </w:rPr>
      </w:pPr>
      <w:r>
        <w:rPr>
          <w:rFonts w:cs="宋体"/>
          <w:sz w:val="21"/>
          <w:shd w:val="clear" w:color="auto" w:fill="FFFFFF"/>
        </w:rPr>
        <w:t>根据采购文件规定，以上承诺事项如需提供相关证明材料的，以投标（响应）文件中提供的证明材料为准。本函发出后，即对我单位产生约束力，我单位保证严格遵守本响应函的各项承诺，并对本次提交的投标（响应）文件全部内容真实性负责。如经查实上述承诺的内容事项存在虚假，我单位愿意接受以提供虚假材料谋取入围、成交的法律责任。</w:t>
      </w:r>
    </w:p>
    <w:p>
      <w:pPr>
        <w:pStyle w:val="15"/>
        <w:spacing w:before="0" w:beforeAutospacing="0" w:after="0" w:afterAutospacing="0" w:line="360" w:lineRule="auto"/>
        <w:ind w:firstLine="420"/>
        <w:rPr>
          <w:sz w:val="21"/>
        </w:rPr>
      </w:pPr>
      <w:r>
        <w:rPr>
          <w:rFonts w:cs="宋体"/>
          <w:sz w:val="21"/>
          <w:shd w:val="clear" w:color="auto" w:fill="FFFFFF"/>
        </w:rPr>
        <w:t>特此声明。</w:t>
      </w:r>
    </w:p>
    <w:p>
      <w:pPr>
        <w:pStyle w:val="15"/>
        <w:spacing w:before="0" w:beforeAutospacing="0" w:after="0" w:afterAutospacing="0" w:line="360" w:lineRule="auto"/>
        <w:ind w:firstLine="420"/>
        <w:rPr>
          <w:rFonts w:cs="宋体"/>
          <w:sz w:val="21"/>
        </w:rPr>
      </w:pPr>
      <w:r>
        <w:rPr>
          <w:rFonts w:hint="eastAsia" w:cs="宋体"/>
          <w:sz w:val="21"/>
        </w:rPr>
        <w:t>供应商名称：</w:t>
      </w:r>
      <w:r>
        <w:rPr>
          <w:rFonts w:cs="宋体"/>
          <w:sz w:val="21"/>
          <w:u w:val="single"/>
        </w:rPr>
        <w:t xml:space="preserve">          </w:t>
      </w:r>
      <w:r>
        <w:rPr>
          <w:rFonts w:hint="eastAsia" w:cs="宋体"/>
          <w:sz w:val="21"/>
        </w:rPr>
        <w:t>（签章）</w:t>
      </w:r>
    </w:p>
    <w:p>
      <w:pPr>
        <w:pStyle w:val="15"/>
        <w:spacing w:before="0" w:beforeAutospacing="0" w:after="0" w:afterAutospacing="0" w:line="360" w:lineRule="auto"/>
        <w:ind w:firstLine="420"/>
        <w:rPr>
          <w:rFonts w:cs="宋体"/>
          <w:sz w:val="21"/>
        </w:rPr>
      </w:pPr>
      <w:r>
        <w:rPr>
          <w:rFonts w:hint="eastAsia" w:cs="宋体"/>
          <w:sz w:val="21"/>
        </w:rPr>
        <w:t>日期：</w:t>
      </w:r>
      <w:r>
        <w:rPr>
          <w:rFonts w:cs="宋体"/>
          <w:sz w:val="21"/>
          <w:u w:val="single"/>
        </w:rPr>
        <w:t xml:space="preserve">   </w:t>
      </w:r>
      <w:r>
        <w:rPr>
          <w:rFonts w:hint="eastAsia" w:cs="宋体"/>
          <w:sz w:val="21"/>
        </w:rPr>
        <w:t>年</w:t>
      </w:r>
      <w:r>
        <w:rPr>
          <w:rFonts w:cs="宋体"/>
          <w:sz w:val="21"/>
          <w:u w:val="single"/>
        </w:rPr>
        <w:t xml:space="preserve">   </w:t>
      </w:r>
      <w:r>
        <w:rPr>
          <w:rFonts w:hint="eastAsia" w:cs="宋体"/>
          <w:sz w:val="21"/>
        </w:rPr>
        <w:t>月</w:t>
      </w:r>
      <w:r>
        <w:rPr>
          <w:rFonts w:cs="宋体"/>
          <w:sz w:val="21"/>
        </w:rPr>
        <w:t xml:space="preserve"> </w:t>
      </w:r>
      <w:r>
        <w:rPr>
          <w:rFonts w:cs="宋体"/>
          <w:sz w:val="21"/>
          <w:u w:val="single"/>
        </w:rPr>
        <w:t xml:space="preserve">  </w:t>
      </w:r>
      <w:r>
        <w:rPr>
          <w:rFonts w:hint="eastAsia" w:cs="宋体"/>
          <w:sz w:val="21"/>
        </w:rPr>
        <w:t>日</w:t>
      </w:r>
    </w:p>
    <w:p>
      <w:pPr>
        <w:pStyle w:val="15"/>
        <w:spacing w:before="0" w:beforeAutospacing="0" w:after="0" w:afterAutospacing="0" w:line="360" w:lineRule="auto"/>
        <w:rPr>
          <w:rFonts w:cs="宋体"/>
          <w:sz w:val="21"/>
        </w:rPr>
      </w:pPr>
    </w:p>
    <w:p>
      <w:pPr>
        <w:pStyle w:val="15"/>
        <w:spacing w:before="0" w:beforeAutospacing="0" w:after="0" w:afterAutospacing="0" w:line="360" w:lineRule="auto"/>
        <w:rPr>
          <w:rFonts w:ascii="楷体" w:hAnsi="楷体" w:eastAsia="楷体"/>
          <w:color w:val="000000" w:themeColor="text1"/>
          <w:kern w:val="2"/>
          <w:sz w:val="21"/>
          <w:szCs w:val="21"/>
          <w14:textFill>
            <w14:solidFill>
              <w14:schemeClr w14:val="tx1"/>
            </w14:solidFill>
          </w14:textFill>
        </w:rPr>
      </w:pPr>
      <w:r>
        <w:rPr>
          <w:rFonts w:hint="eastAsia" w:ascii="楷体" w:hAnsi="楷体" w:eastAsia="楷体"/>
          <w:color w:val="000000" w:themeColor="text1"/>
          <w:kern w:val="2"/>
          <w:sz w:val="21"/>
          <w:szCs w:val="21"/>
          <w14:textFill>
            <w14:solidFill>
              <w14:schemeClr w14:val="tx1"/>
            </w14:solidFill>
          </w14:textFill>
        </w:rPr>
        <w:t>说明：1.</w:t>
      </w:r>
      <w:r>
        <w:rPr>
          <w:rFonts w:ascii="楷体" w:hAnsi="楷体" w:eastAsia="楷体"/>
          <w:color w:val="000000" w:themeColor="text1"/>
          <w:kern w:val="2"/>
          <w:sz w:val="21"/>
          <w:szCs w:val="21"/>
          <w14:textFill>
            <w14:solidFill>
              <w14:schemeClr w14:val="tx1"/>
            </w14:solidFill>
          </w14:textFill>
        </w:rPr>
        <w:t>重大违法记录，是指供应商因违法经营受到刑事处罚或者责令停产停业、吊销许可证或者执照、较大数额罚款等行政处罚。根据《财政部关于&lt;中华人民共和国政府采购法实施条例&gt;第十九条第一款“较大数额罚款”具体适用问题的意见》（财库〔2022〕3号）规定，“较大数额罚款”认定为200万元以上的罚款，法律、行政法规以及国务院有关部门明确规定相关领域“较大数额罚款”标准高于200万元的，从其规定。</w:t>
      </w:r>
    </w:p>
    <w:p>
      <w:pPr>
        <w:pStyle w:val="15"/>
        <w:spacing w:before="0" w:beforeAutospacing="0" w:after="0" w:afterAutospacing="0" w:line="360" w:lineRule="auto"/>
        <w:ind w:firstLine="420"/>
        <w:rPr>
          <w:rFonts w:ascii="楷体" w:hAnsi="楷体" w:eastAsia="楷体"/>
          <w:color w:val="000000" w:themeColor="text1"/>
          <w:kern w:val="2"/>
          <w:sz w:val="21"/>
          <w:szCs w:val="21"/>
          <w14:textFill>
            <w14:solidFill>
              <w14:schemeClr w14:val="tx1"/>
            </w14:solidFill>
          </w14:textFill>
        </w:rPr>
      </w:pPr>
      <w:r>
        <w:rPr>
          <w:rFonts w:ascii="楷体" w:hAnsi="楷体" w:eastAsia="楷体"/>
          <w:color w:val="000000" w:themeColor="text1"/>
          <w:kern w:val="2"/>
          <w:sz w:val="21"/>
          <w:szCs w:val="21"/>
          <w14:textFill>
            <w14:solidFill>
              <w14:schemeClr w14:val="tx1"/>
            </w14:solidFill>
          </w14:textFill>
        </w:rPr>
        <w:t>2.需供应商提供的财务状况证明、履行合同所必需的设备和专业技术能力等证明材料的，按照本项目采购文件的规定提供。</w:t>
      </w:r>
    </w:p>
    <w:p>
      <w:pPr>
        <w:pStyle w:val="15"/>
        <w:spacing w:before="0" w:beforeAutospacing="0" w:after="0" w:afterAutospacing="0" w:line="360" w:lineRule="auto"/>
        <w:ind w:left="420" w:right="-371" w:firstLine="784" w:firstLineChars="327"/>
        <w:rPr>
          <w:rFonts w:cs="宋体"/>
          <w:szCs w:val="24"/>
        </w:rPr>
        <w:sectPr>
          <w:footerReference r:id="rId9" w:type="default"/>
          <w:pgSz w:w="11900" w:h="16840"/>
          <w:pgMar w:top="1213" w:right="1639" w:bottom="1157" w:left="1690" w:header="0" w:footer="0" w:gutter="0"/>
          <w:cols w:space="720" w:num="1"/>
          <w:docGrid w:linePitch="286" w:charSpace="0"/>
        </w:sectPr>
      </w:pPr>
    </w:p>
    <w:p>
      <w:pPr>
        <w:pStyle w:val="15"/>
        <w:spacing w:before="0" w:beforeAutospacing="0" w:after="0" w:afterAutospacing="0" w:line="360" w:lineRule="auto"/>
        <w:jc w:val="center"/>
        <w:outlineLvl w:val="1"/>
        <w:rPr>
          <w:rFonts w:cs="宋体"/>
          <w:b/>
          <w:bCs/>
          <w:sz w:val="38"/>
          <w:szCs w:val="38"/>
        </w:rPr>
      </w:pPr>
      <w:r>
        <w:rPr>
          <w:rFonts w:hint="eastAsia" w:cs="宋体"/>
          <w:b/>
          <w:bCs/>
          <w:sz w:val="38"/>
          <w:szCs w:val="38"/>
        </w:rPr>
        <w:t>报价表</w:t>
      </w:r>
    </w:p>
    <w:p>
      <w:pPr>
        <w:pStyle w:val="15"/>
        <w:rPr>
          <w:rFonts w:cs="宋体"/>
          <w:sz w:val="21"/>
          <w:szCs w:val="21"/>
        </w:rPr>
      </w:pPr>
      <w:r>
        <w:rPr>
          <w:rFonts w:hint="eastAsia" w:cs="宋体"/>
          <w:sz w:val="21"/>
          <w:szCs w:val="21"/>
        </w:rPr>
        <w:t>项目名称：</w:t>
      </w:r>
      <w:r>
        <w:rPr>
          <w:rFonts w:hint="eastAsia" w:cs="宋体"/>
          <w:sz w:val="21"/>
          <w:szCs w:val="21"/>
          <w:u w:val="single"/>
        </w:rPr>
        <w:t>{请填写项目名称}</w:t>
      </w:r>
      <w:r>
        <w:rPr>
          <w:rFonts w:cs="宋体"/>
          <w:sz w:val="21"/>
          <w:szCs w:val="21"/>
          <w:u w:val="single"/>
        </w:rPr>
        <w:t xml:space="preserve"> </w:t>
      </w:r>
    </w:p>
    <w:p>
      <w:pPr>
        <w:pStyle w:val="15"/>
        <w:rPr>
          <w:rFonts w:cs="宋体"/>
          <w:sz w:val="21"/>
          <w:szCs w:val="21"/>
        </w:rPr>
      </w:pPr>
      <w:r>
        <w:rPr>
          <w:rFonts w:hint="eastAsia" w:cs="宋体"/>
          <w:sz w:val="21"/>
          <w:szCs w:val="21"/>
        </w:rPr>
        <w:t>项目编号：</w:t>
      </w:r>
      <w:r>
        <w:rPr>
          <w:rFonts w:hint="eastAsia" w:cs="宋体"/>
          <w:sz w:val="21"/>
          <w:szCs w:val="21"/>
          <w:u w:val="single"/>
        </w:rPr>
        <w:t>{请填写项目编号}</w:t>
      </w:r>
      <w:r>
        <w:rPr>
          <w:rFonts w:cs="宋体"/>
          <w:sz w:val="21"/>
          <w:szCs w:val="21"/>
          <w:u w:val="single"/>
        </w:rPr>
        <w:t xml:space="preserve"> </w:t>
      </w:r>
    </w:p>
    <w:p>
      <w:pPr>
        <w:pStyle w:val="15"/>
        <w:rPr>
          <w:rFonts w:cs="宋体"/>
          <w:sz w:val="21"/>
          <w:szCs w:val="21"/>
        </w:rPr>
      </w:pPr>
      <w:r>
        <w:rPr>
          <w:rFonts w:hint="eastAsia" w:cs="宋体"/>
          <w:sz w:val="21"/>
          <w:szCs w:val="21"/>
        </w:rPr>
        <w:t>采购包号：</w:t>
      </w:r>
      <w:r>
        <w:rPr>
          <w:rFonts w:hint="eastAsia" w:cs="宋体"/>
          <w:sz w:val="21"/>
          <w:szCs w:val="21"/>
          <w:u w:val="single"/>
        </w:rPr>
        <w:t>{请填写采购包编号}</w:t>
      </w:r>
      <w:r>
        <w:rPr>
          <w:rFonts w:cs="宋体"/>
          <w:sz w:val="21"/>
          <w:szCs w:val="21"/>
          <w:u w:val="single"/>
        </w:rPr>
        <w:t xml:space="preserve"> </w:t>
      </w:r>
    </w:p>
    <w:p>
      <w:pPr>
        <w:spacing w:line="218" w:lineRule="auto"/>
        <w:rPr>
          <w:rFonts w:ascii="宋体" w:hAnsi="宋体" w:cs="宋体"/>
          <w:szCs w:val="21"/>
          <w:shd w:val="clear" w:color="auto" w:fill="FFFFFF"/>
        </w:rPr>
      </w:pPr>
    </w:p>
    <w:tbl>
      <w:tblPr>
        <w:tblStyle w:val="18"/>
        <w:tblW w:w="949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498" w:type="dxa"/>
            <w:vAlign w:val="center"/>
          </w:tcPr>
          <w:p>
            <w:pPr>
              <w:widowControl w:val="0"/>
              <w:spacing w:line="218" w:lineRule="auto"/>
              <w:rPr>
                <w:rFonts w:ascii="宋体" w:hAnsi="宋体" w:cs="宋体"/>
                <w:kern w:val="0"/>
                <w:szCs w:val="21"/>
                <w:shd w:val="clear" w:color="auto" w:fill="FFFFFF"/>
              </w:rPr>
            </w:pPr>
            <w:r>
              <w:rPr>
                <w:rFonts w:hint="eastAsia" w:ascii="宋体" w:hAnsi="宋体" w:cs="宋体"/>
                <w:kern w:val="0"/>
                <w:szCs w:val="21"/>
                <w:shd w:val="clear" w:color="auto" w:fill="FFFFFF"/>
              </w:rPr>
              <w:t>响应报价 {报价形式：报价单位}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498" w:type="dxa"/>
            <w:vAlign w:val="center"/>
          </w:tcPr>
          <w:p>
            <w:pPr>
              <w:widowControl w:val="0"/>
              <w:spacing w:line="218" w:lineRule="auto"/>
              <w:rPr>
                <w:rFonts w:ascii="宋体" w:hAnsi="宋体" w:cs="宋体"/>
                <w:kern w:val="0"/>
                <w:szCs w:val="21"/>
                <w:shd w:val="clear" w:color="auto" w:fill="FFFFFF"/>
              </w:rPr>
            </w:pPr>
          </w:p>
        </w:tc>
      </w:tr>
    </w:tbl>
    <w:p>
      <w:pPr>
        <w:adjustRightInd w:val="0"/>
        <w:snapToGrid w:val="0"/>
        <w:ind w:left="-88" w:leftChars="-42" w:firstLine="210" w:firstLineChars="1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响应报价以供应商在项目电子化交易系统报价表中填写的报价为准。（实质性要求）</w:t>
      </w:r>
    </w:p>
    <w:p>
      <w:pPr>
        <w:spacing w:line="218" w:lineRule="auto"/>
        <w:rPr>
          <w:rFonts w:ascii="宋体" w:hAnsi="宋体" w:cs="宋体"/>
          <w:sz w:val="24"/>
        </w:rPr>
      </w:pPr>
    </w:p>
    <w:p>
      <w:pPr>
        <w:spacing w:line="218" w:lineRule="auto"/>
        <w:rPr>
          <w:rFonts w:ascii="宋体" w:hAnsi="宋体" w:cs="宋体"/>
          <w:sz w:val="24"/>
          <w:shd w:val="clear" w:color="auto" w:fill="FFFFFF"/>
        </w:rPr>
        <w:sectPr>
          <w:pgSz w:w="11900" w:h="16840"/>
          <w:pgMar w:top="1213" w:right="1639" w:bottom="1157" w:left="1690" w:header="0" w:footer="0" w:gutter="0"/>
          <w:cols w:space="720" w:num="1"/>
          <w:docGrid w:linePitch="286" w:charSpace="0"/>
        </w:sectPr>
      </w:pPr>
    </w:p>
    <w:p>
      <w:pPr>
        <w:pStyle w:val="15"/>
        <w:spacing w:before="0" w:beforeAutospacing="0" w:after="0" w:afterAutospacing="0" w:line="360" w:lineRule="auto"/>
        <w:jc w:val="center"/>
        <w:outlineLvl w:val="1"/>
        <w:rPr>
          <w:rFonts w:cs="宋体"/>
          <w:b/>
          <w:bCs/>
          <w:sz w:val="38"/>
          <w:szCs w:val="38"/>
        </w:rPr>
      </w:pPr>
      <w:r>
        <w:rPr>
          <w:rFonts w:hint="eastAsia" w:cs="宋体"/>
          <w:b/>
          <w:bCs/>
          <w:sz w:val="38"/>
          <w:szCs w:val="38"/>
        </w:rPr>
        <w:t>标的清单</w:t>
      </w:r>
    </w:p>
    <w:p>
      <w:pPr>
        <w:pStyle w:val="15"/>
        <w:spacing w:before="0" w:beforeAutospacing="0" w:after="216" w:afterAutospacing="0" w:line="240" w:lineRule="atLeast"/>
        <w:ind w:left="420" w:right="672"/>
        <w:rPr>
          <w:rFonts w:cs="宋体"/>
          <w:b/>
          <w:bCs/>
          <w:sz w:val="21"/>
        </w:rPr>
      </w:pPr>
      <w:r>
        <w:rPr>
          <w:rFonts w:hint="eastAsia" w:cs="宋体"/>
          <w:b/>
          <w:bCs/>
          <w:sz w:val="21"/>
          <w:shd w:val="clear" w:color="auto" w:fill="FFFFFF"/>
        </w:rPr>
        <w:t>采购编号：</w:t>
      </w:r>
      <w:r>
        <w:rPr>
          <w:rFonts w:hint="eastAsia" w:cs="宋体"/>
          <w:bCs/>
          <w:sz w:val="21"/>
          <w:u w:val="single"/>
          <w:shd w:val="clear" w:color="auto" w:fill="FFFFFF"/>
        </w:rPr>
        <w:t>{请填写项目编号}</w:t>
      </w:r>
    </w:p>
    <w:p>
      <w:pPr>
        <w:pStyle w:val="15"/>
        <w:spacing w:before="0" w:beforeAutospacing="0" w:after="216" w:afterAutospacing="0" w:line="240" w:lineRule="atLeast"/>
        <w:ind w:left="420" w:right="672"/>
        <w:rPr>
          <w:rFonts w:cs="宋体"/>
          <w:b/>
          <w:bCs/>
          <w:sz w:val="21"/>
        </w:rPr>
      </w:pPr>
      <w:r>
        <w:rPr>
          <w:rFonts w:hint="eastAsia" w:cs="宋体"/>
          <w:b/>
          <w:bCs/>
          <w:sz w:val="21"/>
          <w:shd w:val="clear" w:color="auto" w:fill="FFFFFF"/>
        </w:rPr>
        <w:t>项目名称：</w:t>
      </w:r>
      <w:r>
        <w:rPr>
          <w:rFonts w:hint="eastAsia" w:cs="宋体"/>
          <w:bCs/>
          <w:sz w:val="21"/>
          <w:u w:val="single"/>
          <w:shd w:val="clear" w:color="auto" w:fill="FFFFFF"/>
        </w:rPr>
        <w:t xml:space="preserve"> {请填写项目名称}</w:t>
      </w:r>
      <w:r>
        <w:rPr>
          <w:rFonts w:cs="宋体"/>
          <w:bCs/>
          <w:sz w:val="21"/>
          <w:u w:val="single"/>
          <w:shd w:val="clear" w:color="auto" w:fill="FFFFFF"/>
        </w:rPr>
        <w:t xml:space="preserve"> </w:t>
      </w:r>
    </w:p>
    <w:p>
      <w:pPr>
        <w:pStyle w:val="15"/>
        <w:ind w:firstLine="420" w:firstLineChars="200"/>
        <w:rPr>
          <w:rFonts w:cs="宋体"/>
          <w:sz w:val="21"/>
          <w:szCs w:val="21"/>
        </w:rPr>
      </w:pPr>
      <w:r>
        <w:rPr>
          <w:rFonts w:hint="eastAsia" w:cs="宋体"/>
          <w:b/>
          <w:bCs/>
          <w:sz w:val="21"/>
          <w:shd w:val="clear" w:color="auto" w:fill="FFFFFF"/>
        </w:rPr>
        <w:t>包号：</w:t>
      </w:r>
      <w:r>
        <w:rPr>
          <w:rFonts w:hint="eastAsia" w:cs="宋体"/>
          <w:sz w:val="21"/>
          <w:szCs w:val="21"/>
          <w:u w:val="single"/>
        </w:rPr>
        <w:t>{请填写采购包编号}</w:t>
      </w:r>
      <w:r>
        <w:rPr>
          <w:rFonts w:cs="宋体"/>
          <w:sz w:val="21"/>
          <w:szCs w:val="21"/>
          <w:u w:val="single"/>
        </w:rPr>
        <w:t xml:space="preserve"> </w:t>
      </w:r>
    </w:p>
    <w:p>
      <w:pPr>
        <w:pStyle w:val="15"/>
        <w:ind w:firstLine="420" w:firstLineChars="200"/>
        <w:rPr>
          <w:rFonts w:cs="宋体"/>
          <w:sz w:val="21"/>
          <w:szCs w:val="21"/>
        </w:rPr>
      </w:pPr>
      <w:r>
        <w:rPr>
          <w:rFonts w:hint="eastAsia" w:cs="宋体"/>
          <w:b/>
          <w:bCs/>
          <w:sz w:val="21"/>
          <w:shd w:val="clear" w:color="auto" w:fill="FFFFFF"/>
        </w:rPr>
        <w:t>供应商名称：</w:t>
      </w:r>
      <w:r>
        <w:rPr>
          <w:rFonts w:hint="eastAsia" w:cs="宋体"/>
          <w:sz w:val="21"/>
          <w:szCs w:val="21"/>
          <w:u w:val="single"/>
        </w:rPr>
        <w:t>{请填写供应商名称}</w:t>
      </w:r>
      <w:r>
        <w:rPr>
          <w:rFonts w:cs="宋体"/>
          <w:sz w:val="21"/>
          <w:szCs w:val="21"/>
          <w:u w:val="single"/>
        </w:rPr>
        <w:t xml:space="preserve"> </w:t>
      </w:r>
    </w:p>
    <w:p>
      <w:pPr>
        <w:pStyle w:val="15"/>
        <w:spacing w:before="288" w:beforeAutospacing="0" w:after="288" w:afterAutospacing="0" w:line="240" w:lineRule="atLeast"/>
        <w:ind w:left="420" w:right="672"/>
        <w:jc w:val="right"/>
        <w:rPr>
          <w:rFonts w:cs="宋体"/>
          <w:sz w:val="21"/>
          <w:szCs w:val="21"/>
        </w:rPr>
      </w:pPr>
      <w:r>
        <w:rPr>
          <w:rFonts w:hint="eastAsia" w:cs="宋体"/>
          <w:sz w:val="21"/>
          <w:szCs w:val="21"/>
          <w:shd w:val="clear" w:color="auto" w:fill="FFFFFF"/>
        </w:rPr>
        <w:t>货币及单位:人民币/元</w:t>
      </w:r>
    </w:p>
    <w:tbl>
      <w:tblPr>
        <w:tblStyle w:val="17"/>
        <w:tblW w:w="5713" w:type="pct"/>
        <w:tblCellSpacing w:w="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2"/>
        <w:gridCol w:w="854"/>
        <w:gridCol w:w="1166"/>
        <w:gridCol w:w="1110"/>
        <w:gridCol w:w="1110"/>
        <w:gridCol w:w="1110"/>
        <w:gridCol w:w="1110"/>
        <w:gridCol w:w="839"/>
        <w:gridCol w:w="811"/>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8" w:hRule="atLeast"/>
          <w:tblHeader/>
          <w:tblCellSpacing w:w="0" w:type="dxa"/>
        </w:trPr>
        <w:tc>
          <w:tcPr>
            <w:tcW w:w="434" w:type="pct"/>
            <w:shd w:val="clear" w:color="auto" w:fill="auto"/>
            <w:vAlign w:val="center"/>
          </w:tcPr>
          <w:p>
            <w:pPr>
              <w:jc w:val="center"/>
              <w:rPr>
                <w:rFonts w:ascii="宋体" w:hAnsi="宋体" w:cs="宋体"/>
                <w:b/>
                <w:bCs/>
                <w:szCs w:val="21"/>
              </w:rPr>
            </w:pPr>
            <w:r>
              <w:rPr>
                <w:rFonts w:hint="eastAsia" w:ascii="宋体" w:hAnsi="宋体" w:cs="宋体"/>
                <w:b/>
                <w:bCs/>
                <w:szCs w:val="21"/>
                <w:lang w:bidi="ar"/>
              </w:rPr>
              <w:t>品目号</w:t>
            </w:r>
          </w:p>
        </w:tc>
        <w:tc>
          <w:tcPr>
            <w:tcW w:w="435" w:type="pct"/>
            <w:shd w:val="clear" w:color="auto" w:fill="auto"/>
            <w:vAlign w:val="center"/>
          </w:tcPr>
          <w:p>
            <w:pPr>
              <w:jc w:val="center"/>
              <w:rPr>
                <w:rFonts w:ascii="宋体" w:hAnsi="宋体" w:cs="宋体"/>
                <w:b/>
                <w:bCs/>
                <w:szCs w:val="21"/>
              </w:rPr>
            </w:pPr>
            <w:r>
              <w:rPr>
                <w:rFonts w:hint="eastAsia" w:ascii="宋体" w:hAnsi="宋体" w:cs="宋体"/>
                <w:b/>
                <w:bCs/>
                <w:szCs w:val="21"/>
                <w:lang w:bidi="ar"/>
              </w:rPr>
              <w:t>序号</w:t>
            </w:r>
          </w:p>
        </w:tc>
        <w:tc>
          <w:tcPr>
            <w:tcW w:w="594" w:type="pct"/>
            <w:shd w:val="clear" w:color="auto" w:fill="auto"/>
            <w:vAlign w:val="center"/>
          </w:tcPr>
          <w:p>
            <w:pPr>
              <w:jc w:val="center"/>
              <w:rPr>
                <w:rFonts w:ascii="宋体" w:hAnsi="宋体" w:cs="宋体"/>
                <w:b/>
                <w:bCs/>
                <w:szCs w:val="21"/>
              </w:rPr>
            </w:pPr>
            <w:r>
              <w:rPr>
                <w:rFonts w:hint="eastAsia" w:ascii="宋体" w:hAnsi="宋体" w:cs="宋体"/>
                <w:b/>
                <w:bCs/>
                <w:szCs w:val="21"/>
                <w:lang w:bidi="ar"/>
              </w:rPr>
              <w:t>服务名称</w:t>
            </w:r>
          </w:p>
        </w:tc>
        <w:tc>
          <w:tcPr>
            <w:tcW w:w="0" w:type="auto"/>
            <w:shd w:val="clear" w:color="auto" w:fill="auto"/>
            <w:vAlign w:val="center"/>
          </w:tcPr>
          <w:p>
            <w:pPr>
              <w:jc w:val="center"/>
              <w:rPr>
                <w:rFonts w:ascii="宋体" w:hAnsi="宋体" w:cs="宋体"/>
                <w:b/>
                <w:bCs/>
                <w:szCs w:val="21"/>
              </w:rPr>
            </w:pPr>
            <w:r>
              <w:rPr>
                <w:rFonts w:hint="eastAsia" w:ascii="宋体" w:hAnsi="宋体" w:cs="宋体"/>
                <w:b/>
                <w:bCs/>
                <w:szCs w:val="21"/>
                <w:lang w:bidi="ar"/>
              </w:rPr>
              <w:t>服务范围</w:t>
            </w:r>
          </w:p>
        </w:tc>
        <w:tc>
          <w:tcPr>
            <w:tcW w:w="0" w:type="auto"/>
            <w:shd w:val="clear" w:color="auto" w:fill="auto"/>
            <w:vAlign w:val="center"/>
          </w:tcPr>
          <w:p>
            <w:pPr>
              <w:jc w:val="center"/>
              <w:rPr>
                <w:rFonts w:ascii="宋体" w:hAnsi="宋体" w:cs="宋体"/>
                <w:b/>
                <w:bCs/>
                <w:szCs w:val="21"/>
              </w:rPr>
            </w:pPr>
            <w:r>
              <w:rPr>
                <w:rFonts w:hint="eastAsia" w:ascii="宋体" w:hAnsi="宋体" w:cs="宋体"/>
                <w:b/>
                <w:bCs/>
                <w:szCs w:val="21"/>
                <w:lang w:bidi="ar"/>
              </w:rPr>
              <w:t>服务要求</w:t>
            </w:r>
          </w:p>
        </w:tc>
        <w:tc>
          <w:tcPr>
            <w:tcW w:w="0" w:type="auto"/>
            <w:shd w:val="clear" w:color="auto" w:fill="auto"/>
            <w:vAlign w:val="center"/>
          </w:tcPr>
          <w:p>
            <w:pPr>
              <w:jc w:val="center"/>
              <w:rPr>
                <w:rFonts w:ascii="宋体" w:hAnsi="宋体" w:cs="宋体"/>
                <w:b/>
                <w:bCs/>
                <w:szCs w:val="21"/>
              </w:rPr>
            </w:pPr>
            <w:r>
              <w:rPr>
                <w:rFonts w:hint="eastAsia" w:ascii="宋体" w:hAnsi="宋体" w:cs="宋体"/>
                <w:b/>
                <w:bCs/>
                <w:szCs w:val="21"/>
              </w:rPr>
              <w:t>服务期限</w:t>
            </w:r>
          </w:p>
        </w:tc>
        <w:tc>
          <w:tcPr>
            <w:tcW w:w="0" w:type="auto"/>
            <w:shd w:val="clear" w:color="auto" w:fill="auto"/>
            <w:vAlign w:val="center"/>
          </w:tcPr>
          <w:p>
            <w:pPr>
              <w:jc w:val="center"/>
              <w:rPr>
                <w:rFonts w:ascii="宋体" w:hAnsi="宋体" w:cs="宋体"/>
                <w:b/>
                <w:bCs/>
                <w:szCs w:val="21"/>
              </w:rPr>
            </w:pPr>
            <w:r>
              <w:rPr>
                <w:rFonts w:hint="eastAsia" w:ascii="宋体" w:hAnsi="宋体" w:cs="宋体"/>
                <w:b/>
                <w:bCs/>
                <w:szCs w:val="21"/>
                <w:lang w:bidi="ar"/>
              </w:rPr>
              <w:t>服务标准</w:t>
            </w:r>
          </w:p>
        </w:tc>
        <w:tc>
          <w:tcPr>
            <w:tcW w:w="0" w:type="auto"/>
            <w:shd w:val="clear" w:color="auto" w:fill="auto"/>
            <w:vAlign w:val="center"/>
          </w:tcPr>
          <w:p>
            <w:pPr>
              <w:jc w:val="center"/>
              <w:rPr>
                <w:rFonts w:ascii="宋体" w:hAnsi="宋体" w:cs="宋体"/>
                <w:b/>
                <w:bCs/>
                <w:szCs w:val="21"/>
                <w:lang w:bidi="ar"/>
              </w:rPr>
            </w:pPr>
            <w:r>
              <w:rPr>
                <w:rFonts w:hint="eastAsia" w:ascii="宋体" w:hAnsi="宋体" w:cs="宋体"/>
                <w:b/>
                <w:bCs/>
                <w:szCs w:val="21"/>
                <w:lang w:bidi="ar"/>
              </w:rPr>
              <w:t>单价</w:t>
            </w:r>
          </w:p>
          <w:p>
            <w:pPr>
              <w:jc w:val="center"/>
              <w:rPr>
                <w:rFonts w:ascii="宋体" w:hAnsi="宋体" w:cs="宋体"/>
                <w:b/>
                <w:bCs/>
                <w:szCs w:val="21"/>
              </w:rPr>
            </w:pPr>
            <w:r>
              <w:rPr>
                <w:rFonts w:hint="eastAsia" w:ascii="宋体" w:hAnsi="宋体" w:cs="宋体"/>
                <w:b/>
                <w:bCs/>
                <w:szCs w:val="21"/>
                <w:lang w:bidi="ar"/>
              </w:rPr>
              <w:t>（元）</w:t>
            </w:r>
          </w:p>
        </w:tc>
        <w:tc>
          <w:tcPr>
            <w:tcW w:w="413" w:type="pct"/>
            <w:shd w:val="clear" w:color="auto" w:fill="auto"/>
            <w:vAlign w:val="center"/>
          </w:tcPr>
          <w:p>
            <w:pPr>
              <w:jc w:val="center"/>
              <w:rPr>
                <w:rFonts w:ascii="宋体" w:hAnsi="宋体" w:cs="宋体"/>
                <w:b/>
                <w:bCs/>
                <w:szCs w:val="21"/>
              </w:rPr>
            </w:pPr>
            <w:r>
              <w:rPr>
                <w:rFonts w:hint="eastAsia" w:ascii="宋体" w:hAnsi="宋体" w:cs="宋体"/>
                <w:b/>
                <w:bCs/>
                <w:szCs w:val="21"/>
                <w:lang w:bidi="ar"/>
              </w:rPr>
              <w:t>数量</w:t>
            </w:r>
          </w:p>
        </w:tc>
        <w:tc>
          <w:tcPr>
            <w:tcW w:w="435" w:type="pct"/>
            <w:shd w:val="clear" w:color="auto" w:fill="auto"/>
            <w:vAlign w:val="center"/>
          </w:tcPr>
          <w:p>
            <w:pPr>
              <w:jc w:val="center"/>
              <w:rPr>
                <w:rFonts w:ascii="宋体" w:hAnsi="宋体" w:cs="宋体"/>
                <w:b/>
                <w:bCs/>
                <w:szCs w:val="21"/>
              </w:rPr>
            </w:pPr>
            <w:r>
              <w:rPr>
                <w:rFonts w:hint="eastAsia" w:ascii="宋体" w:hAnsi="宋体" w:cs="宋体"/>
                <w:b/>
                <w:bCs/>
                <w:szCs w:val="21"/>
                <w:lang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3" w:hRule="atLeast"/>
          <w:tblCellSpacing w:w="0" w:type="dxa"/>
        </w:trPr>
        <w:tc>
          <w:tcPr>
            <w:tcW w:w="434" w:type="pct"/>
            <w:shd w:val="clear" w:color="auto" w:fill="auto"/>
            <w:tcMar>
              <w:top w:w="120" w:type="dxa"/>
              <w:left w:w="120" w:type="dxa"/>
              <w:bottom w:w="120" w:type="dxa"/>
              <w:right w:w="120" w:type="dxa"/>
            </w:tcMar>
            <w:vAlign w:val="center"/>
          </w:tcPr>
          <w:p>
            <w:pPr>
              <w:jc w:val="center"/>
              <w:rPr>
                <w:rFonts w:ascii="宋体" w:hAnsi="宋体" w:cs="宋体"/>
                <w:szCs w:val="21"/>
              </w:rPr>
            </w:pPr>
            <w:r>
              <w:rPr>
                <w:rFonts w:hint="eastAsia" w:ascii="宋体" w:hAnsi="宋体" w:cs="宋体"/>
                <w:szCs w:val="21"/>
                <w:lang w:bidi="ar"/>
              </w:rPr>
              <w:t>1-1</w:t>
            </w:r>
          </w:p>
        </w:tc>
        <w:tc>
          <w:tcPr>
            <w:tcW w:w="435" w:type="pct"/>
            <w:shd w:val="clear" w:color="auto" w:fill="auto"/>
            <w:tcMar>
              <w:top w:w="120" w:type="dxa"/>
              <w:left w:w="120" w:type="dxa"/>
              <w:bottom w:w="120" w:type="dxa"/>
              <w:right w:w="120" w:type="dxa"/>
            </w:tcMar>
            <w:vAlign w:val="center"/>
          </w:tcPr>
          <w:p>
            <w:pPr>
              <w:jc w:val="center"/>
              <w:rPr>
                <w:rFonts w:ascii="宋体" w:hAnsi="宋体" w:cs="宋体"/>
                <w:szCs w:val="21"/>
              </w:rPr>
            </w:pPr>
            <w:r>
              <w:rPr>
                <w:rFonts w:hint="eastAsia" w:ascii="宋体" w:hAnsi="宋体" w:cs="宋体"/>
                <w:szCs w:val="21"/>
                <w:lang w:bidi="ar"/>
              </w:rPr>
              <w:t>1</w:t>
            </w:r>
          </w:p>
        </w:tc>
        <w:tc>
          <w:tcPr>
            <w:tcW w:w="594" w:type="pct"/>
            <w:shd w:val="clear" w:color="auto" w:fill="auto"/>
            <w:tcMar>
              <w:top w:w="120" w:type="dxa"/>
              <w:left w:w="120" w:type="dxa"/>
              <w:bottom w:w="120" w:type="dxa"/>
              <w:right w:w="120" w:type="dxa"/>
            </w:tcMar>
            <w:vAlign w:val="center"/>
          </w:tcPr>
          <w:p>
            <w:pPr>
              <w:jc w:val="center"/>
              <w:rPr>
                <w:rFonts w:ascii="宋体" w:hAnsi="宋体" w:cs="宋体"/>
                <w:szCs w:val="21"/>
              </w:rPr>
            </w:pPr>
          </w:p>
        </w:tc>
        <w:tc>
          <w:tcPr>
            <w:tcW w:w="0" w:type="auto"/>
            <w:shd w:val="clear" w:color="auto" w:fill="auto"/>
            <w:tcMar>
              <w:top w:w="120" w:type="dxa"/>
              <w:left w:w="120" w:type="dxa"/>
              <w:bottom w:w="120" w:type="dxa"/>
              <w:right w:w="120" w:type="dxa"/>
            </w:tcMar>
            <w:vAlign w:val="center"/>
          </w:tcPr>
          <w:p>
            <w:pPr>
              <w:jc w:val="center"/>
              <w:rPr>
                <w:rFonts w:ascii="宋体" w:hAnsi="宋体" w:cs="宋体"/>
                <w:szCs w:val="21"/>
              </w:rPr>
            </w:pPr>
          </w:p>
        </w:tc>
        <w:tc>
          <w:tcPr>
            <w:tcW w:w="0" w:type="auto"/>
            <w:shd w:val="clear" w:color="auto" w:fill="auto"/>
            <w:tcMar>
              <w:top w:w="120" w:type="dxa"/>
              <w:left w:w="120" w:type="dxa"/>
              <w:bottom w:w="120" w:type="dxa"/>
              <w:right w:w="120" w:type="dxa"/>
            </w:tcMar>
            <w:vAlign w:val="center"/>
          </w:tcPr>
          <w:p>
            <w:pPr>
              <w:jc w:val="center"/>
              <w:rPr>
                <w:rFonts w:ascii="宋体" w:hAnsi="宋体" w:cs="宋体"/>
                <w:szCs w:val="21"/>
              </w:rPr>
            </w:pPr>
          </w:p>
        </w:tc>
        <w:tc>
          <w:tcPr>
            <w:tcW w:w="0" w:type="auto"/>
            <w:shd w:val="clear" w:color="auto" w:fill="auto"/>
            <w:tcMar>
              <w:top w:w="120" w:type="dxa"/>
              <w:left w:w="120" w:type="dxa"/>
              <w:bottom w:w="120" w:type="dxa"/>
              <w:right w:w="120" w:type="dxa"/>
            </w:tcMar>
            <w:vAlign w:val="center"/>
          </w:tcPr>
          <w:p>
            <w:pPr>
              <w:jc w:val="center"/>
              <w:rPr>
                <w:rFonts w:ascii="宋体" w:hAnsi="宋体" w:cs="宋体"/>
                <w:szCs w:val="21"/>
              </w:rPr>
            </w:pPr>
          </w:p>
        </w:tc>
        <w:tc>
          <w:tcPr>
            <w:tcW w:w="0" w:type="auto"/>
            <w:shd w:val="clear" w:color="auto" w:fill="auto"/>
            <w:tcMar>
              <w:top w:w="120" w:type="dxa"/>
              <w:left w:w="120" w:type="dxa"/>
              <w:bottom w:w="120" w:type="dxa"/>
              <w:right w:w="120" w:type="dxa"/>
            </w:tcMar>
            <w:vAlign w:val="center"/>
          </w:tcPr>
          <w:p>
            <w:pPr>
              <w:jc w:val="center"/>
              <w:rPr>
                <w:rFonts w:ascii="宋体" w:hAnsi="宋体" w:cs="宋体"/>
                <w:szCs w:val="21"/>
              </w:rPr>
            </w:pPr>
          </w:p>
        </w:tc>
        <w:tc>
          <w:tcPr>
            <w:tcW w:w="0" w:type="auto"/>
            <w:shd w:val="clear" w:color="auto" w:fill="auto"/>
            <w:tcMar>
              <w:top w:w="120" w:type="dxa"/>
              <w:left w:w="120" w:type="dxa"/>
              <w:bottom w:w="120" w:type="dxa"/>
              <w:right w:w="120" w:type="dxa"/>
            </w:tcMar>
            <w:vAlign w:val="center"/>
          </w:tcPr>
          <w:p>
            <w:pPr>
              <w:jc w:val="center"/>
              <w:rPr>
                <w:rFonts w:ascii="宋体" w:hAnsi="宋体" w:cs="宋体"/>
                <w:szCs w:val="21"/>
              </w:rPr>
            </w:pPr>
          </w:p>
        </w:tc>
        <w:tc>
          <w:tcPr>
            <w:tcW w:w="413" w:type="pct"/>
            <w:shd w:val="clear" w:color="auto" w:fill="auto"/>
            <w:tcMar>
              <w:top w:w="120" w:type="dxa"/>
              <w:left w:w="120" w:type="dxa"/>
              <w:bottom w:w="120" w:type="dxa"/>
              <w:right w:w="120" w:type="dxa"/>
            </w:tcMar>
            <w:vAlign w:val="center"/>
          </w:tcPr>
          <w:p>
            <w:pPr>
              <w:jc w:val="center"/>
              <w:rPr>
                <w:rFonts w:ascii="宋体" w:hAnsi="宋体" w:cs="宋体"/>
                <w:szCs w:val="21"/>
              </w:rPr>
            </w:pPr>
          </w:p>
        </w:tc>
        <w:tc>
          <w:tcPr>
            <w:tcW w:w="435" w:type="pct"/>
            <w:shd w:val="clear" w:color="auto" w:fill="auto"/>
            <w:tcMar>
              <w:top w:w="120" w:type="dxa"/>
              <w:left w:w="120" w:type="dxa"/>
              <w:bottom w:w="120" w:type="dxa"/>
              <w:right w:w="120" w:type="dxa"/>
            </w:tcMar>
            <w:vAlign w:val="center"/>
          </w:tcPr>
          <w:p>
            <w:pPr>
              <w:jc w:val="center"/>
              <w:rPr>
                <w:rFonts w:ascii="宋体" w:hAnsi="宋体" w:cs="宋体"/>
                <w:szCs w:val="21"/>
              </w:rPr>
            </w:pPr>
          </w:p>
        </w:tc>
      </w:tr>
    </w:tbl>
    <w:p>
      <w:pPr>
        <w:shd w:val="clear" w:color="auto" w:fill="FFFFFF"/>
        <w:spacing w:before="360" w:beforeLines="150" w:line="360" w:lineRule="auto"/>
        <w:ind w:left="675" w:right="675"/>
        <w:jc w:val="right"/>
        <w:rPr>
          <w:rFonts w:ascii="宋体" w:hAnsi="宋体" w:cs="宋体"/>
          <w:szCs w:val="21"/>
          <w:shd w:val="clear" w:color="auto" w:fill="FFFFFF"/>
          <w:lang w:bidi="ar"/>
        </w:rPr>
      </w:pPr>
      <w:r>
        <w:rPr>
          <w:rFonts w:hint="eastAsia" w:ascii="宋体" w:hAnsi="宋体" w:cs="宋体"/>
          <w:szCs w:val="21"/>
          <w:shd w:val="clear" w:color="auto" w:fill="FFFFFF"/>
          <w:lang w:bidi="ar"/>
        </w:rPr>
        <w:t>供应商名称：</w:t>
      </w:r>
      <w:r>
        <w:rPr>
          <w:rFonts w:hint="eastAsia" w:ascii="宋体" w:hAnsi="宋体" w:cs="宋体"/>
          <w:szCs w:val="21"/>
          <w:u w:val="single"/>
          <w:shd w:val="clear" w:color="auto" w:fill="FFFFFF"/>
          <w:lang w:bidi="ar"/>
        </w:rPr>
        <w:t xml:space="preserve"> </w:t>
      </w:r>
      <w:r>
        <w:rPr>
          <w:rFonts w:ascii="宋体" w:hAnsi="宋体" w:cs="宋体"/>
          <w:szCs w:val="21"/>
          <w:u w:val="single"/>
          <w:shd w:val="clear" w:color="auto" w:fill="FFFFFF"/>
          <w:lang w:bidi="ar"/>
        </w:rPr>
        <w:t xml:space="preserve">          </w:t>
      </w:r>
      <w:r>
        <w:rPr>
          <w:rFonts w:hint="eastAsia" w:ascii="宋体" w:hAnsi="宋体" w:cs="宋体"/>
          <w:szCs w:val="21"/>
          <w:shd w:val="clear" w:color="auto" w:fill="FFFFFF"/>
          <w:lang w:bidi="ar"/>
        </w:rPr>
        <w:t>（加盖公章）</w:t>
      </w:r>
    </w:p>
    <w:p>
      <w:pPr>
        <w:shd w:val="clear" w:color="auto" w:fill="FFFFFF"/>
        <w:spacing w:line="360" w:lineRule="auto"/>
        <w:ind w:left="672" w:right="1512"/>
        <w:jc w:val="center"/>
        <w:rPr>
          <w:rFonts w:ascii="宋体" w:hAnsi="宋体" w:cs="宋体"/>
          <w:szCs w:val="21"/>
          <w:shd w:val="clear" w:color="auto" w:fill="FFFFFF"/>
          <w:lang w:bidi="ar"/>
        </w:rPr>
      </w:pPr>
      <w:r>
        <w:rPr>
          <w:rFonts w:ascii="宋体" w:hAnsi="宋体" w:cs="宋体"/>
          <w:szCs w:val="21"/>
          <w:shd w:val="clear" w:color="auto" w:fill="FFFFFF"/>
          <w:lang w:bidi="ar"/>
        </w:rPr>
        <w:t xml:space="preserve">                                           </w:t>
      </w:r>
      <w:r>
        <w:rPr>
          <w:rFonts w:hint="eastAsia" w:ascii="宋体" w:hAnsi="宋体" w:cs="宋体"/>
          <w:szCs w:val="21"/>
          <w:shd w:val="clear" w:color="auto" w:fill="FFFFFF"/>
          <w:lang w:bidi="ar"/>
        </w:rPr>
        <w:t>____年____月___日</w:t>
      </w:r>
    </w:p>
    <w:p>
      <w:pPr>
        <w:widowControl/>
        <w:jc w:val="left"/>
        <w:rPr>
          <w:rFonts w:ascii="宋体" w:hAnsi="宋体" w:cs="宋体"/>
          <w:b/>
          <w:bCs/>
          <w:kern w:val="0"/>
          <w:sz w:val="38"/>
          <w:szCs w:val="38"/>
        </w:rPr>
      </w:pPr>
      <w:r>
        <w:rPr>
          <w:rFonts w:cs="宋体"/>
          <w:b/>
          <w:bCs/>
          <w:sz w:val="38"/>
          <w:szCs w:val="38"/>
        </w:rPr>
        <w:br w:type="page"/>
      </w:r>
    </w:p>
    <w:p>
      <w:pPr>
        <w:pStyle w:val="15"/>
        <w:spacing w:before="120" w:beforeLines="50" w:beforeAutospacing="0" w:after="0" w:afterAutospacing="0" w:line="360" w:lineRule="auto"/>
        <w:jc w:val="center"/>
        <w:outlineLvl w:val="1"/>
        <w:rPr>
          <w:rFonts w:cs="宋体"/>
          <w:b/>
          <w:bCs/>
          <w:sz w:val="38"/>
          <w:szCs w:val="38"/>
        </w:rPr>
      </w:pPr>
      <w:r>
        <w:rPr>
          <w:rFonts w:hint="eastAsia" w:cs="宋体"/>
          <w:b/>
          <w:bCs/>
          <w:sz w:val="38"/>
          <w:szCs w:val="38"/>
        </w:rPr>
        <w:t>中小企业声明函</w:t>
      </w:r>
    </w:p>
    <w:p>
      <w:pPr>
        <w:spacing w:before="240" w:beforeLines="100" w:line="360" w:lineRule="auto"/>
        <w:ind w:firstLine="444" w:firstLineChars="200"/>
        <w:rPr>
          <w:rFonts w:ascii="宋体" w:hAnsi="宋体"/>
          <w:spacing w:val="6"/>
          <w:szCs w:val="21"/>
        </w:rPr>
      </w:pPr>
      <w:r>
        <w:rPr>
          <w:rFonts w:ascii="宋体" w:hAnsi="宋体"/>
          <w:spacing w:val="6"/>
          <w:szCs w:val="21"/>
        </w:rPr>
        <w:t>本公司郑重声明，根据《政府采购促进中小企业发展管理办法》(财库〔2020〕46 号)的规定，本公司参加(</w:t>
      </w:r>
      <w:r>
        <w:rPr>
          <w:rFonts w:hint="eastAsia" w:ascii="宋体" w:hAnsi="宋体"/>
          <w:spacing w:val="6"/>
          <w:szCs w:val="21"/>
          <w:u w:val="single"/>
        </w:rPr>
        <w:t>采购人名称</w:t>
      </w:r>
      <w:r>
        <w:rPr>
          <w:rFonts w:ascii="宋体" w:hAnsi="宋体"/>
          <w:spacing w:val="6"/>
          <w:szCs w:val="21"/>
        </w:rPr>
        <w:t>)的(</w:t>
      </w:r>
      <w:r>
        <w:rPr>
          <w:rFonts w:hint="eastAsia" w:ascii="宋体" w:hAnsi="宋体"/>
          <w:spacing w:val="6"/>
          <w:szCs w:val="21"/>
          <w:u w:val="single"/>
        </w:rPr>
        <w:t>项目名称</w:t>
      </w:r>
      <w:r>
        <w:rPr>
          <w:rFonts w:ascii="宋体" w:hAnsi="宋体"/>
          <w:spacing w:val="6"/>
          <w:szCs w:val="21"/>
        </w:rPr>
        <w:t>)采购活动，服务全部由符合政策要求的中小企业承接。相关企业的具体情况如下:</w:t>
      </w:r>
    </w:p>
    <w:p>
      <w:pPr>
        <w:spacing w:line="360" w:lineRule="auto"/>
        <w:ind w:firstLine="444" w:firstLineChars="200"/>
        <w:rPr>
          <w:rFonts w:ascii="宋体" w:hAnsi="宋体"/>
          <w:spacing w:val="6"/>
          <w:szCs w:val="21"/>
        </w:rPr>
      </w:pPr>
      <w:r>
        <w:rPr>
          <w:rFonts w:ascii="宋体" w:hAnsi="宋体"/>
          <w:spacing w:val="6"/>
          <w:szCs w:val="21"/>
        </w:rPr>
        <w:t>1.(</w:t>
      </w:r>
      <w:r>
        <w:rPr>
          <w:rFonts w:ascii="宋体" w:hAnsi="宋体"/>
          <w:spacing w:val="6"/>
          <w:szCs w:val="21"/>
          <w:u w:val="single"/>
        </w:rPr>
        <w:t>标</w:t>
      </w:r>
      <w:r>
        <w:rPr>
          <w:rFonts w:hint="eastAsia" w:ascii="宋体" w:hAnsi="宋体"/>
          <w:spacing w:val="6"/>
          <w:szCs w:val="21"/>
          <w:u w:val="single"/>
        </w:rPr>
        <w:t xml:space="preserve"> </w:t>
      </w:r>
      <w:r>
        <w:rPr>
          <w:rFonts w:ascii="宋体" w:hAnsi="宋体"/>
          <w:spacing w:val="6"/>
          <w:szCs w:val="21"/>
          <w:u w:val="single"/>
        </w:rPr>
        <w:t>的</w:t>
      </w:r>
      <w:r>
        <w:rPr>
          <w:rFonts w:hint="eastAsia" w:ascii="宋体" w:hAnsi="宋体"/>
          <w:spacing w:val="6"/>
          <w:szCs w:val="21"/>
          <w:u w:val="single"/>
        </w:rPr>
        <w:t xml:space="preserve"> </w:t>
      </w:r>
      <w:r>
        <w:rPr>
          <w:rFonts w:ascii="宋体" w:hAnsi="宋体"/>
          <w:spacing w:val="6"/>
          <w:szCs w:val="21"/>
          <w:u w:val="single"/>
        </w:rPr>
        <w:t>名</w:t>
      </w:r>
      <w:r>
        <w:rPr>
          <w:rFonts w:hint="eastAsia" w:ascii="宋体" w:hAnsi="宋体"/>
          <w:spacing w:val="6"/>
          <w:szCs w:val="21"/>
          <w:u w:val="single"/>
        </w:rPr>
        <w:t xml:space="preserve"> </w:t>
      </w:r>
      <w:r>
        <w:rPr>
          <w:rFonts w:ascii="宋体" w:hAnsi="宋体"/>
          <w:spacing w:val="6"/>
          <w:szCs w:val="21"/>
          <w:u w:val="single"/>
        </w:rPr>
        <w:t>称</w:t>
      </w:r>
      <w:r>
        <w:rPr>
          <w:rFonts w:ascii="宋体" w:hAnsi="宋体"/>
          <w:spacing w:val="6"/>
          <w:szCs w:val="21"/>
        </w:rPr>
        <w:t>) ，属于(</w:t>
      </w:r>
      <w:r>
        <w:rPr>
          <w:rFonts w:ascii="宋体" w:hAnsi="宋体"/>
          <w:spacing w:val="6"/>
          <w:szCs w:val="21"/>
          <w:u w:val="single"/>
        </w:rPr>
        <w:t>采购文件中明确的所属行业</w:t>
      </w:r>
      <w:r>
        <w:rPr>
          <w:rFonts w:ascii="宋体" w:hAnsi="宋体"/>
          <w:spacing w:val="6"/>
          <w:szCs w:val="21"/>
        </w:rPr>
        <w:t>);承接企业为(</w:t>
      </w:r>
      <w:r>
        <w:rPr>
          <w:rFonts w:ascii="宋体" w:hAnsi="宋体"/>
          <w:spacing w:val="6"/>
          <w:szCs w:val="21"/>
          <w:u w:val="single"/>
        </w:rPr>
        <w:t>企</w:t>
      </w:r>
      <w:r>
        <w:rPr>
          <w:rFonts w:hint="eastAsia" w:ascii="宋体" w:hAnsi="宋体"/>
          <w:spacing w:val="6"/>
          <w:szCs w:val="21"/>
          <w:u w:val="single"/>
        </w:rPr>
        <w:t xml:space="preserve"> </w:t>
      </w:r>
      <w:r>
        <w:rPr>
          <w:rFonts w:ascii="宋体" w:hAnsi="宋体"/>
          <w:spacing w:val="6"/>
          <w:szCs w:val="21"/>
          <w:u w:val="single"/>
        </w:rPr>
        <w:t>业</w:t>
      </w:r>
      <w:r>
        <w:rPr>
          <w:rFonts w:hint="eastAsia" w:ascii="宋体" w:hAnsi="宋体"/>
          <w:spacing w:val="6"/>
          <w:szCs w:val="21"/>
          <w:u w:val="single"/>
        </w:rPr>
        <w:t xml:space="preserve"> </w:t>
      </w:r>
      <w:r>
        <w:rPr>
          <w:rFonts w:ascii="宋体" w:hAnsi="宋体"/>
          <w:spacing w:val="6"/>
          <w:szCs w:val="21"/>
          <w:u w:val="single"/>
        </w:rPr>
        <w:t>名</w:t>
      </w:r>
      <w:r>
        <w:rPr>
          <w:rFonts w:hint="eastAsia" w:ascii="宋体" w:hAnsi="宋体"/>
          <w:spacing w:val="6"/>
          <w:szCs w:val="21"/>
          <w:u w:val="single"/>
        </w:rPr>
        <w:t xml:space="preserve"> </w:t>
      </w:r>
      <w:r>
        <w:rPr>
          <w:rFonts w:ascii="宋体" w:hAnsi="宋体"/>
          <w:spacing w:val="6"/>
          <w:szCs w:val="21"/>
          <w:u w:val="single"/>
        </w:rPr>
        <w:t>称</w:t>
      </w:r>
      <w:r>
        <w:rPr>
          <w:rFonts w:ascii="宋体" w:hAnsi="宋体"/>
          <w:spacing w:val="6"/>
          <w:szCs w:val="21"/>
        </w:rPr>
        <w:t>)，从业人员</w:t>
      </w:r>
      <w:r>
        <w:rPr>
          <w:rFonts w:hint="eastAsia" w:ascii="宋体" w:hAnsi="宋体"/>
          <w:spacing w:val="6"/>
          <w:szCs w:val="21"/>
          <w:u w:val="single"/>
        </w:rPr>
        <w:t xml:space="preserve">     </w:t>
      </w:r>
      <w:r>
        <w:rPr>
          <w:rFonts w:ascii="宋体" w:hAnsi="宋体"/>
          <w:spacing w:val="6"/>
          <w:szCs w:val="21"/>
        </w:rPr>
        <w:t>人，营业收入为</w:t>
      </w:r>
      <w:r>
        <w:rPr>
          <w:rFonts w:hint="eastAsia" w:ascii="宋体" w:hAnsi="宋体"/>
          <w:spacing w:val="6"/>
          <w:szCs w:val="21"/>
          <w:u w:val="single"/>
        </w:rPr>
        <w:t xml:space="preserve">          </w:t>
      </w:r>
      <w:r>
        <w:rPr>
          <w:rFonts w:ascii="宋体" w:hAnsi="宋体"/>
          <w:spacing w:val="6"/>
          <w:szCs w:val="21"/>
        </w:rPr>
        <w:t>万元，资产总额为</w:t>
      </w:r>
      <w:r>
        <w:rPr>
          <w:rFonts w:hint="eastAsia" w:ascii="宋体" w:hAnsi="宋体"/>
          <w:spacing w:val="6"/>
          <w:szCs w:val="21"/>
          <w:u w:val="single"/>
        </w:rPr>
        <w:t xml:space="preserve">         </w:t>
      </w:r>
      <w:r>
        <w:rPr>
          <w:rFonts w:ascii="宋体" w:hAnsi="宋体"/>
          <w:spacing w:val="6"/>
          <w:szCs w:val="21"/>
        </w:rPr>
        <w:t>万元，属于(中型企业、小型企业、微型企业);</w:t>
      </w:r>
    </w:p>
    <w:p>
      <w:pPr>
        <w:spacing w:line="360" w:lineRule="auto"/>
        <w:ind w:firstLine="444" w:firstLineChars="200"/>
        <w:rPr>
          <w:rFonts w:ascii="宋体" w:hAnsi="宋体"/>
          <w:spacing w:val="6"/>
          <w:szCs w:val="21"/>
        </w:rPr>
      </w:pPr>
      <w:r>
        <w:rPr>
          <w:rFonts w:hint="eastAsia" w:ascii="宋体" w:hAnsi="宋体"/>
          <w:spacing w:val="6"/>
          <w:szCs w:val="21"/>
        </w:rPr>
        <w:t>2</w:t>
      </w:r>
      <w:r>
        <w:rPr>
          <w:rFonts w:ascii="宋体" w:hAnsi="宋体"/>
          <w:spacing w:val="6"/>
          <w:szCs w:val="21"/>
        </w:rPr>
        <w:t>.(</w:t>
      </w:r>
      <w:r>
        <w:rPr>
          <w:rFonts w:ascii="宋体" w:hAnsi="宋体"/>
          <w:spacing w:val="6"/>
          <w:szCs w:val="21"/>
          <w:u w:val="single"/>
        </w:rPr>
        <w:t>标</w:t>
      </w:r>
      <w:r>
        <w:rPr>
          <w:rFonts w:hint="eastAsia" w:ascii="宋体" w:hAnsi="宋体"/>
          <w:spacing w:val="6"/>
          <w:szCs w:val="21"/>
          <w:u w:val="single"/>
        </w:rPr>
        <w:t xml:space="preserve"> </w:t>
      </w:r>
      <w:r>
        <w:rPr>
          <w:rFonts w:ascii="宋体" w:hAnsi="宋体"/>
          <w:spacing w:val="6"/>
          <w:szCs w:val="21"/>
          <w:u w:val="single"/>
        </w:rPr>
        <w:t>的</w:t>
      </w:r>
      <w:r>
        <w:rPr>
          <w:rFonts w:hint="eastAsia" w:ascii="宋体" w:hAnsi="宋体"/>
          <w:spacing w:val="6"/>
          <w:szCs w:val="21"/>
          <w:u w:val="single"/>
        </w:rPr>
        <w:t xml:space="preserve"> </w:t>
      </w:r>
      <w:r>
        <w:rPr>
          <w:rFonts w:ascii="宋体" w:hAnsi="宋体"/>
          <w:spacing w:val="6"/>
          <w:szCs w:val="21"/>
          <w:u w:val="single"/>
        </w:rPr>
        <w:t>名</w:t>
      </w:r>
      <w:r>
        <w:rPr>
          <w:rFonts w:hint="eastAsia" w:ascii="宋体" w:hAnsi="宋体"/>
          <w:spacing w:val="6"/>
          <w:szCs w:val="21"/>
          <w:u w:val="single"/>
        </w:rPr>
        <w:t xml:space="preserve"> </w:t>
      </w:r>
      <w:r>
        <w:rPr>
          <w:rFonts w:ascii="宋体" w:hAnsi="宋体"/>
          <w:spacing w:val="6"/>
          <w:szCs w:val="21"/>
          <w:u w:val="single"/>
        </w:rPr>
        <w:t>称</w:t>
      </w:r>
      <w:r>
        <w:rPr>
          <w:rFonts w:ascii="宋体" w:hAnsi="宋体"/>
          <w:spacing w:val="6"/>
          <w:szCs w:val="21"/>
        </w:rPr>
        <w:t>) ，属于(</w:t>
      </w:r>
      <w:r>
        <w:rPr>
          <w:rFonts w:ascii="宋体" w:hAnsi="宋体"/>
          <w:spacing w:val="6"/>
          <w:szCs w:val="21"/>
          <w:u w:val="single"/>
        </w:rPr>
        <w:t>采购文件中明确的所属行业</w:t>
      </w:r>
      <w:r>
        <w:rPr>
          <w:rFonts w:ascii="宋体" w:hAnsi="宋体"/>
          <w:spacing w:val="6"/>
          <w:szCs w:val="21"/>
        </w:rPr>
        <w:t>);承接企业为(</w:t>
      </w:r>
      <w:r>
        <w:rPr>
          <w:rFonts w:ascii="宋体" w:hAnsi="宋体"/>
          <w:spacing w:val="6"/>
          <w:szCs w:val="21"/>
          <w:u w:val="single"/>
        </w:rPr>
        <w:t>企</w:t>
      </w:r>
      <w:r>
        <w:rPr>
          <w:rFonts w:hint="eastAsia" w:ascii="宋体" w:hAnsi="宋体"/>
          <w:spacing w:val="6"/>
          <w:szCs w:val="21"/>
          <w:u w:val="single"/>
        </w:rPr>
        <w:t xml:space="preserve"> </w:t>
      </w:r>
      <w:r>
        <w:rPr>
          <w:rFonts w:ascii="宋体" w:hAnsi="宋体"/>
          <w:spacing w:val="6"/>
          <w:szCs w:val="21"/>
          <w:u w:val="single"/>
        </w:rPr>
        <w:t>业</w:t>
      </w:r>
      <w:r>
        <w:rPr>
          <w:rFonts w:hint="eastAsia" w:ascii="宋体" w:hAnsi="宋体"/>
          <w:spacing w:val="6"/>
          <w:szCs w:val="21"/>
          <w:u w:val="single"/>
        </w:rPr>
        <w:t xml:space="preserve"> </w:t>
      </w:r>
      <w:r>
        <w:rPr>
          <w:rFonts w:ascii="宋体" w:hAnsi="宋体"/>
          <w:spacing w:val="6"/>
          <w:szCs w:val="21"/>
          <w:u w:val="single"/>
        </w:rPr>
        <w:t>名</w:t>
      </w:r>
      <w:r>
        <w:rPr>
          <w:rFonts w:hint="eastAsia" w:ascii="宋体" w:hAnsi="宋体"/>
          <w:spacing w:val="6"/>
          <w:szCs w:val="21"/>
          <w:u w:val="single"/>
        </w:rPr>
        <w:t xml:space="preserve"> </w:t>
      </w:r>
      <w:r>
        <w:rPr>
          <w:rFonts w:ascii="宋体" w:hAnsi="宋体"/>
          <w:spacing w:val="6"/>
          <w:szCs w:val="21"/>
          <w:u w:val="single"/>
        </w:rPr>
        <w:t>称</w:t>
      </w:r>
      <w:r>
        <w:rPr>
          <w:rFonts w:ascii="宋体" w:hAnsi="宋体"/>
          <w:spacing w:val="6"/>
          <w:szCs w:val="21"/>
        </w:rPr>
        <w:t>)，从业人员</w:t>
      </w:r>
      <w:r>
        <w:rPr>
          <w:rFonts w:hint="eastAsia" w:ascii="宋体" w:hAnsi="宋体"/>
          <w:spacing w:val="6"/>
          <w:szCs w:val="21"/>
          <w:u w:val="single"/>
        </w:rPr>
        <w:t xml:space="preserve">     </w:t>
      </w:r>
      <w:r>
        <w:rPr>
          <w:rFonts w:ascii="宋体" w:hAnsi="宋体"/>
          <w:spacing w:val="6"/>
          <w:szCs w:val="21"/>
        </w:rPr>
        <w:t>人，营业收入为</w:t>
      </w:r>
      <w:r>
        <w:rPr>
          <w:rFonts w:hint="eastAsia" w:ascii="宋体" w:hAnsi="宋体"/>
          <w:spacing w:val="6"/>
          <w:szCs w:val="21"/>
          <w:u w:val="single"/>
        </w:rPr>
        <w:t xml:space="preserve">       </w:t>
      </w:r>
      <w:r>
        <w:rPr>
          <w:rFonts w:ascii="宋体" w:hAnsi="宋体"/>
          <w:spacing w:val="6"/>
          <w:szCs w:val="21"/>
        </w:rPr>
        <w:t>万元，资产总额为</w:t>
      </w:r>
      <w:r>
        <w:rPr>
          <w:rFonts w:hint="eastAsia" w:ascii="宋体" w:hAnsi="宋体"/>
          <w:spacing w:val="6"/>
          <w:szCs w:val="21"/>
          <w:u w:val="single"/>
        </w:rPr>
        <w:t xml:space="preserve">       </w:t>
      </w:r>
      <w:r>
        <w:rPr>
          <w:rFonts w:ascii="宋体" w:hAnsi="宋体"/>
          <w:spacing w:val="6"/>
          <w:szCs w:val="21"/>
        </w:rPr>
        <w:t>万元，属于(中型企业、小型企业、微型企业);</w:t>
      </w:r>
    </w:p>
    <w:p>
      <w:pPr>
        <w:spacing w:line="360" w:lineRule="auto"/>
        <w:ind w:firstLine="444" w:firstLineChars="200"/>
        <w:rPr>
          <w:rFonts w:ascii="宋体" w:hAnsi="宋体"/>
          <w:spacing w:val="6"/>
          <w:szCs w:val="21"/>
        </w:rPr>
      </w:pPr>
      <w:r>
        <w:rPr>
          <w:rFonts w:ascii="宋体" w:hAnsi="宋体"/>
          <w:spacing w:val="6"/>
          <w:szCs w:val="21"/>
        </w:rPr>
        <w:t>......</w:t>
      </w:r>
    </w:p>
    <w:p>
      <w:pPr>
        <w:spacing w:line="360" w:lineRule="auto"/>
        <w:ind w:firstLine="444" w:firstLineChars="200"/>
        <w:rPr>
          <w:rFonts w:ascii="宋体" w:hAnsi="宋体"/>
          <w:spacing w:val="6"/>
          <w:szCs w:val="21"/>
        </w:rPr>
      </w:pPr>
      <w:r>
        <w:rPr>
          <w:rFonts w:ascii="宋体" w:hAnsi="宋体"/>
          <w:spacing w:val="6"/>
          <w:szCs w:val="21"/>
        </w:rPr>
        <w:t>以上企业，不属于大企业的分支机构，不存在控股股东为大企业的情形，也不存在与大企业的负责人为同一人的情形。</w:t>
      </w:r>
    </w:p>
    <w:p>
      <w:pPr>
        <w:spacing w:before="480" w:beforeLines="200" w:line="360" w:lineRule="auto"/>
        <w:ind w:firstLine="444" w:firstLineChars="200"/>
        <w:rPr>
          <w:rFonts w:ascii="宋体" w:hAnsi="宋体"/>
          <w:spacing w:val="6"/>
          <w:szCs w:val="21"/>
        </w:rPr>
      </w:pPr>
      <w:r>
        <w:rPr>
          <w:rFonts w:ascii="宋体" w:hAnsi="宋体"/>
          <w:spacing w:val="6"/>
          <w:szCs w:val="21"/>
        </w:rPr>
        <w:t>本企业对上述声明内容的真实性负责。如有虚假，将依法承担相应责任。</w:t>
      </w:r>
    </w:p>
    <w:p>
      <w:pPr>
        <w:spacing w:before="480" w:beforeLines="200" w:line="360" w:lineRule="auto"/>
        <w:ind w:firstLine="444" w:firstLineChars="200"/>
        <w:rPr>
          <w:rFonts w:ascii="宋体" w:hAnsi="宋体"/>
          <w:spacing w:val="6"/>
          <w:szCs w:val="21"/>
        </w:rPr>
      </w:pPr>
      <w:r>
        <w:rPr>
          <w:rFonts w:hint="eastAsia" w:ascii="宋体" w:hAnsi="宋体"/>
          <w:spacing w:val="6"/>
          <w:szCs w:val="21"/>
        </w:rPr>
        <w:t>供应商名称</w:t>
      </w:r>
      <w:r>
        <w:rPr>
          <w:rFonts w:ascii="宋体" w:hAnsi="宋体"/>
          <w:spacing w:val="6"/>
          <w:szCs w:val="21"/>
        </w:rPr>
        <w:t>：</w:t>
      </w:r>
      <w:r>
        <w:rPr>
          <w:rFonts w:hint="eastAsia" w:ascii="宋体" w:hAnsi="宋体"/>
          <w:spacing w:val="6"/>
          <w:szCs w:val="21"/>
          <w:u w:val="single"/>
        </w:rPr>
        <w:t xml:space="preserve">                         </w:t>
      </w:r>
      <w:r>
        <w:rPr>
          <w:rFonts w:ascii="宋体" w:hAnsi="宋体"/>
          <w:spacing w:val="6"/>
          <w:szCs w:val="21"/>
        </w:rPr>
        <w:t xml:space="preserve">(盖单位章) </w:t>
      </w:r>
    </w:p>
    <w:p>
      <w:pPr>
        <w:spacing w:line="360" w:lineRule="auto"/>
        <w:ind w:firstLine="444" w:firstLineChars="200"/>
        <w:rPr>
          <w:rFonts w:ascii="宋体" w:hAnsi="宋体"/>
          <w:spacing w:val="6"/>
          <w:szCs w:val="21"/>
        </w:rPr>
      </w:pPr>
    </w:p>
    <w:p>
      <w:pPr>
        <w:spacing w:line="360" w:lineRule="auto"/>
        <w:ind w:firstLine="444" w:firstLineChars="200"/>
        <w:rPr>
          <w:rFonts w:ascii="宋体" w:hAnsi="宋体"/>
          <w:spacing w:val="6"/>
          <w:szCs w:val="21"/>
          <w:u w:val="single"/>
        </w:rPr>
      </w:pPr>
      <w:r>
        <w:rPr>
          <w:rFonts w:ascii="宋体" w:hAnsi="宋体"/>
          <w:spacing w:val="6"/>
          <w:szCs w:val="21"/>
        </w:rPr>
        <w:t>日</w:t>
      </w:r>
      <w:r>
        <w:rPr>
          <w:rFonts w:hint="eastAsia" w:ascii="宋体" w:hAnsi="宋体"/>
          <w:spacing w:val="6"/>
          <w:szCs w:val="21"/>
        </w:rPr>
        <w:t xml:space="preserve">    </w:t>
      </w:r>
      <w:r>
        <w:rPr>
          <w:rFonts w:ascii="宋体" w:hAnsi="宋体"/>
          <w:spacing w:val="6"/>
          <w:szCs w:val="21"/>
        </w:rPr>
        <w:t>期:</w:t>
      </w:r>
      <w:r>
        <w:rPr>
          <w:rFonts w:hint="eastAsia" w:ascii="宋体" w:hAnsi="宋体"/>
          <w:spacing w:val="6"/>
          <w:szCs w:val="21"/>
          <w:u w:val="single"/>
        </w:rPr>
        <w:t xml:space="preserve">    </w:t>
      </w:r>
      <w:r>
        <w:rPr>
          <w:rFonts w:hint="eastAsia" w:ascii="宋体" w:hAnsi="宋体"/>
          <w:spacing w:val="6"/>
          <w:szCs w:val="21"/>
        </w:rPr>
        <w:t xml:space="preserve"> 年 </w:t>
      </w:r>
      <w:r>
        <w:rPr>
          <w:rFonts w:hint="eastAsia" w:ascii="宋体" w:hAnsi="宋体"/>
          <w:spacing w:val="6"/>
          <w:szCs w:val="21"/>
          <w:u w:val="single"/>
        </w:rPr>
        <w:t xml:space="preserve">   </w:t>
      </w:r>
      <w:r>
        <w:rPr>
          <w:rFonts w:hint="eastAsia" w:ascii="宋体" w:hAnsi="宋体"/>
          <w:spacing w:val="6"/>
          <w:szCs w:val="21"/>
        </w:rPr>
        <w:t>月</w:t>
      </w:r>
      <w:r>
        <w:rPr>
          <w:rFonts w:hint="eastAsia" w:ascii="宋体" w:hAnsi="宋体"/>
          <w:spacing w:val="6"/>
          <w:szCs w:val="21"/>
          <w:u w:val="single"/>
        </w:rPr>
        <w:t xml:space="preserve">    </w:t>
      </w:r>
      <w:r>
        <w:rPr>
          <w:rFonts w:hint="eastAsia" w:ascii="宋体" w:hAnsi="宋体"/>
          <w:spacing w:val="6"/>
          <w:szCs w:val="21"/>
        </w:rPr>
        <w:t>日</w:t>
      </w:r>
    </w:p>
    <w:p>
      <w:pPr>
        <w:pStyle w:val="10"/>
        <w:adjustRightInd w:val="0"/>
        <w:snapToGrid w:val="0"/>
        <w:spacing w:line="360" w:lineRule="auto"/>
        <w:ind w:firstLine="105" w:firstLineChars="50"/>
        <w:rPr>
          <w:rFonts w:ascii="楷体" w:hAnsi="楷体" w:eastAsia="楷体"/>
        </w:rPr>
      </w:pPr>
    </w:p>
    <w:p>
      <w:pPr>
        <w:rPr>
          <w:rFonts w:ascii="仿宋" w:hAnsi="仿宋" w:eastAsia="仿宋"/>
          <w:spacing w:val="15"/>
          <w:sz w:val="18"/>
          <w:szCs w:val="18"/>
          <w:shd w:val="clear" w:color="auto" w:fill="FFFFFF"/>
        </w:rPr>
      </w:pPr>
    </w:p>
    <w:p>
      <w:pPr>
        <w:adjustRightInd w:val="0"/>
        <w:snapToGrid w:val="0"/>
        <w:rPr>
          <w:rFonts w:ascii="楷体" w:hAnsi="楷体" w:eastAsia="楷体"/>
          <w:szCs w:val="21"/>
        </w:rPr>
      </w:pPr>
    </w:p>
    <w:p>
      <w:pPr>
        <w:adjustRightInd w:val="0"/>
        <w:snapToGrid w:val="0"/>
        <w:rPr>
          <w:rFonts w:ascii="楷体" w:hAnsi="楷体" w:eastAsia="楷体"/>
          <w:szCs w:val="21"/>
        </w:rPr>
      </w:pPr>
      <w:r>
        <w:rPr>
          <w:rFonts w:hint="eastAsia" w:ascii="楷体" w:hAnsi="楷体" w:eastAsia="楷体"/>
          <w:szCs w:val="21"/>
        </w:rPr>
        <w:t>说明：（1）填报前请认真阅读《中小企业划型标准规定》（工信部联企业〔2011〕300号）、《金融业企业划型标准规定》（银发〔2015〕309号）和《政府采购促进中小企业发展管理办法》(财库〔2020〕46号)相关规定。</w:t>
      </w:r>
    </w:p>
    <w:p>
      <w:pPr>
        <w:adjustRightInd w:val="0"/>
        <w:snapToGrid w:val="0"/>
        <w:ind w:firstLine="420" w:firstLineChars="200"/>
        <w:rPr>
          <w:rFonts w:ascii="楷体" w:hAnsi="楷体" w:eastAsia="楷体"/>
          <w:szCs w:val="21"/>
        </w:rPr>
      </w:pPr>
      <w:r>
        <w:rPr>
          <w:rFonts w:ascii="楷体" w:hAnsi="楷体" w:eastAsia="楷体"/>
          <w:szCs w:val="21"/>
        </w:rPr>
        <w:t>（</w:t>
      </w:r>
      <w:r>
        <w:rPr>
          <w:rFonts w:hint="eastAsia" w:ascii="楷体" w:hAnsi="楷体" w:eastAsia="楷体"/>
          <w:szCs w:val="21"/>
        </w:rPr>
        <w:t>2</w:t>
      </w:r>
      <w:r>
        <w:rPr>
          <w:rFonts w:ascii="楷体" w:hAnsi="楷体" w:eastAsia="楷体"/>
          <w:szCs w:val="21"/>
        </w:rPr>
        <w:t>）从业人员、营业收入、资产总额填报上一年度数据，无上一年度数据的新成立企业可不填报。响应文件其他地方与《中小企业声明函》数据不一致的，以《中小企业声明函》为准。</w:t>
      </w:r>
      <w:r>
        <w:rPr>
          <w:rFonts w:hint="eastAsia" w:ascii="楷体" w:hAnsi="楷体" w:eastAsia="楷体"/>
          <w:szCs w:val="21"/>
        </w:rPr>
        <w:t>残疾人福利单位或监狱企业承接服务的视同小微企业，填报时应当注明。</w:t>
      </w:r>
    </w:p>
    <w:p>
      <w:pPr>
        <w:adjustRightInd w:val="0"/>
        <w:snapToGrid w:val="0"/>
        <w:ind w:firstLine="420" w:firstLineChars="200"/>
        <w:rPr>
          <w:rFonts w:ascii="楷体" w:hAnsi="楷体" w:eastAsia="楷体"/>
          <w:szCs w:val="21"/>
        </w:rPr>
      </w:pPr>
      <w:r>
        <w:rPr>
          <w:rFonts w:ascii="楷体" w:hAnsi="楷体" w:eastAsia="楷体"/>
          <w:szCs w:val="21"/>
        </w:rPr>
        <w:t>（3）</w:t>
      </w:r>
      <w:r>
        <w:rPr>
          <w:rFonts w:hint="eastAsia" w:ascii="楷体" w:hAnsi="楷体" w:eastAsia="楷体"/>
          <w:szCs w:val="21"/>
        </w:rPr>
        <w:t>供应商符合享受小微企业政府采购优惠政策条件的，必须填报服务商的全部数据，</w:t>
      </w:r>
      <w:r>
        <w:rPr>
          <w:rFonts w:hint="eastAsia" w:ascii="楷体" w:hAnsi="楷体" w:eastAsia="楷体"/>
          <w:bCs/>
          <w:szCs w:val="21"/>
        </w:rPr>
        <w:t>未按要求提供、</w:t>
      </w:r>
      <w:r>
        <w:rPr>
          <w:rFonts w:hint="eastAsia" w:ascii="楷体" w:hAnsi="楷体" w:eastAsia="楷体"/>
          <w:szCs w:val="21"/>
        </w:rPr>
        <w:t>填报</w:t>
      </w:r>
      <w:r>
        <w:rPr>
          <w:rFonts w:hint="eastAsia" w:ascii="楷体" w:hAnsi="楷体" w:eastAsia="楷体"/>
          <w:bCs/>
          <w:szCs w:val="21"/>
        </w:rPr>
        <w:t>的，不享受报价扣除优惠政策</w:t>
      </w:r>
      <w:r>
        <w:rPr>
          <w:rFonts w:hint="eastAsia" w:ascii="楷体" w:hAnsi="楷体" w:eastAsia="楷体"/>
          <w:szCs w:val="21"/>
        </w:rPr>
        <w:t>。</w:t>
      </w:r>
    </w:p>
    <w:p>
      <w:pPr>
        <w:widowControl/>
        <w:jc w:val="left"/>
        <w:rPr>
          <w:rFonts w:ascii="宋体" w:hAnsi="宋体" w:cs="宋体"/>
          <w:sz w:val="24"/>
        </w:rPr>
      </w:pPr>
      <w:r>
        <w:rPr>
          <w:rFonts w:ascii="宋体" w:hAnsi="宋体" w:cs="宋体"/>
          <w:sz w:val="24"/>
        </w:rPr>
        <w:br w:type="page"/>
      </w:r>
    </w:p>
    <w:p>
      <w:pPr>
        <w:adjustRightInd w:val="0"/>
        <w:snapToGrid w:val="0"/>
        <w:spacing w:line="360" w:lineRule="auto"/>
        <w:rPr>
          <w:rFonts w:ascii="楷体" w:hAnsi="楷体" w:eastAsia="楷体"/>
          <w:b/>
          <w:color w:val="000000"/>
          <w:szCs w:val="21"/>
        </w:rPr>
      </w:pPr>
      <w:r>
        <w:rPr>
          <w:rFonts w:hint="eastAsia" w:ascii="楷体" w:hAnsi="楷体" w:eastAsia="楷体"/>
          <w:b/>
          <w:color w:val="000000"/>
          <w:szCs w:val="21"/>
        </w:rPr>
        <w:t>注：</w:t>
      </w:r>
    </w:p>
    <w:p>
      <w:pPr>
        <w:adjustRightInd w:val="0"/>
        <w:snapToGrid w:val="0"/>
        <w:spacing w:line="324" w:lineRule="auto"/>
        <w:ind w:firstLine="420" w:firstLineChars="200"/>
        <w:rPr>
          <w:rFonts w:ascii="楷体" w:hAnsi="楷体" w:eastAsia="楷体"/>
          <w:color w:val="000000"/>
          <w:szCs w:val="21"/>
        </w:rPr>
      </w:pPr>
      <w:r>
        <w:rPr>
          <w:rFonts w:hint="eastAsia" w:ascii="楷体" w:hAnsi="楷体" w:eastAsia="楷体"/>
          <w:color w:val="000000"/>
          <w:szCs w:val="21"/>
        </w:rPr>
        <w:t>1</w:t>
      </w:r>
      <w:r>
        <w:rPr>
          <w:rFonts w:ascii="楷体" w:hAnsi="楷体" w:eastAsia="楷体"/>
          <w:color w:val="000000"/>
          <w:szCs w:val="21"/>
        </w:rPr>
        <w:t>.</w:t>
      </w:r>
      <w:r>
        <w:rPr>
          <w:rFonts w:hint="eastAsia" w:ascii="楷体" w:hAnsi="楷体" w:eastAsia="楷体"/>
          <w:color w:val="000000"/>
          <w:szCs w:val="21"/>
        </w:rPr>
        <w:t>本项目标的所属行业为</w:t>
      </w:r>
      <w:r>
        <w:rPr>
          <w:rFonts w:hint="eastAsia" w:ascii="楷体" w:hAnsi="楷体" w:eastAsia="楷体"/>
          <w:color w:val="000000" w:themeColor="text1"/>
          <w:szCs w:val="21"/>
          <w:highlight w:val="none"/>
          <w:u w:val="single"/>
          <w14:textFill>
            <w14:solidFill>
              <w14:schemeClr w14:val="tx1"/>
            </w14:solidFill>
          </w14:textFill>
        </w:rPr>
        <w:t>电信服务业</w:t>
      </w:r>
      <w:r>
        <w:rPr>
          <w:rFonts w:hint="eastAsia" w:ascii="楷体" w:hAnsi="楷体" w:eastAsia="楷体"/>
          <w:color w:val="000000"/>
          <w:szCs w:val="21"/>
        </w:rPr>
        <w:t>，评审时以供应商《中小企业声明函》中列明的所属行业为准，供应商可根据《中小企业划型标准规定》（工信部联企业〔2011〕300号）和《政府采购促进中小企业发展管理办法》(财库〔2020〕46号)相关规定确认标的信息所属行业。</w:t>
      </w:r>
    </w:p>
    <w:p>
      <w:pPr>
        <w:adjustRightInd w:val="0"/>
        <w:snapToGrid w:val="0"/>
        <w:spacing w:line="324" w:lineRule="auto"/>
        <w:ind w:firstLine="420" w:firstLineChars="200"/>
        <w:rPr>
          <w:rFonts w:ascii="楷体" w:hAnsi="楷体" w:eastAsia="楷体"/>
          <w:color w:val="000000"/>
          <w:szCs w:val="21"/>
        </w:rPr>
      </w:pPr>
      <w:r>
        <w:rPr>
          <w:rFonts w:ascii="楷体" w:hAnsi="楷体" w:eastAsia="楷体"/>
          <w:color w:val="000000"/>
          <w:szCs w:val="21"/>
        </w:rPr>
        <w:t>2.</w:t>
      </w:r>
      <w:r>
        <w:rPr>
          <w:rFonts w:hint="eastAsia" w:ascii="楷体" w:hAnsi="楷体" w:eastAsia="楷体"/>
          <w:color w:val="000000"/>
          <w:szCs w:val="21"/>
        </w:rPr>
        <w:t>各行业划型标准，仅供参考：</w:t>
      </w:r>
    </w:p>
    <w:p>
      <w:pPr>
        <w:adjustRightInd w:val="0"/>
        <w:snapToGrid w:val="0"/>
        <w:spacing w:line="324" w:lineRule="auto"/>
        <w:ind w:firstLine="420" w:firstLineChars="200"/>
        <w:rPr>
          <w:rFonts w:ascii="楷体" w:hAnsi="楷体" w:eastAsia="楷体"/>
          <w:color w:val="000000"/>
          <w:szCs w:val="21"/>
        </w:rPr>
      </w:pPr>
      <w:r>
        <w:rPr>
          <w:rFonts w:hint="eastAsia" w:ascii="楷体" w:hAnsi="楷体" w:eastAsia="楷体"/>
          <w:color w:val="000000"/>
          <w:szCs w:val="21"/>
        </w:rPr>
        <w:t>（一）农、林、牧、渔业。营业收入20000万元以下的为中小微型企业。其中，营业收入500万元及以上的为中型企业，营业收入50万元及以上的为小型企业，营业收入50万元以下的为微型企业。</w:t>
      </w:r>
    </w:p>
    <w:p>
      <w:pPr>
        <w:adjustRightInd w:val="0"/>
        <w:snapToGrid w:val="0"/>
        <w:spacing w:line="324" w:lineRule="auto"/>
        <w:ind w:firstLine="420" w:firstLineChars="200"/>
        <w:rPr>
          <w:rFonts w:ascii="楷体" w:hAnsi="楷体" w:eastAsia="楷体"/>
          <w:color w:val="000000"/>
          <w:szCs w:val="21"/>
        </w:rPr>
      </w:pPr>
      <w:r>
        <w:rPr>
          <w:rFonts w:hint="eastAsia" w:ascii="楷体" w:hAnsi="楷体" w:eastAsia="楷体"/>
          <w:color w:val="000000"/>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324" w:lineRule="auto"/>
        <w:ind w:firstLine="420" w:firstLineChars="200"/>
        <w:rPr>
          <w:rFonts w:ascii="楷体" w:hAnsi="楷体" w:eastAsia="楷体"/>
          <w:color w:val="000000"/>
          <w:szCs w:val="21"/>
        </w:rPr>
      </w:pPr>
      <w:r>
        <w:rPr>
          <w:rFonts w:hint="eastAsia" w:ascii="楷体" w:hAnsi="楷体" w:eastAsia="楷体"/>
          <w:color w:val="00000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adjustRightInd w:val="0"/>
        <w:snapToGrid w:val="0"/>
        <w:spacing w:line="324" w:lineRule="auto"/>
        <w:ind w:firstLine="420" w:firstLineChars="200"/>
        <w:rPr>
          <w:rFonts w:ascii="楷体" w:hAnsi="楷体" w:eastAsia="楷体"/>
          <w:color w:val="000000"/>
          <w:szCs w:val="21"/>
        </w:rPr>
      </w:pPr>
      <w:r>
        <w:rPr>
          <w:rFonts w:hint="eastAsia" w:ascii="楷体" w:hAnsi="楷体" w:eastAsia="楷体"/>
          <w:color w:val="000000"/>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adjustRightInd w:val="0"/>
        <w:snapToGrid w:val="0"/>
        <w:spacing w:line="324" w:lineRule="auto"/>
        <w:ind w:firstLine="420" w:firstLineChars="200"/>
        <w:rPr>
          <w:rFonts w:ascii="楷体" w:hAnsi="楷体" w:eastAsia="楷体"/>
          <w:color w:val="000000"/>
          <w:szCs w:val="21"/>
        </w:rPr>
      </w:pPr>
      <w:r>
        <w:rPr>
          <w:rFonts w:hint="eastAsia" w:ascii="楷体" w:hAnsi="楷体" w:eastAsia="楷体"/>
          <w:color w:val="00000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adjustRightInd w:val="0"/>
        <w:snapToGrid w:val="0"/>
        <w:spacing w:line="324" w:lineRule="auto"/>
        <w:ind w:firstLine="420" w:firstLineChars="200"/>
        <w:rPr>
          <w:rFonts w:ascii="楷体" w:hAnsi="楷体" w:eastAsia="楷体"/>
          <w:color w:val="000000"/>
          <w:szCs w:val="21"/>
        </w:rPr>
      </w:pPr>
      <w:r>
        <w:rPr>
          <w:rFonts w:hint="eastAsia" w:ascii="楷体" w:hAnsi="楷体" w:eastAsia="楷体"/>
          <w:color w:val="00000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adjustRightInd w:val="0"/>
        <w:snapToGrid w:val="0"/>
        <w:spacing w:line="324" w:lineRule="auto"/>
        <w:ind w:firstLine="420" w:firstLineChars="200"/>
        <w:rPr>
          <w:rFonts w:ascii="楷体" w:hAnsi="楷体" w:eastAsia="楷体"/>
          <w:color w:val="000000"/>
          <w:szCs w:val="21"/>
        </w:rPr>
      </w:pPr>
      <w:r>
        <w:rPr>
          <w:rFonts w:hint="eastAsia" w:ascii="楷体" w:hAnsi="楷体" w:eastAsia="楷体"/>
          <w:color w:val="00000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adjustRightInd w:val="0"/>
        <w:snapToGrid w:val="0"/>
        <w:spacing w:line="324" w:lineRule="auto"/>
        <w:ind w:firstLine="420" w:firstLineChars="200"/>
        <w:rPr>
          <w:rFonts w:ascii="楷体" w:hAnsi="楷体" w:eastAsia="楷体"/>
          <w:color w:val="000000"/>
          <w:szCs w:val="21"/>
        </w:rPr>
      </w:pPr>
      <w:r>
        <w:rPr>
          <w:rFonts w:hint="eastAsia" w:ascii="楷体" w:hAnsi="楷体" w:eastAsia="楷体"/>
          <w:color w:val="00000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adjustRightInd w:val="0"/>
        <w:snapToGrid w:val="0"/>
        <w:spacing w:line="324" w:lineRule="auto"/>
        <w:ind w:firstLine="420" w:firstLineChars="200"/>
        <w:rPr>
          <w:rFonts w:ascii="楷体" w:hAnsi="楷体" w:eastAsia="楷体"/>
          <w:color w:val="000000"/>
          <w:szCs w:val="21"/>
        </w:rPr>
      </w:pPr>
      <w:r>
        <w:rPr>
          <w:rFonts w:hint="eastAsia" w:ascii="楷体" w:hAnsi="楷体" w:eastAsia="楷体"/>
          <w:color w:val="000000"/>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adjustRightInd w:val="0"/>
        <w:snapToGrid w:val="0"/>
        <w:spacing w:line="324" w:lineRule="auto"/>
        <w:ind w:firstLine="420" w:firstLineChars="200"/>
        <w:rPr>
          <w:rFonts w:ascii="楷体" w:hAnsi="楷体" w:eastAsia="楷体"/>
          <w:color w:val="000000"/>
          <w:szCs w:val="21"/>
        </w:rPr>
      </w:pPr>
      <w:r>
        <w:rPr>
          <w:rFonts w:hint="eastAsia" w:ascii="楷体" w:hAnsi="楷体" w:eastAsia="楷体"/>
          <w:color w:val="000000"/>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adjustRightInd w:val="0"/>
        <w:snapToGrid w:val="0"/>
        <w:spacing w:line="324" w:lineRule="auto"/>
        <w:ind w:firstLine="420" w:firstLineChars="200"/>
        <w:rPr>
          <w:rFonts w:ascii="楷体" w:hAnsi="楷体" w:eastAsia="楷体"/>
          <w:color w:val="000000"/>
          <w:szCs w:val="21"/>
        </w:rPr>
      </w:pPr>
      <w:r>
        <w:rPr>
          <w:rFonts w:hint="eastAsia" w:ascii="楷体" w:hAnsi="楷体" w:eastAsia="楷体"/>
          <w:color w:val="00000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adjustRightInd w:val="0"/>
        <w:snapToGrid w:val="0"/>
        <w:spacing w:line="324" w:lineRule="auto"/>
        <w:ind w:firstLine="420" w:firstLineChars="200"/>
        <w:rPr>
          <w:rFonts w:ascii="楷体" w:hAnsi="楷体" w:eastAsia="楷体"/>
          <w:color w:val="000000"/>
          <w:szCs w:val="21"/>
        </w:rPr>
      </w:pPr>
      <w:r>
        <w:rPr>
          <w:rFonts w:hint="eastAsia" w:ascii="楷体" w:hAnsi="楷体" w:eastAsia="楷体"/>
          <w:color w:val="000000"/>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324" w:lineRule="auto"/>
        <w:ind w:firstLine="420" w:firstLineChars="200"/>
        <w:rPr>
          <w:rFonts w:ascii="楷体" w:hAnsi="楷体" w:eastAsia="楷体"/>
          <w:color w:val="000000"/>
          <w:szCs w:val="21"/>
        </w:rPr>
      </w:pPr>
      <w:r>
        <w:rPr>
          <w:rFonts w:hint="eastAsia" w:ascii="楷体" w:hAnsi="楷体" w:eastAsia="楷体"/>
          <w:color w:val="000000"/>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adjustRightInd w:val="0"/>
        <w:snapToGrid w:val="0"/>
        <w:spacing w:line="324" w:lineRule="auto"/>
        <w:ind w:firstLine="420" w:firstLineChars="200"/>
        <w:rPr>
          <w:rFonts w:ascii="楷体" w:hAnsi="楷体" w:eastAsia="楷体"/>
          <w:color w:val="000000"/>
          <w:szCs w:val="21"/>
        </w:rPr>
      </w:pPr>
      <w:r>
        <w:rPr>
          <w:rFonts w:hint="eastAsia" w:ascii="楷体" w:hAnsi="楷体" w:eastAsia="楷体"/>
          <w:color w:val="00000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adjustRightInd w:val="0"/>
        <w:snapToGrid w:val="0"/>
        <w:spacing w:line="324" w:lineRule="auto"/>
        <w:ind w:firstLine="420" w:firstLineChars="200"/>
        <w:rPr>
          <w:rFonts w:ascii="楷体" w:hAnsi="楷体" w:eastAsia="楷体"/>
          <w:color w:val="000000"/>
          <w:szCs w:val="21"/>
        </w:rPr>
      </w:pPr>
      <w:r>
        <w:rPr>
          <w:rFonts w:hint="eastAsia" w:ascii="楷体" w:hAnsi="楷体" w:eastAsia="楷体"/>
          <w:color w:val="000000"/>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adjustRightInd w:val="0"/>
        <w:snapToGrid w:val="0"/>
        <w:spacing w:line="324" w:lineRule="auto"/>
        <w:ind w:firstLine="420" w:firstLineChars="200"/>
        <w:rPr>
          <w:rFonts w:ascii="楷体" w:hAnsi="楷体" w:eastAsia="楷体"/>
          <w:color w:val="000000"/>
          <w:szCs w:val="21"/>
        </w:rPr>
      </w:pPr>
      <w:r>
        <w:rPr>
          <w:rFonts w:hint="eastAsia" w:ascii="楷体" w:hAnsi="楷体" w:eastAsia="楷体"/>
          <w:color w:val="000000"/>
          <w:szCs w:val="21"/>
        </w:rPr>
        <w:t>（十六）其他未列明行业。从业人员300人以下的为中小微型企业。其中，从业人员100人及以上的为中型企业；从业人员10人及以上的为小型企业；从业人员10人以下的为微型企业。</w:t>
      </w:r>
    </w:p>
    <w:p>
      <w:pPr>
        <w:spacing w:line="324" w:lineRule="auto"/>
        <w:ind w:firstLine="407" w:firstLineChars="194"/>
        <w:rPr>
          <w:rFonts w:ascii="楷体" w:hAnsi="楷体" w:eastAsia="楷体"/>
          <w:color w:val="000000"/>
          <w:szCs w:val="21"/>
        </w:rPr>
      </w:pPr>
      <w:r>
        <w:rPr>
          <w:rFonts w:hint="eastAsia" w:ascii="楷体" w:hAnsi="楷体" w:eastAsia="楷体"/>
          <w:color w:val="000000"/>
          <w:szCs w:val="21"/>
        </w:rPr>
        <w:t>3</w:t>
      </w:r>
      <w:r>
        <w:rPr>
          <w:rFonts w:ascii="楷体" w:hAnsi="楷体" w:eastAsia="楷体"/>
          <w:color w:val="000000"/>
          <w:szCs w:val="21"/>
        </w:rPr>
        <w:t>.</w:t>
      </w:r>
      <w:r>
        <w:rPr>
          <w:rFonts w:hint="eastAsia" w:ascii="楷体" w:hAnsi="楷体" w:eastAsia="楷体"/>
          <w:color w:val="000000"/>
          <w:szCs w:val="21"/>
        </w:rPr>
        <w:t>为方便广大中小企业识别企业规模类型，工业和信息化部组织开发了中小企业规模类型自测小程序，在国务院客户端和工业和信息化部网站上均有链接，供应商填写所属的行业和指标数据可参考自动生成企业规模类型测试结果。</w:t>
      </w:r>
    </w:p>
    <w:p>
      <w:pPr>
        <w:pStyle w:val="5"/>
        <w:ind w:firstLine="0" w:firstLineChars="0"/>
        <w:rPr>
          <w:rFonts w:ascii="宋体" w:hAnsi="宋体" w:cs="宋体"/>
          <w:sz w:val="24"/>
        </w:rPr>
      </w:pPr>
    </w:p>
    <w:p>
      <w:pPr>
        <w:spacing w:before="996" w:after="960"/>
        <w:ind w:left="672" w:right="672"/>
        <w:jc w:val="right"/>
        <w:rPr>
          <w:rFonts w:ascii="宋体" w:hAnsi="宋体" w:cs="宋体"/>
          <w:sz w:val="20"/>
          <w:szCs w:val="20"/>
          <w:lang w:bidi="ar"/>
        </w:rPr>
      </w:pPr>
    </w:p>
    <w:p>
      <w:pPr>
        <w:spacing w:before="600"/>
        <w:jc w:val="center"/>
        <w:rPr>
          <w:rFonts w:ascii="宋体" w:hAnsi="宋体" w:cs="宋体"/>
          <w:b/>
          <w:bCs/>
          <w:sz w:val="28"/>
          <w:szCs w:val="28"/>
          <w:lang w:bidi="ar"/>
        </w:rPr>
        <w:sectPr>
          <w:pgSz w:w="11900" w:h="16840"/>
          <w:pgMar w:top="1213" w:right="1639" w:bottom="1157" w:left="1690" w:header="0" w:footer="0" w:gutter="0"/>
          <w:cols w:space="720" w:num="1"/>
          <w:docGrid w:linePitch="286" w:charSpace="0"/>
        </w:sectPr>
      </w:pPr>
    </w:p>
    <w:p>
      <w:pPr>
        <w:pStyle w:val="15"/>
        <w:spacing w:before="0" w:beforeAutospacing="0" w:after="0" w:afterAutospacing="0" w:line="360" w:lineRule="auto"/>
        <w:jc w:val="center"/>
        <w:outlineLvl w:val="1"/>
        <w:rPr>
          <w:rFonts w:cs="宋体"/>
          <w:b/>
          <w:bCs/>
          <w:sz w:val="38"/>
          <w:szCs w:val="38"/>
        </w:rPr>
      </w:pPr>
      <w:r>
        <w:rPr>
          <w:rFonts w:hint="eastAsia" w:cs="宋体"/>
          <w:b/>
          <w:bCs/>
          <w:sz w:val="38"/>
          <w:szCs w:val="38"/>
        </w:rPr>
        <w:t>残疾人福利性单位声明函</w:t>
      </w:r>
    </w:p>
    <w:p>
      <w:pPr>
        <w:spacing w:before="480" w:beforeLines="200" w:line="360" w:lineRule="auto"/>
        <w:ind w:firstLine="444" w:firstLineChars="200"/>
        <w:rPr>
          <w:rFonts w:ascii="宋体" w:hAnsi="宋体"/>
          <w:spacing w:val="6"/>
          <w:szCs w:val="21"/>
        </w:rPr>
      </w:pPr>
      <w:r>
        <w:rPr>
          <w:rFonts w:hint="eastAsia" w:ascii="宋体" w:hAnsi="宋体"/>
          <w:spacing w:val="6"/>
          <w:szCs w:val="21"/>
        </w:rPr>
        <w:t>本单位郑重声明，根据《财政部、民政部、中国残疾人联合会关于促进残疾人就业政府采购政策的通知》（财库</w:t>
      </w:r>
      <w:r>
        <w:rPr>
          <w:rFonts w:hint="eastAsia" w:ascii="宋体" w:hAnsi="宋体"/>
          <w:szCs w:val="21"/>
        </w:rPr>
        <w:t>〔</w:t>
      </w:r>
      <w:r>
        <w:rPr>
          <w:rFonts w:ascii="宋体" w:hAnsi="宋体"/>
          <w:szCs w:val="21"/>
        </w:rPr>
        <w:t>2017</w:t>
      </w:r>
      <w:r>
        <w:rPr>
          <w:rFonts w:hint="eastAsia" w:ascii="宋体" w:hAnsi="宋体"/>
          <w:szCs w:val="21"/>
        </w:rPr>
        <w:t>〕</w:t>
      </w:r>
      <w:r>
        <w:rPr>
          <w:rFonts w:ascii="宋体" w:hAnsi="宋体"/>
          <w:szCs w:val="21"/>
        </w:rPr>
        <w:t>14</w:t>
      </w:r>
      <w:r>
        <w:rPr>
          <w:rFonts w:hint="eastAsia" w:ascii="宋体" w:hAnsi="宋体"/>
          <w:szCs w:val="21"/>
        </w:rPr>
        <w:t>1</w:t>
      </w:r>
      <w:r>
        <w:rPr>
          <w:rFonts w:hint="eastAsia" w:ascii="宋体" w:hAnsi="宋体"/>
          <w:spacing w:val="6"/>
          <w:szCs w:val="21"/>
        </w:rPr>
        <w:t>号）的规定，本单位</w:t>
      </w:r>
      <w:r>
        <w:rPr>
          <w:rFonts w:ascii="宋体" w:hAnsi="宋体"/>
          <w:spacing w:val="6"/>
          <w:szCs w:val="21"/>
        </w:rPr>
        <w:t>从业人员</w:t>
      </w:r>
      <w:r>
        <w:rPr>
          <w:rFonts w:hint="eastAsia" w:ascii="宋体" w:hAnsi="宋体"/>
          <w:spacing w:val="6"/>
          <w:szCs w:val="21"/>
          <w:u w:val="single"/>
        </w:rPr>
        <w:t xml:space="preserve">    </w:t>
      </w:r>
      <w:r>
        <w:rPr>
          <w:rFonts w:ascii="宋体" w:hAnsi="宋体"/>
          <w:spacing w:val="6"/>
          <w:szCs w:val="21"/>
        </w:rPr>
        <w:t>人，其中残疾人</w:t>
      </w:r>
      <w:r>
        <w:rPr>
          <w:rFonts w:hint="eastAsia" w:ascii="宋体" w:hAnsi="宋体"/>
          <w:spacing w:val="6"/>
          <w:szCs w:val="21"/>
          <w:u w:val="single"/>
        </w:rPr>
        <w:t xml:space="preserve">      </w:t>
      </w:r>
      <w:r>
        <w:rPr>
          <w:rFonts w:hint="eastAsia" w:ascii="宋体" w:hAnsi="宋体"/>
          <w:spacing w:val="6"/>
          <w:szCs w:val="21"/>
        </w:rPr>
        <w:t>人</w:t>
      </w:r>
      <w:r>
        <w:rPr>
          <w:rFonts w:ascii="宋体" w:hAnsi="宋体"/>
          <w:spacing w:val="6"/>
          <w:szCs w:val="21"/>
        </w:rPr>
        <w:t>，</w:t>
      </w:r>
      <w:r>
        <w:rPr>
          <w:rFonts w:hint="eastAsia" w:ascii="宋体" w:hAnsi="宋体"/>
          <w:spacing w:val="6"/>
          <w:szCs w:val="21"/>
        </w:rPr>
        <w:t>为符合条件的残疾人福利性单位，且本单位参加（</w:t>
      </w:r>
      <w:r>
        <w:rPr>
          <w:rFonts w:hint="eastAsia" w:ascii="宋体" w:hAnsi="宋体"/>
          <w:spacing w:val="6"/>
          <w:szCs w:val="21"/>
          <w:u w:val="single"/>
        </w:rPr>
        <w:t xml:space="preserve">采 购 人 名 称） </w:t>
      </w:r>
      <w:r>
        <w:rPr>
          <w:rFonts w:hint="eastAsia" w:ascii="宋体" w:hAnsi="宋体"/>
          <w:spacing w:val="6"/>
          <w:szCs w:val="21"/>
        </w:rPr>
        <w:t>的（</w:t>
      </w:r>
      <w:r>
        <w:rPr>
          <w:rFonts w:hint="eastAsia" w:ascii="宋体" w:hAnsi="宋体"/>
          <w:spacing w:val="6"/>
          <w:szCs w:val="21"/>
          <w:u w:val="single"/>
        </w:rPr>
        <w:t>项 目 名  称</w:t>
      </w:r>
      <w:r>
        <w:rPr>
          <w:rFonts w:hint="eastAsia" w:ascii="宋体" w:hAnsi="宋体"/>
          <w:spacing w:val="6"/>
          <w:szCs w:val="21"/>
        </w:rPr>
        <w:t>）采购活动由本单位提供服务。</w:t>
      </w:r>
    </w:p>
    <w:p>
      <w:pPr>
        <w:spacing w:line="360" w:lineRule="auto"/>
        <w:ind w:firstLine="444" w:firstLineChars="200"/>
        <w:rPr>
          <w:rFonts w:ascii="宋体" w:hAnsi="宋体"/>
          <w:spacing w:val="6"/>
          <w:szCs w:val="21"/>
        </w:rPr>
      </w:pPr>
    </w:p>
    <w:p>
      <w:pPr>
        <w:spacing w:line="360" w:lineRule="auto"/>
        <w:ind w:firstLine="444" w:firstLineChars="200"/>
        <w:rPr>
          <w:rFonts w:ascii="宋体" w:hAnsi="宋体"/>
          <w:spacing w:val="6"/>
          <w:szCs w:val="21"/>
        </w:rPr>
      </w:pPr>
    </w:p>
    <w:p>
      <w:pPr>
        <w:spacing w:line="360" w:lineRule="auto"/>
        <w:ind w:firstLine="44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pPr>
        <w:spacing w:line="360" w:lineRule="auto"/>
        <w:ind w:firstLine="444" w:firstLineChars="200"/>
        <w:rPr>
          <w:rFonts w:ascii="宋体" w:hAnsi="宋体"/>
          <w:spacing w:val="6"/>
          <w:szCs w:val="21"/>
        </w:rPr>
      </w:pPr>
    </w:p>
    <w:p>
      <w:pPr>
        <w:spacing w:line="360" w:lineRule="auto"/>
        <w:ind w:firstLine="444" w:firstLineChars="200"/>
        <w:rPr>
          <w:rFonts w:ascii="宋体" w:hAnsi="宋体"/>
          <w:spacing w:val="6"/>
          <w:szCs w:val="21"/>
        </w:rPr>
      </w:pPr>
    </w:p>
    <w:p>
      <w:pPr>
        <w:tabs>
          <w:tab w:val="left" w:pos="4860"/>
        </w:tabs>
        <w:spacing w:line="360" w:lineRule="auto"/>
        <w:ind w:right="1560" w:firstLine="444" w:firstLineChars="200"/>
        <w:jc w:val="left"/>
        <w:rPr>
          <w:rFonts w:ascii="宋体" w:hAnsi="宋体"/>
          <w:spacing w:val="6"/>
          <w:szCs w:val="21"/>
        </w:rPr>
      </w:pPr>
      <w:r>
        <w:rPr>
          <w:rFonts w:hint="eastAsia" w:ascii="宋体" w:hAnsi="宋体"/>
          <w:spacing w:val="6"/>
          <w:szCs w:val="21"/>
        </w:rPr>
        <w:t>供应商名称：</w:t>
      </w:r>
      <w:r>
        <w:rPr>
          <w:rFonts w:hint="eastAsia" w:ascii="宋体" w:hAnsi="宋体"/>
          <w:spacing w:val="6"/>
          <w:szCs w:val="21"/>
          <w:u w:val="single"/>
        </w:rPr>
        <w:t xml:space="preserve">              </w:t>
      </w:r>
      <w:r>
        <w:rPr>
          <w:rFonts w:hint="eastAsia" w:ascii="宋体" w:hAnsi="宋体"/>
          <w:spacing w:val="6"/>
          <w:szCs w:val="21"/>
        </w:rPr>
        <w:t>（盖单位章）</w:t>
      </w:r>
    </w:p>
    <w:p>
      <w:pPr>
        <w:tabs>
          <w:tab w:val="left" w:pos="4860"/>
        </w:tabs>
        <w:spacing w:line="360" w:lineRule="auto"/>
        <w:ind w:right="1560" w:firstLine="444" w:firstLineChars="200"/>
        <w:jc w:val="left"/>
        <w:rPr>
          <w:rFonts w:ascii="宋体" w:hAnsi="宋体"/>
          <w:spacing w:val="6"/>
          <w:szCs w:val="21"/>
        </w:rPr>
      </w:pPr>
      <w:r>
        <w:rPr>
          <w:rFonts w:ascii="宋体" w:hAnsi="宋体"/>
          <w:spacing w:val="6"/>
          <w:szCs w:val="21"/>
        </w:rPr>
        <w:t xml:space="preserve"> </w:t>
      </w:r>
    </w:p>
    <w:p>
      <w:pPr>
        <w:tabs>
          <w:tab w:val="left" w:pos="4860"/>
        </w:tabs>
        <w:spacing w:line="360" w:lineRule="auto"/>
        <w:ind w:right="1560" w:firstLine="444" w:firstLineChars="200"/>
        <w:jc w:val="left"/>
        <w:rPr>
          <w:rFonts w:ascii="宋体" w:hAnsi="宋体"/>
          <w:spacing w:val="6"/>
          <w:szCs w:val="21"/>
        </w:rPr>
      </w:pPr>
      <w:r>
        <w:rPr>
          <w:rFonts w:hint="eastAsia" w:ascii="宋体" w:hAnsi="宋体"/>
          <w:spacing w:val="6"/>
          <w:szCs w:val="21"/>
        </w:rPr>
        <w:t>日</w:t>
      </w:r>
      <w:r>
        <w:rPr>
          <w:rFonts w:ascii="宋体" w:hAnsi="宋体"/>
          <w:spacing w:val="6"/>
          <w:szCs w:val="21"/>
        </w:rPr>
        <w:t xml:space="preserve"> </w:t>
      </w:r>
      <w:r>
        <w:rPr>
          <w:rFonts w:hint="eastAsia" w:ascii="宋体" w:hAnsi="宋体"/>
          <w:spacing w:val="6"/>
          <w:szCs w:val="21"/>
        </w:rPr>
        <w:t xml:space="preserve">   </w:t>
      </w:r>
      <w:r>
        <w:rPr>
          <w:rFonts w:ascii="宋体" w:hAnsi="宋体"/>
          <w:spacing w:val="6"/>
          <w:szCs w:val="21"/>
        </w:rPr>
        <w:t xml:space="preserve"> </w:t>
      </w:r>
      <w:r>
        <w:rPr>
          <w:rFonts w:hint="eastAsia" w:ascii="宋体" w:hAnsi="宋体"/>
          <w:spacing w:val="6"/>
          <w:szCs w:val="21"/>
        </w:rPr>
        <w:t>期：</w:t>
      </w:r>
      <w:r>
        <w:rPr>
          <w:rFonts w:hint="eastAsia" w:ascii="宋体" w:hAnsi="宋体"/>
          <w:spacing w:val="6"/>
          <w:szCs w:val="21"/>
          <w:u w:val="single"/>
        </w:rPr>
        <w:t xml:space="preserve">    </w:t>
      </w:r>
      <w:r>
        <w:rPr>
          <w:rFonts w:hint="eastAsia" w:ascii="宋体" w:hAnsi="宋体"/>
          <w:spacing w:val="6"/>
          <w:szCs w:val="21"/>
        </w:rPr>
        <w:t>年</w:t>
      </w:r>
      <w:r>
        <w:rPr>
          <w:rFonts w:hint="eastAsia" w:ascii="宋体" w:hAnsi="宋体"/>
          <w:spacing w:val="6"/>
          <w:szCs w:val="21"/>
          <w:u w:val="single"/>
        </w:rPr>
        <w:t xml:space="preserve">   </w:t>
      </w:r>
      <w:r>
        <w:rPr>
          <w:rFonts w:hint="eastAsia" w:ascii="宋体" w:hAnsi="宋体"/>
          <w:spacing w:val="6"/>
          <w:szCs w:val="21"/>
        </w:rPr>
        <w:t>月</w:t>
      </w:r>
      <w:r>
        <w:rPr>
          <w:rFonts w:hint="eastAsia" w:ascii="宋体" w:hAnsi="宋体"/>
          <w:spacing w:val="6"/>
          <w:szCs w:val="21"/>
          <w:u w:val="single"/>
        </w:rPr>
        <w:t xml:space="preserve">  </w:t>
      </w:r>
      <w:r>
        <w:rPr>
          <w:rFonts w:hint="eastAsia" w:ascii="宋体" w:hAnsi="宋体"/>
          <w:spacing w:val="6"/>
          <w:szCs w:val="21"/>
        </w:rPr>
        <w:t>日</w:t>
      </w:r>
    </w:p>
    <w:p>
      <w:pPr>
        <w:tabs>
          <w:tab w:val="left" w:pos="4860"/>
        </w:tabs>
        <w:spacing w:line="360" w:lineRule="auto"/>
        <w:ind w:right="1560" w:firstLine="444" w:firstLineChars="200"/>
        <w:jc w:val="left"/>
        <w:rPr>
          <w:rFonts w:ascii="宋体" w:hAnsi="宋体"/>
          <w:spacing w:val="6"/>
          <w:szCs w:val="21"/>
        </w:rPr>
      </w:pPr>
    </w:p>
    <w:p>
      <w:pPr>
        <w:tabs>
          <w:tab w:val="left" w:pos="4860"/>
        </w:tabs>
        <w:spacing w:line="360" w:lineRule="auto"/>
        <w:ind w:right="1560" w:firstLine="444" w:firstLineChars="200"/>
        <w:jc w:val="left"/>
        <w:rPr>
          <w:rFonts w:ascii="宋体" w:hAnsi="宋体"/>
          <w:spacing w:val="6"/>
          <w:szCs w:val="21"/>
        </w:rPr>
      </w:pPr>
    </w:p>
    <w:p>
      <w:pPr>
        <w:tabs>
          <w:tab w:val="left" w:pos="4860"/>
        </w:tabs>
        <w:spacing w:line="360" w:lineRule="auto"/>
        <w:ind w:right="1560" w:firstLine="444" w:firstLineChars="200"/>
        <w:jc w:val="left"/>
        <w:rPr>
          <w:rFonts w:ascii="宋体" w:hAnsi="宋体"/>
          <w:spacing w:val="6"/>
          <w:szCs w:val="21"/>
        </w:rPr>
      </w:pPr>
    </w:p>
    <w:p>
      <w:pPr>
        <w:tabs>
          <w:tab w:val="left" w:pos="4860"/>
        </w:tabs>
        <w:spacing w:line="360" w:lineRule="auto"/>
        <w:ind w:right="1560"/>
        <w:jc w:val="left"/>
        <w:rPr>
          <w:rFonts w:ascii="宋体" w:hAnsi="宋体"/>
          <w:spacing w:val="6"/>
          <w:szCs w:val="21"/>
        </w:rPr>
      </w:pPr>
    </w:p>
    <w:p>
      <w:pPr>
        <w:tabs>
          <w:tab w:val="left" w:pos="4860"/>
        </w:tabs>
        <w:spacing w:line="360" w:lineRule="auto"/>
        <w:ind w:right="1560" w:firstLine="444" w:firstLineChars="200"/>
        <w:jc w:val="left"/>
        <w:rPr>
          <w:rFonts w:ascii="宋体" w:hAnsi="宋体"/>
          <w:spacing w:val="6"/>
          <w:szCs w:val="21"/>
        </w:rPr>
      </w:pPr>
    </w:p>
    <w:p>
      <w:pPr>
        <w:tabs>
          <w:tab w:val="left" w:pos="4860"/>
        </w:tabs>
        <w:spacing w:line="360" w:lineRule="auto"/>
        <w:ind w:right="1560" w:firstLine="444" w:firstLineChars="200"/>
        <w:jc w:val="left"/>
        <w:rPr>
          <w:rFonts w:ascii="宋体" w:hAnsi="宋体"/>
          <w:spacing w:val="6"/>
          <w:szCs w:val="21"/>
        </w:rPr>
      </w:pPr>
    </w:p>
    <w:p>
      <w:pPr>
        <w:tabs>
          <w:tab w:val="left" w:pos="4860"/>
        </w:tabs>
        <w:ind w:right="1559"/>
        <w:jc w:val="left"/>
        <w:rPr>
          <w:rFonts w:ascii="宋体" w:hAnsi="宋体"/>
          <w:spacing w:val="6"/>
          <w:szCs w:val="21"/>
        </w:rPr>
      </w:pPr>
    </w:p>
    <w:p>
      <w:pPr>
        <w:tabs>
          <w:tab w:val="left" w:pos="4860"/>
        </w:tabs>
        <w:ind w:right="1559"/>
        <w:jc w:val="left"/>
        <w:rPr>
          <w:rFonts w:ascii="宋体" w:hAnsi="宋体"/>
          <w:spacing w:val="6"/>
          <w:szCs w:val="21"/>
        </w:rPr>
      </w:pPr>
    </w:p>
    <w:p>
      <w:pPr>
        <w:adjustRightInd w:val="0"/>
        <w:snapToGrid w:val="0"/>
        <w:ind w:firstLine="420" w:firstLineChars="200"/>
        <w:rPr>
          <w:rFonts w:ascii="楷体" w:hAnsi="楷体" w:eastAsia="楷体"/>
          <w:bCs/>
          <w:szCs w:val="21"/>
          <w:lang w:val="zh-CN"/>
        </w:rPr>
      </w:pPr>
      <w:r>
        <w:rPr>
          <w:rFonts w:hint="eastAsia" w:ascii="楷体" w:hAnsi="楷体" w:eastAsia="楷体"/>
          <w:bCs/>
          <w:szCs w:val="21"/>
          <w:lang w:val="zh-CN"/>
        </w:rPr>
        <w:t>说明：（1）填报前请认真阅读《财政部、民政部、中国残疾人联合会关于促进残疾人就业政府采购政策的通知》（财库〔</w:t>
      </w:r>
      <w:r>
        <w:rPr>
          <w:rFonts w:ascii="楷体" w:hAnsi="楷体" w:eastAsia="楷体"/>
          <w:bCs/>
          <w:szCs w:val="21"/>
          <w:lang w:val="zh-CN"/>
        </w:rPr>
        <w:t>2017</w:t>
      </w:r>
      <w:r>
        <w:rPr>
          <w:rFonts w:hint="eastAsia" w:ascii="楷体" w:hAnsi="楷体" w:eastAsia="楷体"/>
          <w:bCs/>
          <w:szCs w:val="21"/>
          <w:lang w:val="zh-CN"/>
        </w:rPr>
        <w:t>〕</w:t>
      </w:r>
      <w:r>
        <w:rPr>
          <w:rFonts w:ascii="楷体" w:hAnsi="楷体" w:eastAsia="楷体"/>
          <w:bCs/>
          <w:szCs w:val="21"/>
          <w:lang w:val="zh-CN"/>
        </w:rPr>
        <w:t>14</w:t>
      </w:r>
      <w:r>
        <w:rPr>
          <w:rFonts w:hint="eastAsia" w:ascii="楷体" w:hAnsi="楷体" w:eastAsia="楷体"/>
          <w:bCs/>
          <w:szCs w:val="21"/>
          <w:lang w:val="zh-CN"/>
        </w:rPr>
        <w:t>1号）的规定。</w:t>
      </w:r>
    </w:p>
    <w:p>
      <w:pPr>
        <w:adjustRightInd w:val="0"/>
        <w:snapToGrid w:val="0"/>
        <w:ind w:firstLine="420" w:firstLineChars="200"/>
        <w:rPr>
          <w:rFonts w:ascii="楷体" w:hAnsi="楷体" w:eastAsia="楷体"/>
          <w:bCs/>
          <w:szCs w:val="21"/>
          <w:lang w:val="zh-CN"/>
        </w:rPr>
      </w:pPr>
      <w:r>
        <w:rPr>
          <w:rFonts w:hint="eastAsia" w:ascii="楷体" w:hAnsi="楷体" w:eastAsia="楷体"/>
          <w:bCs/>
          <w:szCs w:val="21"/>
          <w:lang w:val="zh-CN"/>
        </w:rPr>
        <w:t>（2）供应商属于残疾人福利性单位的，必须填报有关数据，未按要求提供的，不享受报价扣除优惠政策。</w:t>
      </w:r>
    </w:p>
    <w:p>
      <w:pPr>
        <w:spacing w:before="600"/>
        <w:jc w:val="center"/>
        <w:rPr>
          <w:rFonts w:ascii="宋体" w:hAnsi="宋体" w:cs="宋体"/>
          <w:b/>
          <w:bCs/>
          <w:sz w:val="24"/>
          <w:lang w:bidi="ar"/>
        </w:rPr>
        <w:sectPr>
          <w:pgSz w:w="11900" w:h="16840"/>
          <w:pgMar w:top="1213" w:right="1639" w:bottom="1157" w:left="1690" w:header="0" w:footer="0" w:gutter="0"/>
          <w:cols w:space="720" w:num="1"/>
          <w:docGrid w:linePitch="286" w:charSpace="0"/>
        </w:sectPr>
      </w:pPr>
    </w:p>
    <w:p>
      <w:pPr>
        <w:pStyle w:val="15"/>
        <w:spacing w:before="0" w:beforeAutospacing="0" w:after="0" w:afterAutospacing="0" w:line="360" w:lineRule="auto"/>
        <w:jc w:val="center"/>
        <w:outlineLvl w:val="1"/>
        <w:rPr>
          <w:rFonts w:cs="宋体"/>
          <w:b/>
          <w:bCs/>
          <w:sz w:val="38"/>
          <w:szCs w:val="38"/>
        </w:rPr>
      </w:pPr>
      <w:r>
        <w:rPr>
          <w:rFonts w:hint="eastAsia" w:cs="宋体"/>
          <w:b/>
          <w:bCs/>
          <w:sz w:val="38"/>
          <w:szCs w:val="38"/>
        </w:rPr>
        <w:t>监狱企业的证明</w:t>
      </w:r>
    </w:p>
    <w:p>
      <w:pPr>
        <w:adjustRightInd w:val="0"/>
        <w:snapToGrid w:val="0"/>
        <w:spacing w:before="240" w:beforeLines="100"/>
        <w:rPr>
          <w:rFonts w:ascii="宋体" w:hAnsi="宋体"/>
          <w:szCs w:val="21"/>
        </w:rPr>
      </w:pPr>
      <w:r>
        <w:rPr>
          <w:rFonts w:hint="eastAsia" w:ascii="宋体" w:hAnsi="宋体"/>
          <w:szCs w:val="21"/>
        </w:rPr>
        <w:t>说明：</w:t>
      </w:r>
    </w:p>
    <w:p>
      <w:pPr>
        <w:adjustRightInd w:val="0"/>
        <w:snapToGrid w:val="0"/>
        <w:spacing w:line="360" w:lineRule="exact"/>
        <w:ind w:firstLine="525" w:firstLineChars="250"/>
        <w:rPr>
          <w:rFonts w:ascii="宋体" w:hAnsi="宋体"/>
          <w:szCs w:val="21"/>
        </w:rPr>
      </w:pPr>
      <w:r>
        <w:rPr>
          <w:rFonts w:hint="eastAsia" w:ascii="宋体" w:hAnsi="宋体"/>
          <w:bCs/>
          <w:szCs w:val="21"/>
        </w:rPr>
        <w:t>（1）</w:t>
      </w:r>
      <w:r>
        <w:rPr>
          <w:rFonts w:hint="eastAsia" w:ascii="宋体" w:hAnsi="宋体"/>
          <w:szCs w:val="21"/>
        </w:rPr>
        <w:t>填报前请认真阅读</w:t>
      </w:r>
      <w:r>
        <w:rPr>
          <w:rFonts w:hint="eastAsia" w:ascii="宋体" w:hAnsi="宋体"/>
          <w:spacing w:val="6"/>
          <w:szCs w:val="21"/>
        </w:rPr>
        <w:t>《财政部、司法部关于政府采购支持监狱企业发展有关问题的通知》（财库</w:t>
      </w:r>
      <w:r>
        <w:rPr>
          <w:rFonts w:hint="eastAsia" w:ascii="宋体" w:hAnsi="宋体"/>
          <w:szCs w:val="21"/>
        </w:rPr>
        <w:t>〔</w:t>
      </w:r>
      <w:r>
        <w:rPr>
          <w:rFonts w:ascii="宋体" w:hAnsi="宋体"/>
          <w:szCs w:val="21"/>
        </w:rPr>
        <w:t>201</w:t>
      </w:r>
      <w:r>
        <w:rPr>
          <w:rFonts w:hint="eastAsia" w:ascii="宋体" w:hAnsi="宋体"/>
          <w:szCs w:val="21"/>
        </w:rPr>
        <w:t>4〕68</w:t>
      </w:r>
      <w:r>
        <w:rPr>
          <w:rFonts w:hint="eastAsia" w:ascii="宋体" w:hAnsi="宋体"/>
          <w:spacing w:val="6"/>
          <w:szCs w:val="21"/>
        </w:rPr>
        <w:t>号）的规定。</w:t>
      </w:r>
    </w:p>
    <w:p>
      <w:pPr>
        <w:adjustRightInd w:val="0"/>
        <w:snapToGrid w:val="0"/>
        <w:spacing w:line="360" w:lineRule="exact"/>
        <w:ind w:firstLine="420" w:firstLineChars="200"/>
        <w:rPr>
          <w:rFonts w:ascii="宋体" w:hAnsi="宋体"/>
        </w:rPr>
      </w:pPr>
      <w:r>
        <w:rPr>
          <w:rFonts w:hint="eastAsia" w:ascii="宋体" w:hAnsi="宋体"/>
          <w:bCs/>
          <w:szCs w:val="21"/>
        </w:rPr>
        <w:t>（2）证明文件无格式要求，由出具监狱企业证明的单位自行拟定，出具证明的单位应符合磋商文件中相关</w:t>
      </w:r>
      <w:r>
        <w:rPr>
          <w:rFonts w:hint="eastAsia" w:ascii="宋体" w:hAnsi="宋体"/>
        </w:rPr>
        <w:t>条款的规定。</w:t>
      </w:r>
    </w:p>
    <w:p>
      <w:pPr>
        <w:adjustRightInd w:val="0"/>
        <w:snapToGrid w:val="0"/>
        <w:spacing w:line="360" w:lineRule="exact"/>
        <w:ind w:firstLine="527"/>
      </w:pPr>
      <w:r>
        <w:rPr>
          <w:rFonts w:hint="eastAsia" w:ascii="宋体" w:hAnsi="宋体"/>
          <w:szCs w:val="21"/>
        </w:rPr>
        <w:t>（3）供应商属于监狱企业的，未按上述要求提供的，不享受报价扣除优惠政策。</w:t>
      </w:r>
    </w:p>
    <w:p>
      <w:pPr>
        <w:widowControl/>
        <w:jc w:val="left"/>
        <w:rPr>
          <w:rFonts w:ascii="宋体" w:hAnsi="宋体" w:cs="宋体"/>
          <w:b/>
          <w:bCs/>
          <w:sz w:val="38"/>
          <w:szCs w:val="38"/>
          <w:lang w:bidi="ar"/>
        </w:rPr>
      </w:pPr>
      <w:r>
        <w:rPr>
          <w:rFonts w:ascii="宋体" w:hAnsi="宋体" w:cs="宋体"/>
          <w:b/>
          <w:bCs/>
          <w:sz w:val="38"/>
          <w:szCs w:val="38"/>
          <w:lang w:bidi="ar"/>
        </w:rPr>
        <w:br w:type="page"/>
      </w:r>
    </w:p>
    <w:p>
      <w:pPr>
        <w:pStyle w:val="5"/>
        <w:spacing w:before="120" w:beforeLines="50"/>
        <w:ind w:firstLine="0" w:firstLineChars="0"/>
        <w:jc w:val="center"/>
        <w:outlineLvl w:val="1"/>
        <w:rPr>
          <w:rFonts w:ascii="方正小标宋简体" w:eastAsia="方正小标宋简体"/>
          <w:sz w:val="72"/>
          <w:szCs w:val="72"/>
        </w:rPr>
      </w:pPr>
    </w:p>
    <w:p>
      <w:pPr>
        <w:pStyle w:val="5"/>
        <w:spacing w:before="120" w:beforeLines="50"/>
        <w:ind w:firstLine="0" w:firstLineChars="0"/>
        <w:jc w:val="center"/>
        <w:outlineLvl w:val="1"/>
        <w:rPr>
          <w:rFonts w:ascii="方正小标宋简体" w:eastAsia="方正小标宋简体"/>
          <w:sz w:val="72"/>
          <w:szCs w:val="72"/>
        </w:rPr>
      </w:pPr>
    </w:p>
    <w:p>
      <w:pPr>
        <w:pStyle w:val="5"/>
        <w:spacing w:before="120" w:beforeLines="50"/>
        <w:ind w:firstLine="0" w:firstLineChars="0"/>
        <w:jc w:val="center"/>
        <w:outlineLvl w:val="1"/>
        <w:rPr>
          <w:rFonts w:ascii="方正小标宋简体" w:eastAsia="方正小标宋简体"/>
          <w:sz w:val="72"/>
          <w:szCs w:val="72"/>
        </w:rPr>
      </w:pPr>
    </w:p>
    <w:p>
      <w:pPr>
        <w:pStyle w:val="5"/>
        <w:spacing w:before="120" w:beforeLines="50"/>
        <w:ind w:firstLine="0" w:firstLineChars="0"/>
        <w:jc w:val="center"/>
        <w:outlineLvl w:val="1"/>
        <w:rPr>
          <w:rFonts w:ascii="方正小标宋简体" w:eastAsia="方正小标宋简体"/>
          <w:sz w:val="72"/>
          <w:szCs w:val="72"/>
        </w:rPr>
      </w:pPr>
    </w:p>
    <w:p>
      <w:pPr>
        <w:pStyle w:val="5"/>
        <w:spacing w:before="120" w:beforeLines="50"/>
        <w:ind w:firstLine="0" w:firstLineChars="0"/>
        <w:jc w:val="center"/>
        <w:outlineLvl w:val="1"/>
        <w:rPr>
          <w:rFonts w:ascii="方正小标宋简体" w:eastAsia="方正小标宋简体"/>
          <w:sz w:val="72"/>
          <w:szCs w:val="72"/>
        </w:rPr>
      </w:pPr>
      <w:r>
        <w:rPr>
          <w:rFonts w:hint="eastAsia" w:ascii="方正小标宋简体" w:eastAsia="方正小标宋简体"/>
          <w:sz w:val="72"/>
          <w:szCs w:val="72"/>
        </w:rPr>
        <w:t>资格证明部分</w:t>
      </w:r>
    </w:p>
    <w:p>
      <w:pPr>
        <w:widowControl/>
        <w:jc w:val="left"/>
        <w:rPr>
          <w:rFonts w:ascii="方正小标宋简体" w:eastAsia="方正小标宋简体"/>
          <w:sz w:val="44"/>
          <w:szCs w:val="44"/>
        </w:rPr>
      </w:pPr>
      <w:r>
        <w:rPr>
          <w:rFonts w:ascii="方正小标宋简体" w:eastAsia="方正小标宋简体"/>
          <w:sz w:val="44"/>
          <w:szCs w:val="44"/>
        </w:rPr>
        <w:br w:type="page"/>
      </w:r>
    </w:p>
    <w:p>
      <w:pPr>
        <w:spacing w:before="240" w:beforeLines="100" w:after="480" w:afterLines="200"/>
        <w:jc w:val="center"/>
        <w:rPr>
          <w:rFonts w:ascii="方正小标宋简体" w:eastAsia="方正小标宋简体"/>
          <w:sz w:val="44"/>
          <w:szCs w:val="44"/>
        </w:rPr>
      </w:pPr>
      <w:r>
        <w:rPr>
          <w:rFonts w:hint="eastAsia" w:ascii="方正小标宋简体" w:eastAsia="方正小标宋简体"/>
          <w:sz w:val="44"/>
          <w:szCs w:val="44"/>
        </w:rPr>
        <w:t>目  录</w:t>
      </w:r>
    </w:p>
    <w:p>
      <w:pPr>
        <w:tabs>
          <w:tab w:val="left" w:pos="1701"/>
          <w:tab w:val="left" w:pos="1843"/>
        </w:tabs>
        <w:spacing w:line="48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1.供应商基本情况表………………………………………………………………页码</w:t>
      </w:r>
    </w:p>
    <w:p>
      <w:pPr>
        <w:tabs>
          <w:tab w:val="left" w:pos="1701"/>
          <w:tab w:val="left" w:pos="1843"/>
        </w:tabs>
        <w:spacing w:line="48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2.法定代表人（单位负责人）身份证明……………………………………………</w:t>
      </w:r>
    </w:p>
    <w:p>
      <w:pPr>
        <w:spacing w:line="48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3.法定代表人（单位负责人）授权委托书……………………………………………</w:t>
      </w:r>
    </w:p>
    <w:p>
      <w:pPr>
        <w:spacing w:line="480" w:lineRule="auto"/>
        <w:rPr>
          <w:rFonts w:ascii="宋体" w:hAnsi="宋体" w:cs="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4.供应商</w:t>
      </w:r>
      <w:r>
        <w:rPr>
          <w:rFonts w:hint="eastAsia" w:ascii="宋体" w:hAnsi="宋体" w:cs="宋体"/>
          <w:color w:val="000000" w:themeColor="text1"/>
          <w:lang w:val="zh-CN"/>
          <w14:textFill>
            <w14:solidFill>
              <w14:schemeClr w14:val="tx1"/>
            </w14:solidFill>
          </w14:textFill>
        </w:rPr>
        <w:t>营业执照等证明文件，自然人的身份证明</w:t>
      </w:r>
      <w:r>
        <w:rPr>
          <w:rFonts w:hint="eastAsia" w:ascii="宋体" w:hAnsi="宋体"/>
          <w:color w:val="000000" w:themeColor="text1"/>
          <w14:textFill>
            <w14:solidFill>
              <w14:schemeClr w14:val="tx1"/>
            </w14:solidFill>
          </w14:textFill>
        </w:rPr>
        <w:t>…………………………………</w:t>
      </w:r>
    </w:p>
    <w:p>
      <w:pPr>
        <w:spacing w:line="48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5.财务状况报告…………………………………………………………………………</w:t>
      </w:r>
    </w:p>
    <w:p>
      <w:pPr>
        <w:spacing w:line="48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6.税收缴纳证明…………………………………………………………………………</w:t>
      </w:r>
    </w:p>
    <w:p>
      <w:pPr>
        <w:spacing w:line="48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7.社会保障资金缴纳证明………………………………………………………………</w:t>
      </w:r>
    </w:p>
    <w:p>
      <w:pPr>
        <w:spacing w:line="48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r>
        <w:rPr>
          <w:rFonts w:hint="eastAsia" w:ascii="宋体" w:hAnsi="宋体" w:cs="宋体"/>
          <w:color w:val="000000" w:themeColor="text1"/>
          <w:lang w:val="zh-CN"/>
          <w14:textFill>
            <w14:solidFill>
              <w14:schemeClr w14:val="tx1"/>
            </w14:solidFill>
          </w14:textFill>
        </w:rPr>
        <w:t>具备履行合同所必需的设备和专业技术能力的证明</w:t>
      </w:r>
      <w:r>
        <w:rPr>
          <w:rFonts w:hint="eastAsia" w:ascii="宋体" w:hAnsi="宋体"/>
          <w:color w:val="000000" w:themeColor="text1"/>
          <w14:textFill>
            <w14:solidFill>
              <w14:schemeClr w14:val="tx1"/>
            </w14:solidFill>
          </w14:textFill>
        </w:rPr>
        <w:t>………………………………</w:t>
      </w:r>
    </w:p>
    <w:p>
      <w:pPr>
        <w:spacing w:line="48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竞争性磋商响应声明书</w:t>
      </w:r>
      <w:r>
        <w:rPr>
          <w:rFonts w:hint="eastAsia" w:ascii="宋体" w:hAnsi="宋体"/>
          <w:color w:val="000000" w:themeColor="text1"/>
          <w14:textFill>
            <w14:solidFill>
              <w14:schemeClr w14:val="tx1"/>
            </w14:solidFill>
          </w14:textFill>
        </w:rPr>
        <w:t>………………………………………………………………</w:t>
      </w:r>
    </w:p>
    <w:p>
      <w:pPr>
        <w:spacing w:line="480" w:lineRule="auto"/>
        <w:rPr>
          <w:rFonts w:ascii="宋体" w:hAns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w:t>
      </w:r>
      <w:r>
        <w:rPr>
          <w:rFonts w:hint="eastAsia" w:ascii="宋体" w:hAnsi="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供应商认为有必要补充说明的其他资格证明</w:t>
      </w:r>
      <w:r>
        <w:rPr>
          <w:rFonts w:hint="eastAsia" w:ascii="宋体" w:hAnsi="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w:t>
      </w:r>
    </w:p>
    <w:p>
      <w:pPr>
        <w:widowControl/>
        <w:jc w:val="left"/>
      </w:pPr>
      <w:r>
        <w:br w:type="page"/>
      </w:r>
    </w:p>
    <w:p>
      <w:pPr>
        <w:widowControl/>
        <w:jc w:val="center"/>
        <w:rPr>
          <w:rFonts w:ascii="宋体" w:hAnsi="宋体"/>
          <w:b/>
          <w:color w:val="000000" w:themeColor="text1"/>
          <w:sz w:val="36"/>
          <w:szCs w:val="36"/>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1.供应商基本情况表</w:t>
      </w:r>
    </w:p>
    <w:tbl>
      <w:tblPr>
        <w:tblStyle w:val="17"/>
        <w:tblW w:w="9000" w:type="dxa"/>
        <w:tblInd w:w="-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416"/>
        <w:gridCol w:w="208"/>
        <w:gridCol w:w="1068"/>
        <w:gridCol w:w="143"/>
        <w:gridCol w:w="1418"/>
        <w:gridCol w:w="140"/>
        <w:gridCol w:w="427"/>
        <w:gridCol w:w="814"/>
        <w:gridCol w:w="13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4" w:type="dxa"/>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名称</w:t>
            </w:r>
          </w:p>
        </w:tc>
        <w:tc>
          <w:tcPr>
            <w:tcW w:w="7016" w:type="dxa"/>
            <w:gridSpan w:val="9"/>
            <w:vAlign w:val="center"/>
          </w:tcPr>
          <w:p>
            <w:pPr>
              <w:topLinePunct/>
              <w:spacing w:line="440" w:lineRule="exa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984" w:type="dxa"/>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统一社会信用代码</w:t>
            </w:r>
          </w:p>
        </w:tc>
        <w:tc>
          <w:tcPr>
            <w:tcW w:w="1416" w:type="dxa"/>
            <w:vAlign w:val="center"/>
          </w:tcPr>
          <w:p>
            <w:pPr>
              <w:topLinePunct/>
              <w:spacing w:line="440" w:lineRule="exact"/>
              <w:jc w:val="center"/>
              <w:rPr>
                <w:rFonts w:ascii="宋体" w:hAnsi="宋体"/>
                <w:color w:val="000000" w:themeColor="text1"/>
                <w:szCs w:val="21"/>
                <w14:textFill>
                  <w14:solidFill>
                    <w14:schemeClr w14:val="tx1"/>
                  </w14:solidFill>
                </w14:textFill>
              </w:rPr>
            </w:pPr>
          </w:p>
        </w:tc>
        <w:tc>
          <w:tcPr>
            <w:tcW w:w="1419" w:type="dxa"/>
            <w:gridSpan w:val="3"/>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注册资金</w:t>
            </w:r>
          </w:p>
        </w:tc>
        <w:tc>
          <w:tcPr>
            <w:tcW w:w="1418" w:type="dxa"/>
            <w:vAlign w:val="center"/>
          </w:tcPr>
          <w:p>
            <w:pPr>
              <w:topLinePunct/>
              <w:jc w:val="center"/>
              <w:rPr>
                <w:rFonts w:ascii="宋体" w:hAnsi="宋体"/>
                <w:color w:val="000000" w:themeColor="text1"/>
                <w:szCs w:val="21"/>
                <w14:textFill>
                  <w14:solidFill>
                    <w14:schemeClr w14:val="tx1"/>
                  </w14:solidFill>
                </w14:textFill>
              </w:rPr>
            </w:pPr>
          </w:p>
        </w:tc>
        <w:tc>
          <w:tcPr>
            <w:tcW w:w="1381" w:type="dxa"/>
            <w:gridSpan w:val="3"/>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成立时间</w:t>
            </w:r>
          </w:p>
        </w:tc>
        <w:tc>
          <w:tcPr>
            <w:tcW w:w="1382" w:type="dxa"/>
            <w:vAlign w:val="center"/>
          </w:tcPr>
          <w:p>
            <w:pPr>
              <w:topLinePun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84" w:type="dxa"/>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注册地址</w:t>
            </w:r>
          </w:p>
        </w:tc>
        <w:tc>
          <w:tcPr>
            <w:tcW w:w="4253" w:type="dxa"/>
            <w:gridSpan w:val="5"/>
            <w:vAlign w:val="center"/>
          </w:tcPr>
          <w:p>
            <w:pPr>
              <w:topLinePunct/>
              <w:spacing w:line="440" w:lineRule="exact"/>
              <w:jc w:val="center"/>
              <w:rPr>
                <w:rFonts w:ascii="宋体" w:hAnsi="宋体"/>
                <w:color w:val="000000" w:themeColor="text1"/>
                <w:szCs w:val="21"/>
                <w14:textFill>
                  <w14:solidFill>
                    <w14:schemeClr w14:val="tx1"/>
                  </w14:solidFill>
                </w14:textFill>
              </w:rPr>
            </w:pPr>
          </w:p>
        </w:tc>
        <w:tc>
          <w:tcPr>
            <w:tcW w:w="1381" w:type="dxa"/>
            <w:gridSpan w:val="3"/>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资产总额</w:t>
            </w:r>
          </w:p>
        </w:tc>
        <w:tc>
          <w:tcPr>
            <w:tcW w:w="1382" w:type="dxa"/>
            <w:vAlign w:val="center"/>
          </w:tcPr>
          <w:p>
            <w:pPr>
              <w:topLinePun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上年营业额</w:t>
            </w:r>
          </w:p>
        </w:tc>
        <w:tc>
          <w:tcPr>
            <w:tcW w:w="1416" w:type="dxa"/>
            <w:vAlign w:val="center"/>
          </w:tcPr>
          <w:p>
            <w:pPr>
              <w:topLinePunct/>
              <w:jc w:val="center"/>
              <w:rPr>
                <w:rFonts w:ascii="宋体" w:hAnsi="宋体"/>
                <w:color w:val="000000" w:themeColor="text1"/>
                <w:szCs w:val="21"/>
                <w14:textFill>
                  <w14:solidFill>
                    <w14:schemeClr w14:val="tx1"/>
                  </w14:solidFill>
                </w14:textFill>
              </w:rPr>
            </w:pPr>
          </w:p>
        </w:tc>
        <w:tc>
          <w:tcPr>
            <w:tcW w:w="1419" w:type="dxa"/>
            <w:gridSpan w:val="3"/>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员工总人数</w:t>
            </w:r>
          </w:p>
        </w:tc>
        <w:tc>
          <w:tcPr>
            <w:tcW w:w="1418" w:type="dxa"/>
            <w:vAlign w:val="center"/>
          </w:tcPr>
          <w:p>
            <w:pPr>
              <w:topLinePunct/>
              <w:jc w:val="center"/>
              <w:rPr>
                <w:rFonts w:ascii="宋体" w:hAnsi="宋体"/>
                <w:color w:val="000000" w:themeColor="text1"/>
                <w:szCs w:val="21"/>
                <w14:textFill>
                  <w14:solidFill>
                    <w14:schemeClr w14:val="tx1"/>
                  </w14:solidFill>
                </w14:textFill>
              </w:rPr>
            </w:pPr>
          </w:p>
        </w:tc>
        <w:tc>
          <w:tcPr>
            <w:tcW w:w="1381" w:type="dxa"/>
            <w:gridSpan w:val="3"/>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企业类型</w:t>
            </w:r>
          </w:p>
        </w:tc>
        <w:tc>
          <w:tcPr>
            <w:tcW w:w="1382" w:type="dxa"/>
            <w:vAlign w:val="center"/>
          </w:tcPr>
          <w:p>
            <w:pPr>
              <w:topLinePun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p>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（单位负责人）</w:t>
            </w:r>
          </w:p>
        </w:tc>
        <w:tc>
          <w:tcPr>
            <w:tcW w:w="1416" w:type="dxa"/>
            <w:vMerge w:val="restart"/>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1419" w:type="dxa"/>
            <w:gridSpan w:val="3"/>
            <w:vMerge w:val="restart"/>
            <w:vAlign w:val="center"/>
          </w:tcPr>
          <w:p>
            <w:pPr>
              <w:topLinePunct/>
              <w:jc w:val="center"/>
              <w:rPr>
                <w:rFonts w:ascii="宋体" w:hAnsi="宋体"/>
                <w:color w:val="000000" w:themeColor="text1"/>
                <w:szCs w:val="21"/>
                <w14:textFill>
                  <w14:solidFill>
                    <w14:schemeClr w14:val="tx1"/>
                  </w14:solidFill>
                </w14:textFill>
              </w:rPr>
            </w:pPr>
          </w:p>
        </w:tc>
        <w:tc>
          <w:tcPr>
            <w:tcW w:w="1418" w:type="dxa"/>
            <w:vMerge w:val="restart"/>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c>
          <w:tcPr>
            <w:tcW w:w="1381" w:type="dxa"/>
            <w:gridSpan w:val="3"/>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手机</w:t>
            </w:r>
          </w:p>
        </w:tc>
        <w:tc>
          <w:tcPr>
            <w:tcW w:w="1382" w:type="dxa"/>
            <w:vAlign w:val="center"/>
          </w:tcPr>
          <w:p>
            <w:pPr>
              <w:topLinePun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vAlign w:val="center"/>
          </w:tcPr>
          <w:p>
            <w:pPr>
              <w:topLinePunct/>
              <w:jc w:val="center"/>
              <w:rPr>
                <w:rFonts w:ascii="宋体" w:hAnsi="宋体"/>
                <w:color w:val="000000" w:themeColor="text1"/>
                <w:szCs w:val="21"/>
                <w14:textFill>
                  <w14:solidFill>
                    <w14:schemeClr w14:val="tx1"/>
                  </w14:solidFill>
                </w14:textFill>
              </w:rPr>
            </w:pPr>
          </w:p>
        </w:tc>
        <w:tc>
          <w:tcPr>
            <w:tcW w:w="1416" w:type="dxa"/>
            <w:vMerge w:val="continue"/>
            <w:vAlign w:val="center"/>
          </w:tcPr>
          <w:p>
            <w:pPr>
              <w:topLinePunct/>
              <w:jc w:val="center"/>
              <w:rPr>
                <w:rFonts w:ascii="宋体" w:hAnsi="宋体"/>
                <w:color w:val="000000" w:themeColor="text1"/>
                <w:szCs w:val="21"/>
                <w14:textFill>
                  <w14:solidFill>
                    <w14:schemeClr w14:val="tx1"/>
                  </w14:solidFill>
                </w14:textFill>
              </w:rPr>
            </w:pPr>
          </w:p>
        </w:tc>
        <w:tc>
          <w:tcPr>
            <w:tcW w:w="1419" w:type="dxa"/>
            <w:gridSpan w:val="3"/>
            <w:vMerge w:val="continue"/>
            <w:vAlign w:val="center"/>
          </w:tcPr>
          <w:p>
            <w:pPr>
              <w:topLinePunct/>
              <w:jc w:val="center"/>
              <w:rPr>
                <w:rFonts w:ascii="宋体" w:hAnsi="宋体"/>
                <w:color w:val="000000" w:themeColor="text1"/>
                <w:szCs w:val="21"/>
                <w14:textFill>
                  <w14:solidFill>
                    <w14:schemeClr w14:val="tx1"/>
                  </w14:solidFill>
                </w14:textFill>
              </w:rPr>
            </w:pPr>
          </w:p>
        </w:tc>
        <w:tc>
          <w:tcPr>
            <w:tcW w:w="1418" w:type="dxa"/>
            <w:vMerge w:val="continue"/>
            <w:vAlign w:val="center"/>
          </w:tcPr>
          <w:p>
            <w:pPr>
              <w:topLinePunct/>
              <w:jc w:val="center"/>
              <w:rPr>
                <w:rFonts w:ascii="宋体" w:hAnsi="宋体"/>
                <w:color w:val="000000" w:themeColor="text1"/>
                <w:szCs w:val="21"/>
                <w14:textFill>
                  <w14:solidFill>
                    <w14:schemeClr w14:val="tx1"/>
                  </w14:solidFill>
                </w14:textFill>
              </w:rPr>
            </w:pPr>
          </w:p>
        </w:tc>
        <w:tc>
          <w:tcPr>
            <w:tcW w:w="1381" w:type="dxa"/>
            <w:gridSpan w:val="3"/>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办公</w:t>
            </w:r>
          </w:p>
        </w:tc>
        <w:tc>
          <w:tcPr>
            <w:tcW w:w="1382" w:type="dxa"/>
            <w:vAlign w:val="center"/>
          </w:tcPr>
          <w:p>
            <w:pPr>
              <w:topLinePun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1416" w:type="dxa"/>
            <w:vMerge w:val="restart"/>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联系人</w:t>
            </w:r>
          </w:p>
        </w:tc>
        <w:tc>
          <w:tcPr>
            <w:tcW w:w="1419" w:type="dxa"/>
            <w:gridSpan w:val="3"/>
            <w:vMerge w:val="restart"/>
            <w:vAlign w:val="center"/>
          </w:tcPr>
          <w:p>
            <w:pPr>
              <w:topLinePunct/>
              <w:jc w:val="center"/>
              <w:rPr>
                <w:rFonts w:ascii="宋体" w:hAnsi="宋体"/>
                <w:color w:val="000000" w:themeColor="text1"/>
                <w:szCs w:val="21"/>
                <w14:textFill>
                  <w14:solidFill>
                    <w14:schemeClr w14:val="tx1"/>
                  </w14:solidFill>
                </w14:textFill>
              </w:rPr>
            </w:pPr>
          </w:p>
        </w:tc>
        <w:tc>
          <w:tcPr>
            <w:tcW w:w="1418" w:type="dxa"/>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c>
          <w:tcPr>
            <w:tcW w:w="2763" w:type="dxa"/>
            <w:gridSpan w:val="4"/>
            <w:vAlign w:val="center"/>
          </w:tcPr>
          <w:p>
            <w:pPr>
              <w:topLinePunct/>
              <w:spacing w:line="440" w:lineRule="exa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vAlign w:val="center"/>
          </w:tcPr>
          <w:p>
            <w:pPr>
              <w:topLinePunct/>
              <w:jc w:val="center"/>
              <w:rPr>
                <w:rFonts w:ascii="宋体" w:hAnsi="宋体"/>
                <w:color w:val="000000" w:themeColor="text1"/>
                <w:szCs w:val="21"/>
                <w14:textFill>
                  <w14:solidFill>
                    <w14:schemeClr w14:val="tx1"/>
                  </w14:solidFill>
                </w14:textFill>
              </w:rPr>
            </w:pPr>
          </w:p>
        </w:tc>
        <w:tc>
          <w:tcPr>
            <w:tcW w:w="1416" w:type="dxa"/>
            <w:vMerge w:val="continue"/>
            <w:vAlign w:val="center"/>
          </w:tcPr>
          <w:p>
            <w:pPr>
              <w:topLinePunct/>
              <w:jc w:val="center"/>
              <w:rPr>
                <w:rFonts w:ascii="宋体" w:hAnsi="宋体"/>
                <w:color w:val="000000" w:themeColor="text1"/>
                <w:szCs w:val="21"/>
                <w14:textFill>
                  <w14:solidFill>
                    <w14:schemeClr w14:val="tx1"/>
                  </w14:solidFill>
                </w14:textFill>
              </w:rPr>
            </w:pPr>
          </w:p>
        </w:tc>
        <w:tc>
          <w:tcPr>
            <w:tcW w:w="1419" w:type="dxa"/>
            <w:gridSpan w:val="3"/>
            <w:vMerge w:val="continue"/>
            <w:vAlign w:val="center"/>
          </w:tcPr>
          <w:p>
            <w:pPr>
              <w:topLinePunct/>
              <w:jc w:val="center"/>
              <w:rPr>
                <w:rFonts w:ascii="宋体" w:hAnsi="宋体"/>
                <w:color w:val="000000" w:themeColor="text1"/>
                <w:szCs w:val="21"/>
                <w14:textFill>
                  <w14:solidFill>
                    <w14:schemeClr w14:val="tx1"/>
                  </w14:solidFill>
                </w14:textFill>
              </w:rPr>
            </w:pPr>
          </w:p>
        </w:tc>
        <w:tc>
          <w:tcPr>
            <w:tcW w:w="1418" w:type="dxa"/>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邮箱</w:t>
            </w:r>
          </w:p>
        </w:tc>
        <w:tc>
          <w:tcPr>
            <w:tcW w:w="2763" w:type="dxa"/>
            <w:gridSpan w:val="4"/>
            <w:vAlign w:val="center"/>
          </w:tcPr>
          <w:p>
            <w:pPr>
              <w:topLinePunct/>
              <w:spacing w:line="440" w:lineRule="exa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基本账户开户银行</w:t>
            </w:r>
          </w:p>
        </w:tc>
        <w:tc>
          <w:tcPr>
            <w:tcW w:w="2835" w:type="dxa"/>
            <w:gridSpan w:val="4"/>
            <w:vAlign w:val="center"/>
          </w:tcPr>
          <w:p>
            <w:pPr>
              <w:topLinePunct/>
              <w:spacing w:line="440" w:lineRule="exact"/>
              <w:jc w:val="center"/>
              <w:rPr>
                <w:rFonts w:ascii="宋体" w:hAnsi="宋体"/>
                <w:color w:val="000000" w:themeColor="text1"/>
                <w:szCs w:val="21"/>
                <w14:textFill>
                  <w14:solidFill>
                    <w14:schemeClr w14:val="tx1"/>
                  </w14:solidFill>
                </w14:textFill>
              </w:rPr>
            </w:pPr>
          </w:p>
        </w:tc>
        <w:tc>
          <w:tcPr>
            <w:tcW w:w="1985" w:type="dxa"/>
            <w:gridSpan w:val="3"/>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基本账户银行账号</w:t>
            </w:r>
          </w:p>
        </w:tc>
        <w:tc>
          <w:tcPr>
            <w:tcW w:w="2196" w:type="dxa"/>
            <w:gridSpan w:val="2"/>
            <w:vAlign w:val="center"/>
          </w:tcPr>
          <w:p>
            <w:pPr>
              <w:topLinePun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8" w:hRule="atLeast"/>
        </w:trPr>
        <w:tc>
          <w:tcPr>
            <w:tcW w:w="1984" w:type="dxa"/>
            <w:vAlign w:val="center"/>
          </w:tcPr>
          <w:p>
            <w:pPr>
              <w:topLinePunct/>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供应商关联企业情况（包括但不限于与供应商法定代表人为同一人或者存在控股、管理关系的不同单位）</w:t>
            </w:r>
          </w:p>
        </w:tc>
        <w:tc>
          <w:tcPr>
            <w:tcW w:w="7016" w:type="dxa"/>
            <w:gridSpan w:val="9"/>
            <w:vAlign w:val="center"/>
          </w:tcPr>
          <w:p>
            <w:pPr>
              <w:topLinePunct/>
              <w:spacing w:line="440" w:lineRule="exact"/>
              <w:jc w:val="left"/>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trPr>
        <w:tc>
          <w:tcPr>
            <w:tcW w:w="3608" w:type="dxa"/>
            <w:gridSpan w:val="3"/>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供应商需具有的</w:t>
            </w:r>
            <w:r>
              <w:rPr>
                <w:rFonts w:ascii="宋体" w:hAnsi="宋体"/>
                <w:color w:val="000000" w:themeColor="text1"/>
                <w:szCs w:val="21"/>
                <w14:textFill>
                  <w14:solidFill>
                    <w14:schemeClr w14:val="tx1"/>
                  </w14:solidFill>
                </w14:textFill>
              </w:rPr>
              <w:t>资质</w:t>
            </w:r>
            <w:r>
              <w:rPr>
                <w:rFonts w:hint="eastAsia" w:ascii="宋体" w:hAnsi="宋体"/>
                <w:color w:val="000000" w:themeColor="text1"/>
                <w:szCs w:val="21"/>
                <w14:textFill>
                  <w14:solidFill>
                    <w14:schemeClr w14:val="tx1"/>
                  </w14:solidFill>
                </w14:textFill>
              </w:rPr>
              <w:t>证书</w:t>
            </w:r>
          </w:p>
        </w:tc>
        <w:tc>
          <w:tcPr>
            <w:tcW w:w="1068" w:type="dxa"/>
            <w:vAlign w:val="center"/>
          </w:tcPr>
          <w:p>
            <w:pPr>
              <w:topLinePun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等级</w:t>
            </w:r>
          </w:p>
        </w:tc>
        <w:tc>
          <w:tcPr>
            <w:tcW w:w="1701" w:type="dxa"/>
            <w:gridSpan w:val="3"/>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类型</w:t>
            </w:r>
          </w:p>
        </w:tc>
        <w:tc>
          <w:tcPr>
            <w:tcW w:w="2623" w:type="dxa"/>
            <w:gridSpan w:val="3"/>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证书号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3608" w:type="dxa"/>
            <w:gridSpan w:val="3"/>
            <w:vAlign w:val="center"/>
          </w:tcPr>
          <w:p>
            <w:pPr>
              <w:topLinePunct/>
              <w:jc w:val="center"/>
              <w:rPr>
                <w:rFonts w:ascii="宋体" w:hAnsi="宋体"/>
                <w:color w:val="000000" w:themeColor="text1"/>
                <w:szCs w:val="21"/>
                <w14:textFill>
                  <w14:solidFill>
                    <w14:schemeClr w14:val="tx1"/>
                  </w14:solidFill>
                </w14:textFill>
              </w:rPr>
            </w:pPr>
          </w:p>
        </w:tc>
        <w:tc>
          <w:tcPr>
            <w:tcW w:w="1068" w:type="dxa"/>
            <w:vAlign w:val="center"/>
          </w:tcPr>
          <w:p>
            <w:pPr>
              <w:topLinePunct/>
              <w:jc w:val="center"/>
              <w:rPr>
                <w:rFonts w:ascii="宋体" w:hAnsi="宋体"/>
                <w:color w:val="000000" w:themeColor="text1"/>
                <w:szCs w:val="21"/>
                <w14:textFill>
                  <w14:solidFill>
                    <w14:schemeClr w14:val="tx1"/>
                  </w14:solidFill>
                </w14:textFill>
              </w:rPr>
            </w:pPr>
          </w:p>
        </w:tc>
        <w:tc>
          <w:tcPr>
            <w:tcW w:w="1701" w:type="dxa"/>
            <w:gridSpan w:val="3"/>
            <w:vAlign w:val="center"/>
          </w:tcPr>
          <w:p>
            <w:pPr>
              <w:topLinePunct/>
              <w:jc w:val="center"/>
              <w:rPr>
                <w:rFonts w:ascii="宋体" w:hAnsi="宋体"/>
                <w:color w:val="000000" w:themeColor="text1"/>
                <w:szCs w:val="21"/>
                <w14:textFill>
                  <w14:solidFill>
                    <w14:schemeClr w14:val="tx1"/>
                  </w14:solidFill>
                </w14:textFill>
              </w:rPr>
            </w:pPr>
          </w:p>
        </w:tc>
        <w:tc>
          <w:tcPr>
            <w:tcW w:w="2623" w:type="dxa"/>
            <w:gridSpan w:val="3"/>
            <w:vAlign w:val="center"/>
          </w:tcPr>
          <w:p>
            <w:pPr>
              <w:topLinePun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3608" w:type="dxa"/>
            <w:gridSpan w:val="3"/>
            <w:vAlign w:val="center"/>
          </w:tcPr>
          <w:p>
            <w:pPr>
              <w:topLinePunct/>
              <w:jc w:val="center"/>
              <w:rPr>
                <w:rFonts w:ascii="宋体" w:hAnsi="宋体"/>
                <w:color w:val="000000" w:themeColor="text1"/>
                <w:szCs w:val="21"/>
                <w14:textFill>
                  <w14:solidFill>
                    <w14:schemeClr w14:val="tx1"/>
                  </w14:solidFill>
                </w14:textFill>
              </w:rPr>
            </w:pPr>
          </w:p>
        </w:tc>
        <w:tc>
          <w:tcPr>
            <w:tcW w:w="1068" w:type="dxa"/>
            <w:vAlign w:val="center"/>
          </w:tcPr>
          <w:p>
            <w:pPr>
              <w:topLinePunct/>
              <w:jc w:val="center"/>
              <w:rPr>
                <w:rFonts w:ascii="宋体" w:hAnsi="宋体"/>
                <w:color w:val="000000" w:themeColor="text1"/>
                <w:szCs w:val="21"/>
                <w14:textFill>
                  <w14:solidFill>
                    <w14:schemeClr w14:val="tx1"/>
                  </w14:solidFill>
                </w14:textFill>
              </w:rPr>
            </w:pPr>
          </w:p>
        </w:tc>
        <w:tc>
          <w:tcPr>
            <w:tcW w:w="1701" w:type="dxa"/>
            <w:gridSpan w:val="3"/>
            <w:vAlign w:val="center"/>
          </w:tcPr>
          <w:p>
            <w:pPr>
              <w:topLinePunct/>
              <w:jc w:val="center"/>
              <w:rPr>
                <w:rFonts w:ascii="宋体" w:hAnsi="宋体"/>
                <w:color w:val="000000" w:themeColor="text1"/>
                <w:szCs w:val="21"/>
                <w14:textFill>
                  <w14:solidFill>
                    <w14:schemeClr w14:val="tx1"/>
                  </w14:solidFill>
                </w14:textFill>
              </w:rPr>
            </w:pPr>
          </w:p>
        </w:tc>
        <w:tc>
          <w:tcPr>
            <w:tcW w:w="2623" w:type="dxa"/>
            <w:gridSpan w:val="3"/>
            <w:vAlign w:val="center"/>
          </w:tcPr>
          <w:p>
            <w:pPr>
              <w:topLinePun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trPr>
        <w:tc>
          <w:tcPr>
            <w:tcW w:w="3608" w:type="dxa"/>
            <w:gridSpan w:val="3"/>
            <w:vAlign w:val="center"/>
          </w:tcPr>
          <w:p>
            <w:pPr>
              <w:topLinePunct/>
              <w:jc w:val="center"/>
              <w:rPr>
                <w:rFonts w:ascii="宋体" w:hAnsi="宋体"/>
                <w:color w:val="000000" w:themeColor="text1"/>
                <w:szCs w:val="21"/>
                <w14:textFill>
                  <w14:solidFill>
                    <w14:schemeClr w14:val="tx1"/>
                  </w14:solidFill>
                </w14:textFill>
              </w:rPr>
            </w:pPr>
          </w:p>
        </w:tc>
        <w:tc>
          <w:tcPr>
            <w:tcW w:w="1068" w:type="dxa"/>
            <w:vAlign w:val="center"/>
          </w:tcPr>
          <w:p>
            <w:pPr>
              <w:topLinePunct/>
              <w:jc w:val="center"/>
              <w:rPr>
                <w:rFonts w:ascii="宋体" w:hAnsi="宋体"/>
                <w:color w:val="000000" w:themeColor="text1"/>
                <w:szCs w:val="21"/>
                <w14:textFill>
                  <w14:solidFill>
                    <w14:schemeClr w14:val="tx1"/>
                  </w14:solidFill>
                </w14:textFill>
              </w:rPr>
            </w:pPr>
          </w:p>
        </w:tc>
        <w:tc>
          <w:tcPr>
            <w:tcW w:w="1701" w:type="dxa"/>
            <w:gridSpan w:val="3"/>
            <w:vAlign w:val="center"/>
          </w:tcPr>
          <w:p>
            <w:pPr>
              <w:topLinePunct/>
              <w:jc w:val="center"/>
              <w:rPr>
                <w:rFonts w:ascii="宋体" w:hAnsi="宋体"/>
                <w:color w:val="000000" w:themeColor="text1"/>
                <w:szCs w:val="21"/>
                <w14:textFill>
                  <w14:solidFill>
                    <w14:schemeClr w14:val="tx1"/>
                  </w14:solidFill>
                </w14:textFill>
              </w:rPr>
            </w:pPr>
          </w:p>
        </w:tc>
        <w:tc>
          <w:tcPr>
            <w:tcW w:w="2623" w:type="dxa"/>
            <w:gridSpan w:val="3"/>
            <w:vAlign w:val="center"/>
          </w:tcPr>
          <w:p>
            <w:pPr>
              <w:topLinePun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3608" w:type="dxa"/>
            <w:gridSpan w:val="3"/>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所供产品制造商名称</w:t>
            </w:r>
          </w:p>
        </w:tc>
        <w:tc>
          <w:tcPr>
            <w:tcW w:w="5392" w:type="dxa"/>
            <w:gridSpan w:val="7"/>
            <w:vAlign w:val="center"/>
          </w:tcPr>
          <w:p>
            <w:pPr>
              <w:topLinePun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所供产品制造商需具有的资质证书</w:t>
            </w:r>
          </w:p>
        </w:tc>
        <w:tc>
          <w:tcPr>
            <w:tcW w:w="1068" w:type="dxa"/>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等级</w:t>
            </w:r>
          </w:p>
        </w:tc>
        <w:tc>
          <w:tcPr>
            <w:tcW w:w="1701" w:type="dxa"/>
            <w:gridSpan w:val="3"/>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类型</w:t>
            </w:r>
          </w:p>
        </w:tc>
        <w:tc>
          <w:tcPr>
            <w:tcW w:w="2623" w:type="dxa"/>
            <w:gridSpan w:val="3"/>
            <w:vAlign w:val="center"/>
          </w:tcPr>
          <w:p>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证书号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3608" w:type="dxa"/>
            <w:gridSpan w:val="3"/>
            <w:vAlign w:val="center"/>
          </w:tcPr>
          <w:p>
            <w:pPr>
              <w:topLinePunct/>
              <w:jc w:val="center"/>
              <w:rPr>
                <w:rFonts w:ascii="宋体" w:hAnsi="宋体"/>
                <w:color w:val="000000" w:themeColor="text1"/>
                <w:szCs w:val="21"/>
                <w14:textFill>
                  <w14:solidFill>
                    <w14:schemeClr w14:val="tx1"/>
                  </w14:solidFill>
                </w14:textFill>
              </w:rPr>
            </w:pPr>
          </w:p>
        </w:tc>
        <w:tc>
          <w:tcPr>
            <w:tcW w:w="1068" w:type="dxa"/>
            <w:vAlign w:val="center"/>
          </w:tcPr>
          <w:p>
            <w:pPr>
              <w:topLinePunct/>
              <w:jc w:val="center"/>
              <w:rPr>
                <w:rFonts w:ascii="宋体" w:hAnsi="宋体"/>
                <w:color w:val="000000" w:themeColor="text1"/>
                <w:szCs w:val="21"/>
                <w14:textFill>
                  <w14:solidFill>
                    <w14:schemeClr w14:val="tx1"/>
                  </w14:solidFill>
                </w14:textFill>
              </w:rPr>
            </w:pPr>
          </w:p>
        </w:tc>
        <w:tc>
          <w:tcPr>
            <w:tcW w:w="1701" w:type="dxa"/>
            <w:gridSpan w:val="3"/>
            <w:vAlign w:val="center"/>
          </w:tcPr>
          <w:p>
            <w:pPr>
              <w:topLinePunct/>
              <w:jc w:val="center"/>
              <w:rPr>
                <w:rFonts w:ascii="宋体" w:hAnsi="宋体"/>
                <w:color w:val="000000" w:themeColor="text1"/>
                <w:szCs w:val="21"/>
                <w14:textFill>
                  <w14:solidFill>
                    <w14:schemeClr w14:val="tx1"/>
                  </w14:solidFill>
                </w14:textFill>
              </w:rPr>
            </w:pPr>
          </w:p>
        </w:tc>
        <w:tc>
          <w:tcPr>
            <w:tcW w:w="2623" w:type="dxa"/>
            <w:gridSpan w:val="3"/>
            <w:vAlign w:val="center"/>
          </w:tcPr>
          <w:p>
            <w:pPr>
              <w:topLinePun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08" w:type="dxa"/>
            <w:gridSpan w:val="3"/>
            <w:vAlign w:val="center"/>
          </w:tcPr>
          <w:p>
            <w:pPr>
              <w:topLinePunct/>
              <w:jc w:val="center"/>
              <w:rPr>
                <w:rFonts w:ascii="宋体" w:hAnsi="宋体"/>
                <w:color w:val="000000" w:themeColor="text1"/>
                <w:szCs w:val="21"/>
                <w14:textFill>
                  <w14:solidFill>
                    <w14:schemeClr w14:val="tx1"/>
                  </w14:solidFill>
                </w14:textFill>
              </w:rPr>
            </w:pPr>
          </w:p>
        </w:tc>
        <w:tc>
          <w:tcPr>
            <w:tcW w:w="1068" w:type="dxa"/>
            <w:vAlign w:val="center"/>
          </w:tcPr>
          <w:p>
            <w:pPr>
              <w:topLinePunct/>
              <w:jc w:val="center"/>
              <w:rPr>
                <w:rFonts w:ascii="宋体" w:hAnsi="宋体"/>
                <w:color w:val="000000" w:themeColor="text1"/>
                <w:szCs w:val="21"/>
                <w14:textFill>
                  <w14:solidFill>
                    <w14:schemeClr w14:val="tx1"/>
                  </w14:solidFill>
                </w14:textFill>
              </w:rPr>
            </w:pPr>
          </w:p>
        </w:tc>
        <w:tc>
          <w:tcPr>
            <w:tcW w:w="1701" w:type="dxa"/>
            <w:gridSpan w:val="3"/>
            <w:vAlign w:val="center"/>
          </w:tcPr>
          <w:p>
            <w:pPr>
              <w:topLinePunct/>
              <w:jc w:val="center"/>
              <w:rPr>
                <w:rFonts w:ascii="宋体" w:hAnsi="宋体"/>
                <w:color w:val="000000" w:themeColor="text1"/>
                <w:szCs w:val="21"/>
                <w14:textFill>
                  <w14:solidFill>
                    <w14:schemeClr w14:val="tx1"/>
                  </w14:solidFill>
                </w14:textFill>
              </w:rPr>
            </w:pPr>
          </w:p>
        </w:tc>
        <w:tc>
          <w:tcPr>
            <w:tcW w:w="2623" w:type="dxa"/>
            <w:gridSpan w:val="3"/>
            <w:vAlign w:val="center"/>
          </w:tcPr>
          <w:p>
            <w:pPr>
              <w:topLinePun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3608" w:type="dxa"/>
            <w:gridSpan w:val="3"/>
            <w:vAlign w:val="center"/>
          </w:tcPr>
          <w:p>
            <w:pPr>
              <w:topLinePunct/>
              <w:jc w:val="center"/>
              <w:rPr>
                <w:rFonts w:ascii="宋体" w:hAnsi="宋体"/>
                <w:color w:val="000000" w:themeColor="text1"/>
                <w:szCs w:val="21"/>
                <w14:textFill>
                  <w14:solidFill>
                    <w14:schemeClr w14:val="tx1"/>
                  </w14:solidFill>
                </w14:textFill>
              </w:rPr>
            </w:pPr>
          </w:p>
        </w:tc>
        <w:tc>
          <w:tcPr>
            <w:tcW w:w="1068" w:type="dxa"/>
            <w:vAlign w:val="center"/>
          </w:tcPr>
          <w:p>
            <w:pPr>
              <w:topLinePunct/>
              <w:jc w:val="center"/>
              <w:rPr>
                <w:rFonts w:ascii="宋体" w:hAnsi="宋体"/>
                <w:color w:val="000000" w:themeColor="text1"/>
                <w:szCs w:val="21"/>
                <w14:textFill>
                  <w14:solidFill>
                    <w14:schemeClr w14:val="tx1"/>
                  </w14:solidFill>
                </w14:textFill>
              </w:rPr>
            </w:pPr>
          </w:p>
        </w:tc>
        <w:tc>
          <w:tcPr>
            <w:tcW w:w="1701" w:type="dxa"/>
            <w:gridSpan w:val="3"/>
            <w:vAlign w:val="center"/>
          </w:tcPr>
          <w:p>
            <w:pPr>
              <w:topLinePunct/>
              <w:jc w:val="center"/>
              <w:rPr>
                <w:rFonts w:ascii="宋体" w:hAnsi="宋体"/>
                <w:color w:val="000000" w:themeColor="text1"/>
                <w:szCs w:val="21"/>
                <w14:textFill>
                  <w14:solidFill>
                    <w14:schemeClr w14:val="tx1"/>
                  </w14:solidFill>
                </w14:textFill>
              </w:rPr>
            </w:pPr>
          </w:p>
        </w:tc>
        <w:tc>
          <w:tcPr>
            <w:tcW w:w="2623" w:type="dxa"/>
            <w:gridSpan w:val="3"/>
            <w:vAlign w:val="center"/>
          </w:tcPr>
          <w:p>
            <w:pPr>
              <w:topLinePunct/>
              <w:jc w:val="center"/>
              <w:rPr>
                <w:rFonts w:ascii="宋体" w:hAnsi="宋体"/>
                <w:color w:val="000000" w:themeColor="text1"/>
                <w:szCs w:val="21"/>
                <w14:textFill>
                  <w14:solidFill>
                    <w14:schemeClr w14:val="tx1"/>
                  </w14:solidFill>
                </w14:textFill>
              </w:rPr>
            </w:pPr>
          </w:p>
        </w:tc>
      </w:tr>
    </w:tbl>
    <w:p>
      <w:pPr>
        <w:rPr>
          <w:rFonts w:ascii="楷体" w:hAnsi="楷体" w:eastAsia="楷体"/>
          <w:color w:val="000000" w:themeColor="text1"/>
          <w:sz w:val="18"/>
          <w:szCs w:val="18"/>
          <w:lang w:val="zh-CN"/>
          <w14:textFill>
            <w14:solidFill>
              <w14:schemeClr w14:val="tx1"/>
            </w14:solidFill>
          </w14:textFill>
        </w:rPr>
      </w:pPr>
      <w:r>
        <w:rPr>
          <w:rFonts w:hint="eastAsia" w:ascii="楷体" w:hAnsi="楷体" w:eastAsia="楷体"/>
          <w:color w:val="000000" w:themeColor="text1"/>
          <w:sz w:val="18"/>
          <w:szCs w:val="18"/>
          <w:lang w:val="zh-CN"/>
          <w14:textFill>
            <w14:solidFill>
              <w14:schemeClr w14:val="tx1"/>
            </w14:solidFill>
          </w14:textFill>
        </w:rPr>
        <w:t>注：1.企业类型指大型、中型、小型、微型；2.至提交响应文件截止日成立不足1年的可不填写上年营业额3.表格空间不足时可自行扩展。</w:t>
      </w:r>
    </w:p>
    <w:p>
      <w:pPr>
        <w:adjustRightInd w:val="0"/>
        <w:snapToGrid w:val="0"/>
        <w:spacing w:before="360" w:beforeLines="150" w:line="360" w:lineRule="auto"/>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供应商名称：</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（盖单位章）</w:t>
      </w:r>
    </w:p>
    <w:p>
      <w:pPr>
        <w:adjustRightInd w:val="0"/>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法定代表人（单位负责人）或委托代理人：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（签名）</w:t>
      </w:r>
    </w:p>
    <w:p>
      <w:pPr>
        <w:adjustRightInd w:val="0"/>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日      期:20</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年</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月</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日</w:t>
      </w:r>
      <w:r>
        <w:rPr>
          <w:rFonts w:ascii="黑体" w:hAnsi="宋体" w:eastAsia="黑体"/>
          <w:color w:val="000000" w:themeColor="text1"/>
          <w:sz w:val="36"/>
          <w:szCs w:val="36"/>
          <w14:textFill>
            <w14:solidFill>
              <w14:schemeClr w14:val="tx1"/>
            </w14:solidFill>
          </w14:textFill>
        </w:rPr>
        <w:br w:type="page"/>
      </w:r>
    </w:p>
    <w:p>
      <w:pPr>
        <w:adjustRightInd w:val="0"/>
        <w:snapToGrid w:val="0"/>
        <w:spacing w:after="120" w:afterLines="50" w:line="360" w:lineRule="auto"/>
        <w:jc w:val="center"/>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2.法定代表人（单位负责人）身份证明</w:t>
      </w:r>
    </w:p>
    <w:p>
      <w:pPr>
        <w:autoSpaceDE w:val="0"/>
        <w:autoSpaceDN w:val="0"/>
        <w:adjustRightInd w:val="0"/>
        <w:snapToGrid w:val="0"/>
        <w:spacing w:before="120"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p>
    <w:p>
      <w:pPr>
        <w:autoSpaceDE w:val="0"/>
        <w:autoSpaceDN w:val="0"/>
        <w:adjustRightInd w:val="0"/>
        <w:snapToGrid w:val="0"/>
        <w:spacing w:before="120"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20"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性别：</w:t>
      </w:r>
      <w:r>
        <w:rPr>
          <w:rFonts w:hint="eastAsia" w:ascii="宋体" w:hAnsi="宋体" w:cs="宋体"/>
          <w:color w:val="000000" w:themeColor="text1"/>
          <w:kern w:val="0"/>
          <w:szCs w:val="21"/>
          <w:u w:val="single"/>
          <w14:textFill>
            <w14:solidFill>
              <w14:schemeClr w14:val="tx1"/>
            </w14:solidFill>
          </w14:textFill>
        </w:rPr>
        <w:t xml:space="preserve"> </w:t>
      </w:r>
      <w:r>
        <w:rPr>
          <w:rFonts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年龄：</w:t>
      </w:r>
      <w:r>
        <w:rPr>
          <w:rFonts w:hint="eastAsia" w:ascii="宋体" w:hAnsi="宋体" w:cs="宋体"/>
          <w:color w:val="000000" w:themeColor="text1"/>
          <w:kern w:val="0"/>
          <w:szCs w:val="21"/>
          <w:u w:val="single"/>
          <w14:textFill>
            <w14:solidFill>
              <w14:schemeClr w14:val="tx1"/>
            </w14:solidFill>
          </w14:textFill>
        </w:rPr>
        <w:t xml:space="preserve"> </w:t>
      </w:r>
      <w:r>
        <w:rPr>
          <w:rFonts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职务：</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20"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系</w:t>
      </w:r>
      <w:r>
        <w:rPr>
          <w:rFonts w:hint="eastAsia" w:ascii="宋体" w:hAnsi="宋体" w:cs="宋体"/>
          <w:color w:val="000000" w:themeColor="text1"/>
          <w:kern w:val="0"/>
          <w:szCs w:val="21"/>
          <w:u w:val="single"/>
          <w14:textFill>
            <w14:solidFill>
              <w14:schemeClr w14:val="tx1"/>
            </w14:solidFill>
          </w14:textFill>
        </w:rPr>
        <w:t xml:space="preserve">   （供应商名称）   </w:t>
      </w:r>
      <w:r>
        <w:rPr>
          <w:rFonts w:hint="eastAsia" w:ascii="宋体" w:hAnsi="宋体" w:cs="宋体"/>
          <w:color w:val="000000" w:themeColor="text1"/>
          <w:kern w:val="0"/>
          <w:szCs w:val="21"/>
          <w14:textFill>
            <w14:solidFill>
              <w14:schemeClr w14:val="tx1"/>
            </w14:solidFill>
          </w14:textFill>
        </w:rPr>
        <w:t>的法定代表人（单位负责人）。</w:t>
      </w:r>
    </w:p>
    <w:p>
      <w:pPr>
        <w:autoSpaceDE w:val="0"/>
        <w:autoSpaceDN w:val="0"/>
        <w:adjustRightInd w:val="0"/>
        <w:snapToGrid w:val="0"/>
        <w:spacing w:before="120"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特此证明。</w:t>
      </w:r>
    </w:p>
    <w:p>
      <w:pPr>
        <w:autoSpaceDE w:val="0"/>
        <w:autoSpaceDN w:val="0"/>
        <w:adjustRightInd w:val="0"/>
        <w:snapToGrid w:val="0"/>
        <w:spacing w:before="120"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w:t>
      </w:r>
      <w:r>
        <w:rPr>
          <w:rFonts w:hint="eastAsia" w:ascii="宋体" w:hAnsi="宋体"/>
          <w:color w:val="000000" w:themeColor="text1"/>
          <w:szCs w:val="21"/>
          <w14:textFill>
            <w14:solidFill>
              <w14:schemeClr w14:val="tx1"/>
            </w14:solidFill>
          </w14:textFill>
        </w:rPr>
        <w:t>法定代表人（单位负责人）</w:t>
      </w:r>
      <w:r>
        <w:rPr>
          <w:rFonts w:hint="eastAsia" w:ascii="宋体" w:hAnsi="宋体" w:cs="宋体"/>
          <w:color w:val="000000" w:themeColor="text1"/>
          <w:szCs w:val="21"/>
          <w14:textFill>
            <w14:solidFill>
              <w14:schemeClr w14:val="tx1"/>
            </w14:solidFill>
          </w14:textFill>
        </w:rPr>
        <w:t>身份证复印件</w:t>
      </w:r>
    </w:p>
    <w:tbl>
      <w:tblPr>
        <w:tblStyle w:val="17"/>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4474" w:type="dxa"/>
            <w:vAlign w:val="center"/>
          </w:tcPr>
          <w:p>
            <w:pPr>
              <w:snapToGrid w:val="0"/>
              <w:spacing w:line="480" w:lineRule="auto"/>
              <w:jc w:val="center"/>
              <w:rPr>
                <w:rFonts w:ascii="宋体" w:hAnsi="宋体"/>
                <w:color w:val="000000" w:themeColor="text1"/>
                <w:szCs w:val="21"/>
                <w14:textFill>
                  <w14:solidFill>
                    <w14:schemeClr w14:val="tx1"/>
                  </w14:solidFill>
                </w14:textFill>
              </w:rPr>
            </w:pPr>
          </w:p>
          <w:p>
            <w:pPr>
              <w:snapToGrid w:val="0"/>
              <w:spacing w:line="480" w:lineRule="auto"/>
              <w:jc w:val="center"/>
              <w:rPr>
                <w:rFonts w:ascii="宋体" w:hAnsi="宋体"/>
                <w:color w:val="000000" w:themeColor="text1"/>
                <w:szCs w:val="21"/>
                <w14:textFill>
                  <w14:solidFill>
                    <w14:schemeClr w14:val="tx1"/>
                  </w14:solidFill>
                </w14:textFill>
              </w:rPr>
            </w:pPr>
          </w:p>
          <w:p>
            <w:pPr>
              <w:autoSpaceDE w:val="0"/>
              <w:autoSpaceDN w:val="0"/>
              <w:adjustRightInd w:val="0"/>
              <w:snapToGrid w:val="0"/>
              <w:spacing w:before="120" w:beforeLines="50"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法定代表人（单位负责人）身份证</w:t>
            </w:r>
          </w:p>
          <w:p>
            <w:pPr>
              <w:autoSpaceDE w:val="0"/>
              <w:autoSpaceDN w:val="0"/>
              <w:adjustRightInd w:val="0"/>
              <w:snapToGrid w:val="0"/>
              <w:spacing w:before="120" w:beforeLines="50"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（正面）</w:t>
            </w:r>
          </w:p>
          <w:p>
            <w:pPr>
              <w:snapToGrid w:val="0"/>
              <w:spacing w:line="480" w:lineRule="auto"/>
              <w:jc w:val="center"/>
              <w:rPr>
                <w:rFonts w:ascii="宋体" w:hAnsi="宋体"/>
                <w:color w:val="000000" w:themeColor="text1"/>
                <w:szCs w:val="21"/>
                <w14:textFill>
                  <w14:solidFill>
                    <w14:schemeClr w14:val="tx1"/>
                  </w14:solidFill>
                </w14:textFill>
              </w:rPr>
            </w:pPr>
          </w:p>
          <w:p>
            <w:pPr>
              <w:snapToGrid w:val="0"/>
              <w:spacing w:line="480" w:lineRule="auto"/>
              <w:jc w:val="center"/>
              <w:rPr>
                <w:rFonts w:ascii="宋体" w:hAnsi="宋体"/>
                <w:color w:val="000000" w:themeColor="text1"/>
                <w:szCs w:val="21"/>
                <w14:textFill>
                  <w14:solidFill>
                    <w14:schemeClr w14:val="tx1"/>
                  </w14:solidFill>
                </w14:textFill>
              </w:rPr>
            </w:pPr>
          </w:p>
        </w:tc>
        <w:tc>
          <w:tcPr>
            <w:tcW w:w="4474" w:type="dxa"/>
            <w:vAlign w:val="center"/>
          </w:tcPr>
          <w:p>
            <w:pPr>
              <w:autoSpaceDE w:val="0"/>
              <w:autoSpaceDN w:val="0"/>
              <w:adjustRightInd w:val="0"/>
              <w:snapToGrid w:val="0"/>
              <w:spacing w:before="120" w:beforeLines="50"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法定代表人（单位负责人）身份证</w:t>
            </w:r>
          </w:p>
          <w:p>
            <w:pPr>
              <w:autoSpaceDE w:val="0"/>
              <w:autoSpaceDN w:val="0"/>
              <w:adjustRightInd w:val="0"/>
              <w:snapToGrid w:val="0"/>
              <w:spacing w:before="120" w:beforeLines="50" w:line="360" w:lineRule="auto"/>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（反面）</w:t>
            </w:r>
          </w:p>
        </w:tc>
      </w:tr>
    </w:tbl>
    <w:p>
      <w:pPr>
        <w:snapToGrid w:val="0"/>
        <w:spacing w:line="480" w:lineRule="auto"/>
        <w:rPr>
          <w:rFonts w:ascii="宋体" w:hAnsi="宋体" w:cs="宋体"/>
          <w:color w:val="000000" w:themeColor="text1"/>
          <w:szCs w:val="21"/>
          <w14:textFill>
            <w14:solidFill>
              <w14:schemeClr w14:val="tx1"/>
            </w14:solidFill>
          </w14:textFill>
        </w:rPr>
      </w:pPr>
    </w:p>
    <w:p>
      <w:pPr>
        <w:snapToGrid w:val="0"/>
        <w:rPr>
          <w:rFonts w:ascii="宋体" w:hAnsi="宋体" w:cs="宋体"/>
          <w:color w:val="000000" w:themeColor="text1"/>
          <w:szCs w:val="21"/>
          <w14:textFill>
            <w14:solidFill>
              <w14:schemeClr w14:val="tx1"/>
            </w14:solidFill>
          </w14:textFill>
        </w:rPr>
      </w:pPr>
    </w:p>
    <w:p>
      <w:pPr>
        <w:adjustRightInd w:val="0"/>
        <w:snapToGrid w:val="0"/>
        <w:spacing w:line="360" w:lineRule="auto"/>
        <w:ind w:right="420" w:firstLine="3465" w:firstLineChars="1650"/>
        <w:rPr>
          <w:rFonts w:ascii="宋体" w:hAnsi="宋体" w:cs="宋体"/>
          <w:color w:val="000000" w:themeColor="text1"/>
          <w:szCs w:val="21"/>
          <w14:textFill>
            <w14:solidFill>
              <w14:schemeClr w14:val="tx1"/>
            </w14:solidFill>
          </w14:textFill>
        </w:rPr>
      </w:pPr>
    </w:p>
    <w:p>
      <w:pPr>
        <w:adjustRightInd w:val="0"/>
        <w:snapToGrid w:val="0"/>
        <w:spacing w:line="360" w:lineRule="auto"/>
        <w:ind w:right="420" w:firstLine="3465" w:firstLineChars="1650"/>
        <w:rPr>
          <w:rFonts w:ascii="宋体" w:hAnsi="宋体" w:cs="宋体"/>
          <w:color w:val="000000" w:themeColor="text1"/>
          <w:szCs w:val="21"/>
          <w14:textFill>
            <w14:solidFill>
              <w14:schemeClr w14:val="tx1"/>
            </w14:solidFill>
          </w14:textFill>
        </w:rPr>
      </w:pPr>
    </w:p>
    <w:p>
      <w:pPr>
        <w:adjustRightInd w:val="0"/>
        <w:snapToGrid w:val="0"/>
        <w:spacing w:line="360" w:lineRule="auto"/>
        <w:ind w:righ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 应 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（盖单位章）</w:t>
      </w:r>
    </w:p>
    <w:p>
      <w:pPr>
        <w:adjustRightInd w:val="0"/>
        <w:snapToGrid w:val="0"/>
        <w:spacing w:line="360" w:lineRule="auto"/>
        <w:ind w:right="420"/>
        <w:rPr>
          <w:rFonts w:ascii="宋体" w:hAnsi="宋体" w:cs="宋体"/>
          <w:color w:val="000000" w:themeColor="text1"/>
          <w:szCs w:val="21"/>
          <w14:textFill>
            <w14:solidFill>
              <w14:schemeClr w14:val="tx1"/>
            </w14:solidFill>
          </w14:textFill>
        </w:rPr>
      </w:pPr>
    </w:p>
    <w:p>
      <w:pPr>
        <w:adjustRightInd w:val="0"/>
        <w:snapToGrid w:val="0"/>
        <w:spacing w:line="360" w:lineRule="auto"/>
        <w:ind w:righ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   期：20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spacing w:after="120" w:afterLines="50"/>
        <w:jc w:val="center"/>
        <w:rPr>
          <w:rFonts w:ascii="黑体" w:hAnsi="宋体" w:eastAsia="黑体"/>
          <w:color w:val="000000" w:themeColor="text1"/>
          <w:sz w:val="32"/>
          <w:szCs w:val="32"/>
          <w14:textFill>
            <w14:solidFill>
              <w14:schemeClr w14:val="tx1"/>
            </w14:solidFill>
          </w14:textFill>
        </w:rPr>
      </w:pPr>
      <w:r>
        <w:rPr>
          <w:rFonts w:hAnsi="宋体" w:cs="宋体"/>
          <w:b/>
          <w:color w:val="000000" w:themeColor="text1"/>
          <w:sz w:val="32"/>
          <w:szCs w:val="32"/>
          <w14:textFill>
            <w14:solidFill>
              <w14:schemeClr w14:val="tx1"/>
            </w14:solidFill>
          </w14:textFill>
        </w:rPr>
        <w:br w:type="page"/>
      </w:r>
      <w:r>
        <w:rPr>
          <w:rFonts w:hint="eastAsia" w:ascii="黑体" w:hAnsi="宋体" w:eastAsia="黑体"/>
          <w:color w:val="000000" w:themeColor="text1"/>
          <w:sz w:val="32"/>
          <w:szCs w:val="32"/>
          <w14:textFill>
            <w14:solidFill>
              <w14:schemeClr w14:val="tx1"/>
            </w14:solidFill>
          </w14:textFill>
        </w:rPr>
        <w:t>3.</w:t>
      </w:r>
      <w:r>
        <w:rPr>
          <w:rFonts w:hint="eastAsia"/>
        </w:rPr>
        <w:t xml:space="preserve"> </w:t>
      </w:r>
      <w:r>
        <w:rPr>
          <w:rFonts w:hint="eastAsia" w:ascii="黑体" w:hAnsi="宋体" w:eastAsia="黑体"/>
          <w:color w:val="000000" w:themeColor="text1"/>
          <w:sz w:val="32"/>
          <w:szCs w:val="32"/>
          <w14:textFill>
            <w14:solidFill>
              <w14:schemeClr w14:val="tx1"/>
            </w14:solidFill>
          </w14:textFill>
        </w:rPr>
        <w:t>法定代表人（单位负责人）授权委托书</w:t>
      </w:r>
    </w:p>
    <w:p>
      <w:pPr>
        <w:spacing w:before="120" w:beforeLines="5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本人</w:t>
      </w:r>
      <w:r>
        <w:rPr>
          <w:rFonts w:hint="eastAsia" w:ascii="宋体" w:hAnsi="宋体" w:cs="宋体"/>
          <w:color w:val="000000" w:themeColor="text1"/>
          <w:szCs w:val="21"/>
          <w:u w:val="single"/>
          <w:lang w:val="zh-CN"/>
          <w14:textFill>
            <w14:solidFill>
              <w14:schemeClr w14:val="tx1"/>
            </w14:solidFill>
          </w14:textFill>
        </w:rPr>
        <w:t xml:space="preserve">（姓名） </w:t>
      </w:r>
      <w:r>
        <w:rPr>
          <w:rFonts w:hint="eastAsia" w:ascii="宋体" w:hAnsi="宋体" w:cs="宋体"/>
          <w:color w:val="000000" w:themeColor="text1"/>
          <w:szCs w:val="21"/>
          <w:lang w:val="zh-CN"/>
          <w14:textFill>
            <w14:solidFill>
              <w14:schemeClr w14:val="tx1"/>
            </w14:solidFill>
          </w14:textFill>
        </w:rPr>
        <w:t>系</w:t>
      </w:r>
      <w:r>
        <w:rPr>
          <w:rFonts w:hint="eastAsia" w:ascii="宋体" w:hAnsi="宋体" w:cs="宋体"/>
          <w:color w:val="000000" w:themeColor="text1"/>
          <w:szCs w:val="21"/>
          <w:u w:val="single"/>
          <w:lang w:val="zh-CN"/>
          <w14:textFill>
            <w14:solidFill>
              <w14:schemeClr w14:val="tx1"/>
            </w14:solidFill>
          </w14:textFill>
        </w:rPr>
        <w:t xml:space="preserve">（供应商名称） </w:t>
      </w:r>
      <w:r>
        <w:rPr>
          <w:rFonts w:hint="eastAsia" w:ascii="宋体" w:hAnsi="宋体" w:cs="宋体"/>
          <w:color w:val="000000" w:themeColor="text1"/>
          <w:szCs w:val="21"/>
          <w:lang w:val="zh-CN"/>
          <w14:textFill>
            <w14:solidFill>
              <w14:schemeClr w14:val="tx1"/>
            </w14:solidFill>
          </w14:textFill>
        </w:rPr>
        <w:t>的法定代表人（单位负责人），现委托</w:t>
      </w:r>
      <w:r>
        <w:rPr>
          <w:rFonts w:hint="eastAsia" w:ascii="宋体" w:hAnsi="宋体" w:cs="宋体"/>
          <w:color w:val="000000" w:themeColor="text1"/>
          <w:szCs w:val="21"/>
          <w:u w:val="single"/>
          <w:lang w:val="zh-CN"/>
          <w14:textFill>
            <w14:solidFill>
              <w14:schemeClr w14:val="tx1"/>
            </w14:solidFill>
          </w14:textFill>
        </w:rPr>
        <w:t xml:space="preserve"> （被委托人姓名） </w:t>
      </w:r>
      <w:r>
        <w:rPr>
          <w:rFonts w:hint="eastAsia" w:ascii="宋体" w:hAnsi="宋体" w:cs="宋体"/>
          <w:color w:val="000000" w:themeColor="text1"/>
          <w:szCs w:val="21"/>
          <w:lang w:val="zh-CN"/>
          <w14:textFill>
            <w14:solidFill>
              <w14:schemeClr w14:val="tx1"/>
            </w14:solidFill>
          </w14:textFill>
        </w:rPr>
        <w:t>为我方代理人。代理人根据授权，以我方的名义签署、澄清确认、递交、撤回、修改</w:t>
      </w:r>
      <w:r>
        <w:rPr>
          <w:rFonts w:hint="eastAsia" w:ascii="宋体" w:hAnsi="宋体" w:cs="宋体"/>
          <w:color w:val="000000" w:themeColor="text1"/>
          <w:szCs w:val="21"/>
          <w:u w:val="single"/>
          <w:lang w:val="zh-CN"/>
          <w14:textFill>
            <w14:solidFill>
              <w14:schemeClr w14:val="tx1"/>
            </w14:solidFill>
          </w14:textFill>
        </w:rPr>
        <w:t xml:space="preserve">（项目名称）（采购包号） </w:t>
      </w:r>
      <w:r>
        <w:rPr>
          <w:rFonts w:hint="eastAsia" w:ascii="宋体" w:hAnsi="宋体" w:cs="宋体"/>
          <w:color w:val="000000" w:themeColor="text1"/>
          <w:szCs w:val="21"/>
          <w:lang w:val="zh-CN"/>
          <w14:textFill>
            <w14:solidFill>
              <w14:schemeClr w14:val="tx1"/>
            </w14:solidFill>
          </w14:textFill>
        </w:rPr>
        <w:t>响应文件、签订合同和全权处理一切与之有关的事宜，</w:t>
      </w:r>
      <w:r>
        <w:rPr>
          <w:rFonts w:hint="eastAsia" w:ascii="宋体" w:hAnsi="宋体" w:cs="宋体"/>
          <w:color w:val="000000" w:themeColor="text1"/>
          <w:kern w:val="0"/>
          <w:szCs w:val="21"/>
          <w14:textFill>
            <w14:solidFill>
              <w14:schemeClr w14:val="tx1"/>
            </w14:solidFill>
          </w14:textFill>
        </w:rPr>
        <w:t>其法律后果由我方承担。</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委托期限：</w:t>
      </w:r>
      <w:r>
        <w:rPr>
          <w:rFonts w:hint="eastAsia" w:ascii="宋体" w:hAnsi="宋体"/>
          <w:color w:val="000000" w:themeColor="text1"/>
          <w:szCs w:val="21"/>
          <w:lang w:val="zh-CN"/>
          <w14:textFill>
            <w14:solidFill>
              <w14:schemeClr w14:val="tx1"/>
            </w14:solidFill>
          </w14:textFill>
        </w:rPr>
        <w:t>本授权委托书有效期自响应文件开启之日起90日历天。</w:t>
      </w:r>
    </w:p>
    <w:p>
      <w:pPr>
        <w:spacing w:line="360" w:lineRule="auto"/>
        <w:ind w:firstLine="420" w:firstLineChars="200"/>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代理人无转委托权。</w:t>
      </w:r>
    </w:p>
    <w:p>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附：法定代表人（单位负责人）身份证复印件（正反面）</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委托代理人身份证复印件（正反面）</w:t>
      </w:r>
    </w:p>
    <w:tbl>
      <w:tblPr>
        <w:tblStyle w:val="17"/>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25"/>
        <w:gridCol w:w="402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2203" w:hRule="atLeast"/>
          <w:jc w:val="center"/>
        </w:trPr>
        <w:tc>
          <w:tcPr>
            <w:tcW w:w="4025" w:type="dxa"/>
            <w:tcBorders>
              <w:top w:val="double" w:color="auto" w:sz="4" w:space="0"/>
              <w:left w:val="double" w:color="auto" w:sz="4" w:space="0"/>
              <w:bottom w:val="double" w:color="auto" w:sz="4" w:space="0"/>
              <w:right w:val="double" w:color="auto" w:sz="4"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法定代表人（单位负责人）</w:t>
            </w:r>
            <w:r>
              <w:rPr>
                <w:rFonts w:hint="eastAsia" w:ascii="宋体" w:hAnsi="宋体" w:cs="宋体"/>
                <w:color w:val="000000" w:themeColor="text1"/>
                <w:szCs w:val="21"/>
                <w14:textFill>
                  <w14:solidFill>
                    <w14:schemeClr w14:val="tx1"/>
                  </w14:solidFill>
                </w14:textFill>
              </w:rPr>
              <w:t>身份证复印件</w:t>
            </w:r>
          </w:p>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（正面）</w:t>
            </w:r>
          </w:p>
        </w:tc>
        <w:tc>
          <w:tcPr>
            <w:tcW w:w="4025" w:type="dxa"/>
            <w:tcBorders>
              <w:top w:val="double" w:color="auto" w:sz="4" w:space="0"/>
              <w:left w:val="double" w:color="auto" w:sz="4" w:space="0"/>
              <w:bottom w:val="double" w:color="auto" w:sz="4" w:space="0"/>
              <w:right w:val="double" w:color="auto" w:sz="4"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委托代理人身份证复印件</w:t>
            </w:r>
          </w:p>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（正面）</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法定代表人（单位负责人）</w:t>
            </w:r>
            <w:r>
              <w:rPr>
                <w:rFonts w:hint="eastAsia" w:ascii="宋体" w:hAnsi="宋体" w:cs="宋体"/>
                <w:color w:val="000000" w:themeColor="text1"/>
                <w:szCs w:val="21"/>
                <w14:textFill>
                  <w14:solidFill>
                    <w14:schemeClr w14:val="tx1"/>
                  </w14:solidFill>
                </w14:textFill>
              </w:rPr>
              <w:t>身份证复印件</w:t>
            </w:r>
          </w:p>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（反面）</w:t>
            </w:r>
          </w:p>
        </w:tc>
        <w:tc>
          <w:tcPr>
            <w:tcW w:w="4025"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委托代理人身份证复印件</w:t>
            </w:r>
          </w:p>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（反面）</w:t>
            </w:r>
          </w:p>
        </w:tc>
      </w:tr>
    </w:tbl>
    <w:p>
      <w:pPr>
        <w:rPr>
          <w:rFonts w:ascii="宋体" w:hAnsi="宋体" w:cs="宋体"/>
          <w:color w:val="000000" w:themeColor="text1"/>
          <w:szCs w:val="21"/>
          <w14:textFill>
            <w14:solidFill>
              <w14:schemeClr w14:val="tx1"/>
            </w14:solidFill>
          </w14:textFill>
        </w:rPr>
      </w:pPr>
    </w:p>
    <w:p>
      <w:pPr>
        <w:spacing w:before="120" w:beforeLines="50" w:line="48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（盖单位章）</w:t>
      </w:r>
    </w:p>
    <w:p>
      <w:pPr>
        <w:spacing w:line="48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法定代表人（单位负责人）: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（签名）</w:t>
      </w:r>
    </w:p>
    <w:p>
      <w:pPr>
        <w:spacing w:line="480" w:lineRule="auto"/>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 份 证 号：</w:t>
      </w:r>
      <w:r>
        <w:rPr>
          <w:rFonts w:hint="eastAsia" w:ascii="宋体" w:hAnsi="宋体" w:cs="宋体"/>
          <w:color w:val="000000" w:themeColor="text1"/>
          <w:szCs w:val="21"/>
          <w:u w:val="single"/>
          <w14:textFill>
            <w14:solidFill>
              <w14:schemeClr w14:val="tx1"/>
            </w14:solidFill>
          </w14:textFill>
        </w:rPr>
        <w:t xml:space="preserve">                        </w:t>
      </w:r>
    </w:p>
    <w:p>
      <w:pPr>
        <w:spacing w:line="48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（签名）</w:t>
      </w:r>
    </w:p>
    <w:p>
      <w:pPr>
        <w:spacing w:line="480" w:lineRule="auto"/>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 份 证 号：</w:t>
      </w:r>
      <w:r>
        <w:rPr>
          <w:rFonts w:hint="eastAsia" w:ascii="宋体" w:hAnsi="宋体" w:cs="宋体"/>
          <w:color w:val="000000" w:themeColor="text1"/>
          <w:szCs w:val="21"/>
          <w:u w:val="single"/>
          <w14:textFill>
            <w14:solidFill>
              <w14:schemeClr w14:val="tx1"/>
            </w14:solidFill>
          </w14:textFill>
        </w:rPr>
        <w:t xml:space="preserve">                         </w:t>
      </w:r>
    </w:p>
    <w:p>
      <w:pPr>
        <w:spacing w:line="480" w:lineRule="auto"/>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授权委托日期：  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rPr>
          <w:rFonts w:ascii="楷体" w:hAnsi="楷体" w:eastAsia="楷体"/>
          <w:color w:val="000000" w:themeColor="text1"/>
          <w:lang w:val="zh-CN"/>
          <w14:textFill>
            <w14:solidFill>
              <w14:schemeClr w14:val="tx1"/>
            </w14:solidFill>
          </w14:textFill>
        </w:rPr>
      </w:pPr>
      <w:r>
        <w:rPr>
          <w:rFonts w:hint="eastAsia" w:ascii="楷体" w:hAnsi="楷体" w:eastAsia="楷体"/>
          <w:color w:val="000000" w:themeColor="text1"/>
          <w:lang w:val="zh-CN"/>
          <w14:textFill>
            <w14:solidFill>
              <w14:schemeClr w14:val="tx1"/>
            </w14:solidFill>
          </w14:textFill>
        </w:rPr>
        <w:t>说明：1</w:t>
      </w:r>
      <w:r>
        <w:rPr>
          <w:rFonts w:ascii="楷体" w:hAnsi="楷体" w:eastAsia="楷体"/>
          <w:color w:val="000000" w:themeColor="text1"/>
          <w:lang w:val="zh-CN"/>
          <w14:textFill>
            <w14:solidFill>
              <w14:schemeClr w14:val="tx1"/>
            </w14:solidFill>
          </w14:textFill>
        </w:rPr>
        <w:t>.</w:t>
      </w:r>
      <w:r>
        <w:rPr>
          <w:rFonts w:hint="eastAsia"/>
        </w:rPr>
        <w:t xml:space="preserve"> </w:t>
      </w:r>
      <w:r>
        <w:rPr>
          <w:rFonts w:hint="eastAsia" w:ascii="楷体" w:hAnsi="楷体" w:eastAsia="楷体"/>
          <w:color w:val="000000" w:themeColor="text1"/>
          <w:lang w:val="zh-CN"/>
          <w14:textFill>
            <w14:solidFill>
              <w14:schemeClr w14:val="tx1"/>
            </w14:solidFill>
          </w14:textFill>
        </w:rPr>
        <w:t>本授权委托书有效期自开启响应文件之日起不得少于90天，仅限委托代理人参加磋商时提供。</w:t>
      </w:r>
    </w:p>
    <w:p>
      <w:pPr>
        <w:ind w:firstLine="210" w:firstLineChars="100"/>
        <w:rPr>
          <w:rFonts w:ascii="楷体" w:hAnsi="楷体" w:eastAsia="楷体"/>
          <w:color w:val="000000" w:themeColor="text1"/>
          <w:lang w:val="zh-CN"/>
          <w14:textFill>
            <w14:solidFill>
              <w14:schemeClr w14:val="tx1"/>
            </w14:solidFill>
          </w14:textFill>
        </w:rPr>
      </w:pPr>
      <w:r>
        <w:rPr>
          <w:rFonts w:hint="eastAsia" w:ascii="楷体" w:hAnsi="楷体" w:eastAsia="楷体"/>
          <w:color w:val="000000" w:themeColor="text1"/>
          <w:lang w:val="zh-CN"/>
          <w14:textFill>
            <w14:solidFill>
              <w14:schemeClr w14:val="tx1"/>
            </w14:solidFill>
          </w14:textFill>
        </w:rPr>
        <w:t>2</w:t>
      </w:r>
      <w:r>
        <w:rPr>
          <w:rFonts w:ascii="楷体" w:hAnsi="楷体" w:eastAsia="楷体"/>
          <w:color w:val="000000" w:themeColor="text1"/>
          <w:lang w:val="zh-CN"/>
          <w14:textFill>
            <w14:solidFill>
              <w14:schemeClr w14:val="tx1"/>
            </w14:solidFill>
          </w14:textFill>
        </w:rPr>
        <w:t>.</w:t>
      </w:r>
      <w:r>
        <w:rPr>
          <w:rFonts w:hint="eastAsia" w:ascii="楷体" w:hAnsi="楷体" w:eastAsia="楷体"/>
          <w:color w:val="000000" w:themeColor="text1"/>
          <w:lang w:val="zh-CN"/>
          <w14:textFill>
            <w14:solidFill>
              <w14:schemeClr w14:val="tx1"/>
            </w14:solidFill>
          </w14:textFill>
        </w:rPr>
        <w:t>本授权委托书需由供应商加盖单位章，并由其法定代表人（单位负责人）签名和委托代理人签名。</w:t>
      </w:r>
    </w:p>
    <w:p>
      <w:pPr>
        <w:spacing w:after="120" w:afterLines="50"/>
        <w:jc w:val="center"/>
        <w:rPr>
          <w:rFonts w:ascii="楷体" w:hAnsi="楷体" w:eastAsia="楷体"/>
          <w:color w:val="000000" w:themeColor="text1"/>
          <w:sz w:val="35"/>
          <w:szCs w:val="35"/>
          <w:lang w:val="zh-CN"/>
          <w14:textFill>
            <w14:solidFill>
              <w14:schemeClr w14:val="tx1"/>
            </w14:solidFill>
          </w14:textFill>
        </w:rPr>
      </w:pPr>
      <w:r>
        <w:rPr>
          <w:rFonts w:hint="eastAsia" w:ascii="黑体" w:hAnsi="宋体" w:eastAsia="黑体"/>
          <w:color w:val="000000" w:themeColor="text1"/>
          <w:sz w:val="36"/>
          <w:szCs w:val="36"/>
          <w14:textFill>
            <w14:solidFill>
              <w14:schemeClr w14:val="tx1"/>
            </w14:solidFill>
          </w14:textFill>
        </w:rPr>
        <w:br w:type="page"/>
      </w:r>
      <w:r>
        <w:rPr>
          <w:rFonts w:hint="eastAsia" w:ascii="黑体" w:hAnsi="宋体" w:eastAsia="黑体"/>
          <w:color w:val="000000" w:themeColor="text1"/>
          <w:sz w:val="32"/>
          <w:szCs w:val="32"/>
          <w14:textFill>
            <w14:solidFill>
              <w14:schemeClr w14:val="tx1"/>
            </w14:solidFill>
          </w14:textFill>
        </w:rPr>
        <w:t>4.供应商的营业执照等证明文件，自然人的身份证明</w:t>
      </w:r>
    </w:p>
    <w:p>
      <w:pPr>
        <w:pStyle w:val="10"/>
        <w:adjustRightInd w:val="0"/>
        <w:snapToGrid w:val="0"/>
        <w:spacing w:line="360" w:lineRule="auto"/>
        <w:jc w:val="left"/>
        <w:rPr>
          <w:rFonts w:hAnsi="宋体" w:cs="宋体"/>
          <w:color w:val="000000" w:themeColor="text1"/>
          <w:sz w:val="24"/>
          <w:szCs w:val="24"/>
          <w14:textFill>
            <w14:solidFill>
              <w14:schemeClr w14:val="tx1"/>
            </w14:solidFill>
          </w14:textFill>
        </w:rPr>
      </w:pPr>
    </w:p>
    <w:p>
      <w:pPr>
        <w:pStyle w:val="10"/>
        <w:adjustRightInd w:val="0"/>
        <w:snapToGrid w:val="0"/>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w:t>
      </w:r>
    </w:p>
    <w:p>
      <w:pPr>
        <w:pStyle w:val="10"/>
        <w:spacing w:line="360" w:lineRule="auto"/>
        <w:ind w:firstLine="210"/>
        <w:rPr>
          <w:rFonts w:hAnsi="宋体"/>
        </w:rPr>
      </w:pPr>
      <w:r>
        <w:rPr>
          <w:rFonts w:hint="eastAsia" w:hAnsi="宋体"/>
        </w:rPr>
        <w:t>说明：</w:t>
      </w:r>
    </w:p>
    <w:p>
      <w:pPr>
        <w:pStyle w:val="10"/>
        <w:spacing w:line="360" w:lineRule="auto"/>
        <w:ind w:firstLine="420" w:firstLineChars="200"/>
        <w:rPr>
          <w:rFonts w:hAnsi="宋体"/>
        </w:rPr>
      </w:pPr>
      <w:r>
        <w:rPr>
          <w:rFonts w:hint="eastAsia" w:hAnsi="宋体"/>
          <w:b/>
        </w:rPr>
        <w:t>根据供应商类别进行审查：</w:t>
      </w:r>
    </w:p>
    <w:p>
      <w:pPr>
        <w:pStyle w:val="5"/>
        <w:spacing w:before="120" w:beforeLines="50" w:line="360" w:lineRule="auto"/>
        <w:rPr>
          <w:rFonts w:ascii="宋体" w:hAnsi="宋体" w:cs="Courier New"/>
          <w:szCs w:val="21"/>
        </w:rPr>
      </w:pPr>
      <w:r>
        <w:rPr>
          <w:rFonts w:hint="eastAsia" w:ascii="宋体" w:hAnsi="宋体" w:cs="Courier New"/>
          <w:szCs w:val="21"/>
        </w:rPr>
        <w:t>(1)供应商属于企业的：营业执照(3证合1或多证合1)复印件；</w:t>
      </w:r>
    </w:p>
    <w:p>
      <w:pPr>
        <w:pStyle w:val="5"/>
        <w:spacing w:before="120" w:beforeLines="50" w:line="360" w:lineRule="auto"/>
        <w:rPr>
          <w:rFonts w:ascii="宋体" w:hAnsi="宋体" w:cs="Courier New"/>
          <w:szCs w:val="21"/>
        </w:rPr>
      </w:pPr>
      <w:r>
        <w:rPr>
          <w:rFonts w:hint="eastAsia" w:ascii="宋体" w:hAnsi="宋体" w:cs="Courier New"/>
          <w:szCs w:val="21"/>
        </w:rPr>
        <w:t>(2)供应商属于事业单位的：事业单位法人证书复印件；</w:t>
      </w:r>
    </w:p>
    <w:p>
      <w:pPr>
        <w:pStyle w:val="5"/>
        <w:spacing w:before="120" w:beforeLines="50" w:line="360" w:lineRule="auto"/>
        <w:rPr>
          <w:rFonts w:ascii="宋体" w:hAnsi="宋体" w:cs="Courier New"/>
          <w:szCs w:val="21"/>
        </w:rPr>
      </w:pPr>
      <w:r>
        <w:rPr>
          <w:rFonts w:hint="eastAsia" w:ascii="宋体" w:hAnsi="宋体" w:cs="Courier New"/>
          <w:szCs w:val="21"/>
        </w:rPr>
        <w:t>(3)供应商属于其他组织的：登记证书复印件；</w:t>
      </w:r>
    </w:p>
    <w:p>
      <w:pPr>
        <w:pStyle w:val="5"/>
        <w:spacing w:before="120" w:beforeLines="50" w:line="360" w:lineRule="auto"/>
        <w:rPr>
          <w:rFonts w:ascii="宋体" w:hAnsi="宋体" w:cs="Courier New"/>
          <w:b/>
          <w:bCs/>
          <w:szCs w:val="21"/>
        </w:rPr>
      </w:pPr>
      <w:r>
        <w:rPr>
          <w:rFonts w:hint="eastAsia" w:ascii="宋体" w:hAnsi="宋体" w:cs="Courier New"/>
          <w:szCs w:val="21"/>
        </w:rPr>
        <w:t>(4)供应商属于个体工商户的：</w:t>
      </w:r>
      <w:r>
        <w:rPr>
          <w:rFonts w:hint="eastAsia" w:ascii="宋体" w:hAnsi="宋体" w:cs="宋体"/>
          <w:szCs w:val="21"/>
        </w:rPr>
        <w:t>个体工商户营业执照</w:t>
      </w:r>
    </w:p>
    <w:p>
      <w:pPr>
        <w:pStyle w:val="5"/>
        <w:spacing w:before="120" w:beforeLines="50" w:line="360" w:lineRule="auto"/>
        <w:rPr>
          <w:rFonts w:ascii="宋体" w:hAnsi="宋体" w:cs="Courier New"/>
          <w:szCs w:val="21"/>
        </w:rPr>
      </w:pPr>
      <w:r>
        <w:rPr>
          <w:rFonts w:hint="eastAsia" w:ascii="宋体" w:hAnsi="宋体" w:cs="Courier New"/>
          <w:szCs w:val="21"/>
        </w:rPr>
        <w:t>(5)自然人响应的：身份证复印件。</w:t>
      </w:r>
    </w:p>
    <w:p>
      <w:pPr>
        <w:pStyle w:val="5"/>
        <w:spacing w:before="120" w:beforeLines="50" w:line="360" w:lineRule="auto"/>
        <w:rPr>
          <w:rFonts w:ascii="宋体" w:hAnsi="宋体" w:cs="Courier New"/>
          <w:szCs w:val="21"/>
        </w:rPr>
      </w:pPr>
      <w:r>
        <w:rPr>
          <w:rFonts w:hint="eastAsia" w:ascii="宋体" w:hAnsi="宋体" w:cs="Courier New"/>
          <w:szCs w:val="21"/>
        </w:rPr>
        <w:t>提供原件的扫描件或电子证照，并加盖供应商单位章。</w:t>
      </w:r>
    </w:p>
    <w:p>
      <w:pPr>
        <w:pStyle w:val="5"/>
        <w:spacing w:before="120" w:beforeLines="50" w:line="360" w:lineRule="auto"/>
        <w:rPr>
          <w:rFonts w:ascii="宋体" w:hAnsi="宋体" w:cs="Courier New"/>
          <w:szCs w:val="21"/>
        </w:rPr>
      </w:pPr>
      <w:r>
        <w:rPr>
          <w:rFonts w:hint="eastAsia" w:ascii="宋体" w:hAnsi="宋体" w:cs="Courier New"/>
          <w:szCs w:val="21"/>
        </w:rPr>
        <w:t>注：除银行、保险、石油石化、电力、电信行业外，其他行业分支机构在参与响应时，应当同时提供分支机构主体资格证明文件和总公司出具的授权书，总公司只能授权一家分支机构。经总公司（总所）授权后，总公司取得的相关资质证书对分支机构有效（法律法规或行业另有规定的除外）。</w:t>
      </w:r>
    </w:p>
    <w:p>
      <w:pPr>
        <w:pStyle w:val="10"/>
        <w:adjustRightInd w:val="0"/>
        <w:snapToGrid w:val="0"/>
        <w:spacing w:line="360" w:lineRule="auto"/>
        <w:outlineLvl w:val="0"/>
        <w:rPr>
          <w:rFonts w:hAnsi="宋体" w:cs="宋体"/>
          <w:b/>
          <w:color w:val="000000" w:themeColor="text1"/>
          <w:sz w:val="32"/>
          <w:szCs w:val="32"/>
          <w14:textFill>
            <w14:solidFill>
              <w14:schemeClr w14:val="tx1"/>
            </w14:solidFill>
          </w14:textFill>
        </w:rPr>
      </w:pPr>
    </w:p>
    <w:p>
      <w:pPr>
        <w:jc w:val="center"/>
        <w:rPr>
          <w:rFonts w:ascii="宋体" w:hAnsi="宋体"/>
          <w:b/>
          <w:color w:val="000000" w:themeColor="text1"/>
          <w:szCs w:val="21"/>
          <w14:textFill>
            <w14:solidFill>
              <w14:schemeClr w14:val="tx1"/>
            </w14:solidFill>
          </w14:textFill>
        </w:rPr>
      </w:pPr>
    </w:p>
    <w:p>
      <w:pPr>
        <w:pStyle w:val="5"/>
        <w:spacing w:line="360" w:lineRule="auto"/>
        <w:ind w:firstLine="422"/>
        <w:rPr>
          <w:rFonts w:ascii="宋体" w:hAnsi="宋体"/>
          <w:b/>
          <w:color w:val="000000" w:themeColor="text1"/>
          <w:szCs w:val="21"/>
          <w14:textFill>
            <w14:solidFill>
              <w14:schemeClr w14:val="tx1"/>
            </w14:solidFill>
          </w14:textFill>
        </w:rPr>
      </w:pPr>
    </w:p>
    <w:p>
      <w:pPr>
        <w:pStyle w:val="5"/>
        <w:spacing w:line="360" w:lineRule="auto"/>
        <w:ind w:firstLine="422"/>
        <w:rPr>
          <w:rFonts w:ascii="宋体" w:hAnsi="宋体"/>
          <w:b/>
          <w:color w:val="000000" w:themeColor="text1"/>
          <w:szCs w:val="21"/>
          <w14:textFill>
            <w14:solidFill>
              <w14:schemeClr w14:val="tx1"/>
            </w14:solidFill>
          </w14:textFill>
        </w:rPr>
      </w:pPr>
    </w:p>
    <w:p>
      <w:pPr>
        <w:pStyle w:val="5"/>
        <w:spacing w:line="360" w:lineRule="auto"/>
        <w:ind w:firstLine="422"/>
        <w:rPr>
          <w:rFonts w:ascii="宋体" w:hAnsi="宋体"/>
          <w:b/>
          <w:color w:val="000000" w:themeColor="text1"/>
          <w:szCs w:val="21"/>
          <w14:textFill>
            <w14:solidFill>
              <w14:schemeClr w14:val="tx1"/>
            </w14:solidFill>
          </w14:textFill>
        </w:rPr>
      </w:pPr>
    </w:p>
    <w:p>
      <w:pPr>
        <w:pStyle w:val="5"/>
        <w:spacing w:line="360" w:lineRule="auto"/>
        <w:ind w:firstLine="422"/>
        <w:rPr>
          <w:rFonts w:ascii="宋体" w:hAnsi="宋体"/>
          <w:b/>
          <w:color w:val="000000" w:themeColor="text1"/>
          <w:szCs w:val="21"/>
          <w14:textFill>
            <w14:solidFill>
              <w14:schemeClr w14:val="tx1"/>
            </w14:solidFill>
          </w14:textFill>
        </w:rPr>
      </w:pPr>
    </w:p>
    <w:p>
      <w:pPr>
        <w:pStyle w:val="5"/>
        <w:spacing w:line="360" w:lineRule="auto"/>
        <w:ind w:firstLine="422"/>
        <w:rPr>
          <w:rFonts w:ascii="宋体" w:hAnsi="宋体"/>
          <w:b/>
          <w:color w:val="000000" w:themeColor="text1"/>
          <w:szCs w:val="21"/>
          <w14:textFill>
            <w14:solidFill>
              <w14:schemeClr w14:val="tx1"/>
            </w14:solidFill>
          </w14:textFill>
        </w:rPr>
      </w:pPr>
    </w:p>
    <w:p>
      <w:pPr>
        <w:pStyle w:val="5"/>
        <w:spacing w:line="360" w:lineRule="auto"/>
        <w:ind w:firstLine="422"/>
        <w:rPr>
          <w:rFonts w:ascii="宋体" w:hAnsi="宋体"/>
          <w:b/>
          <w:color w:val="000000" w:themeColor="text1"/>
          <w:szCs w:val="21"/>
          <w14:textFill>
            <w14:solidFill>
              <w14:schemeClr w14:val="tx1"/>
            </w14:solidFill>
          </w14:textFill>
        </w:rPr>
      </w:pPr>
    </w:p>
    <w:p>
      <w:pPr>
        <w:pStyle w:val="5"/>
        <w:spacing w:line="360" w:lineRule="auto"/>
        <w:ind w:firstLine="422"/>
        <w:rPr>
          <w:rFonts w:ascii="宋体" w:hAnsi="宋体"/>
          <w:b/>
          <w:color w:val="000000" w:themeColor="text1"/>
          <w:szCs w:val="21"/>
          <w14:textFill>
            <w14:solidFill>
              <w14:schemeClr w14:val="tx1"/>
            </w14:solidFill>
          </w14:textFill>
        </w:rPr>
      </w:pPr>
    </w:p>
    <w:p>
      <w:pPr>
        <w:pStyle w:val="5"/>
        <w:spacing w:line="360" w:lineRule="auto"/>
        <w:ind w:firstLine="422"/>
        <w:rPr>
          <w:rFonts w:ascii="宋体" w:hAnsi="宋体"/>
          <w:b/>
          <w:color w:val="000000" w:themeColor="text1"/>
          <w:szCs w:val="21"/>
          <w14:textFill>
            <w14:solidFill>
              <w14:schemeClr w14:val="tx1"/>
            </w14:solidFill>
          </w14:textFill>
        </w:rPr>
      </w:pPr>
    </w:p>
    <w:p>
      <w:pPr>
        <w:pStyle w:val="5"/>
        <w:spacing w:line="360" w:lineRule="auto"/>
        <w:ind w:firstLine="422"/>
        <w:rPr>
          <w:rFonts w:ascii="宋体" w:hAnsi="宋体"/>
          <w:b/>
          <w:color w:val="000000" w:themeColor="text1"/>
          <w:szCs w:val="21"/>
          <w14:textFill>
            <w14:solidFill>
              <w14:schemeClr w14:val="tx1"/>
            </w14:solidFill>
          </w14:textFill>
        </w:rPr>
      </w:pPr>
    </w:p>
    <w:p>
      <w:pPr>
        <w:pStyle w:val="5"/>
        <w:spacing w:line="360" w:lineRule="auto"/>
        <w:ind w:firstLine="422"/>
        <w:rPr>
          <w:rFonts w:ascii="宋体" w:hAnsi="宋体"/>
          <w:b/>
          <w:color w:val="000000" w:themeColor="text1"/>
          <w:szCs w:val="21"/>
          <w14:textFill>
            <w14:solidFill>
              <w14:schemeClr w14:val="tx1"/>
            </w14:solidFill>
          </w14:textFill>
        </w:rPr>
      </w:pPr>
    </w:p>
    <w:p>
      <w:pPr>
        <w:pStyle w:val="5"/>
        <w:spacing w:line="360" w:lineRule="auto"/>
        <w:ind w:firstLine="0" w:firstLineChars="0"/>
        <w:rPr>
          <w:rFonts w:ascii="宋体" w:hAnsi="宋体"/>
          <w:b/>
          <w:color w:val="000000" w:themeColor="text1"/>
          <w:szCs w:val="21"/>
          <w14:textFill>
            <w14:solidFill>
              <w14:schemeClr w14:val="tx1"/>
            </w14:solidFill>
          </w14:textFill>
        </w:rPr>
      </w:pPr>
    </w:p>
    <w:p>
      <w:pPr>
        <w:widowControl/>
        <w:jc w:val="left"/>
        <w:rPr>
          <w:rFonts w:ascii="宋体" w:hAnsi="宋体" w:cs="宋体"/>
          <w:b/>
          <w:bCs/>
          <w:color w:val="000000" w:themeColor="text1"/>
          <w:sz w:val="32"/>
          <w:szCs w:val="32"/>
          <w14:textFill>
            <w14:solidFill>
              <w14:schemeClr w14:val="tx1"/>
            </w14:solidFill>
          </w14:textFill>
        </w:rPr>
      </w:pPr>
      <w:r>
        <w:rPr>
          <w:rFonts w:hAnsi="宋体" w:cs="宋体"/>
          <w:b/>
          <w:bCs/>
          <w:color w:val="000000" w:themeColor="text1"/>
          <w:sz w:val="32"/>
          <w:szCs w:val="32"/>
          <w14:textFill>
            <w14:solidFill>
              <w14:schemeClr w14:val="tx1"/>
            </w14:solidFill>
          </w14:textFill>
        </w:rPr>
        <w:br w:type="page"/>
      </w:r>
    </w:p>
    <w:p>
      <w:pPr>
        <w:pStyle w:val="10"/>
        <w:adjustRightInd w:val="0"/>
        <w:snapToGrid w:val="0"/>
        <w:spacing w:line="360" w:lineRule="auto"/>
        <w:jc w:val="center"/>
        <w:outlineLvl w:val="2"/>
        <w:rPr>
          <w:rFonts w:hAnsi="宋体" w:cs="宋体"/>
          <w:b/>
          <w:bCs/>
          <w:color w:val="000000" w:themeColor="text1"/>
          <w:sz w:val="32"/>
          <w:szCs w:val="32"/>
          <w14:textFill>
            <w14:solidFill>
              <w14:schemeClr w14:val="tx1"/>
            </w14:solidFill>
          </w14:textFill>
        </w:rPr>
      </w:pPr>
      <w:r>
        <w:rPr>
          <w:rFonts w:hint="eastAsia" w:hAnsi="宋体" w:cs="宋体"/>
          <w:b/>
          <w:bCs/>
          <w:color w:val="000000" w:themeColor="text1"/>
          <w:sz w:val="32"/>
          <w:szCs w:val="32"/>
          <w14:textFill>
            <w14:solidFill>
              <w14:schemeClr w14:val="tx1"/>
            </w14:solidFill>
          </w14:textFill>
        </w:rPr>
        <w:t>5.财务状况报告</w:t>
      </w:r>
    </w:p>
    <w:p>
      <w:pPr>
        <w:pStyle w:val="10"/>
        <w:adjustRightInd w:val="0"/>
        <w:snapToGrid w:val="0"/>
        <w:jc w:val="left"/>
        <w:rPr>
          <w:rFonts w:hAnsi="宋体"/>
          <w:color w:val="000000" w:themeColor="text1"/>
          <w14:textFill>
            <w14:solidFill>
              <w14:schemeClr w14:val="tx1"/>
            </w14:solidFill>
          </w14:textFill>
        </w:rPr>
      </w:pPr>
    </w:p>
    <w:p>
      <w:pPr>
        <w:pStyle w:val="10"/>
        <w:adjustRightInd w:val="0"/>
        <w:snapToGrid w:val="0"/>
        <w:jc w:val="left"/>
        <w:rPr>
          <w:rFonts w:hAnsi="宋体"/>
          <w:color w:val="000000" w:themeColor="text1"/>
          <w14:textFill>
            <w14:solidFill>
              <w14:schemeClr w14:val="tx1"/>
            </w14:solidFill>
          </w14:textFill>
        </w:rPr>
      </w:pPr>
    </w:p>
    <w:p>
      <w:pPr>
        <w:pStyle w:val="10"/>
        <w:spacing w:line="360" w:lineRule="auto"/>
        <w:ind w:firstLine="420" w:firstLineChars="200"/>
        <w:rPr>
          <w:rFonts w:hAnsi="宋体"/>
        </w:rPr>
      </w:pPr>
      <w:r>
        <w:rPr>
          <w:rFonts w:hint="eastAsia" w:hAnsi="宋体"/>
          <w:color w:val="000000" w:themeColor="text1"/>
          <w14:textFill>
            <w14:solidFill>
              <w14:schemeClr w14:val="tx1"/>
            </w14:solidFill>
          </w14:textFill>
        </w:rPr>
        <w:t>说明：</w:t>
      </w:r>
      <w:r>
        <w:rPr>
          <w:rFonts w:hint="eastAsia" w:hAnsi="宋体"/>
        </w:rPr>
        <w:t>5.1提供2022年度经审计的财务会计报告（包括审计报告、资产负债表、利润表、现金流量表、所有者权益变动表及其附注，成立时间至提交响应文件截止时间前不足1年的可提供成立后任意时段的资产负债表），或其提交响应文件截止时间前3个月内其基本账户开户银行出具的资信证明（附基本存款账户信息）。（以上形式的资料提供任何一种即可）</w:t>
      </w:r>
    </w:p>
    <w:p>
      <w:pPr>
        <w:pStyle w:val="10"/>
        <w:spacing w:line="360" w:lineRule="auto"/>
        <w:ind w:firstLine="420" w:firstLineChars="200"/>
        <w:rPr>
          <w:rFonts w:hAnsi="宋体"/>
        </w:rPr>
      </w:pPr>
      <w:r>
        <w:rPr>
          <w:rFonts w:hint="eastAsia" w:hAnsi="宋体"/>
        </w:rPr>
        <w:t>5.2要求：（1）</w:t>
      </w:r>
      <w:r>
        <w:rPr>
          <w:rFonts w:hint="eastAsia" w:hAnsi="宋体" w:cs="宋体"/>
          <w:color w:val="121212"/>
          <w:kern w:val="0"/>
        </w:rPr>
        <w:t>供应商是</w:t>
      </w:r>
      <w:r>
        <w:rPr>
          <w:rFonts w:hint="eastAsia" w:hAnsi="宋体" w:cs="宋体"/>
          <w:kern w:val="0"/>
        </w:rPr>
        <w:t>法定代表人（单位负责人）</w:t>
      </w:r>
      <w:r>
        <w:rPr>
          <w:rFonts w:hint="eastAsia" w:hAnsi="宋体" w:cs="宋体"/>
          <w:color w:val="121212"/>
          <w:kern w:val="0"/>
        </w:rPr>
        <w:t>的，应提供</w:t>
      </w:r>
      <w:r>
        <w:rPr>
          <w:rFonts w:hAnsi="宋体" w:cs="华文仿宋"/>
          <w:color w:val="121212"/>
          <w:lang w:eastAsia="zh-Hans"/>
        </w:rPr>
        <w:t>2022</w:t>
      </w:r>
      <w:r>
        <w:rPr>
          <w:rFonts w:hint="eastAsia" w:hAnsi="宋体" w:cs="宋体"/>
          <w:color w:val="121212"/>
          <w:kern w:val="0"/>
        </w:rPr>
        <w:t>全年度经审计的供应商财务报告，包括 “四表一注”即《资产负债表》《利润表》《现金流量表》《所有者权益变动表》及其附注复印件，或者</w:t>
      </w:r>
      <w:r>
        <w:rPr>
          <w:rFonts w:hint="eastAsia" w:hAnsi="宋体" w:cs="华文仿宋"/>
        </w:rPr>
        <w:t>提交响应文件截止时间前</w:t>
      </w:r>
      <w:r>
        <w:rPr>
          <w:rFonts w:hint="eastAsia" w:hAnsi="宋体" w:cs="宋体"/>
          <w:color w:val="121212"/>
          <w:kern w:val="0"/>
        </w:rPr>
        <w:t>3个月</w:t>
      </w:r>
      <w:r>
        <w:rPr>
          <w:rFonts w:hint="eastAsia" w:hAnsi="宋体" w:cs="华文仿宋"/>
        </w:rPr>
        <w:t>内</w:t>
      </w:r>
      <w:r>
        <w:rPr>
          <w:rFonts w:hint="eastAsia" w:hAnsi="宋体" w:cs="宋体"/>
          <w:color w:val="000000"/>
        </w:rPr>
        <w:t>其基本账户开户银行出具的资信证明（附基本存款账户信息）</w:t>
      </w:r>
      <w:r>
        <w:rPr>
          <w:rFonts w:hint="eastAsia" w:hAnsi="宋体"/>
        </w:rPr>
        <w:t>；</w:t>
      </w:r>
    </w:p>
    <w:p>
      <w:pPr>
        <w:pStyle w:val="10"/>
        <w:spacing w:line="360" w:lineRule="auto"/>
        <w:ind w:firstLine="420" w:firstLineChars="200"/>
        <w:rPr>
          <w:rFonts w:hAnsi="宋体"/>
        </w:rPr>
      </w:pPr>
      <w:r>
        <w:rPr>
          <w:rFonts w:hint="eastAsia" w:hAnsi="宋体"/>
        </w:rPr>
        <w:t>（2）</w:t>
      </w:r>
      <w:r>
        <w:rPr>
          <w:rFonts w:hint="eastAsia" w:hAnsi="宋体" w:cs="宋体"/>
          <w:color w:val="121212"/>
          <w:kern w:val="0"/>
        </w:rPr>
        <w:t>供应商成立不到1年（</w:t>
      </w:r>
      <w:r>
        <w:rPr>
          <w:rFonts w:hint="eastAsia" w:hAnsi="宋体" w:cs="宋体"/>
          <w:kern w:val="0"/>
        </w:rPr>
        <w:t>至提交响应文件截止时间</w:t>
      </w:r>
      <w:r>
        <w:rPr>
          <w:rFonts w:hint="eastAsia" w:hAnsi="宋体" w:cs="宋体"/>
          <w:color w:val="121212"/>
          <w:kern w:val="0"/>
        </w:rPr>
        <w:t>）的，提供</w:t>
      </w:r>
      <w:r>
        <w:rPr>
          <w:rFonts w:hint="eastAsia" w:hAnsi="宋体" w:cs="华文仿宋"/>
          <w:color w:val="121212"/>
        </w:rPr>
        <w:t>成立后任意时段的资产负债表，或</w:t>
      </w:r>
      <w:r>
        <w:rPr>
          <w:rFonts w:hint="eastAsia" w:hAnsi="宋体" w:cs="宋体"/>
          <w:kern w:val="0"/>
        </w:rPr>
        <w:t>提交</w:t>
      </w:r>
      <w:r>
        <w:rPr>
          <w:rFonts w:hint="eastAsia" w:hAnsi="宋体"/>
        </w:rPr>
        <w:t>响应文件截止时间</w:t>
      </w:r>
      <w:r>
        <w:rPr>
          <w:rFonts w:hint="eastAsia" w:hAnsi="宋体" w:cs="宋体"/>
          <w:color w:val="121212"/>
          <w:kern w:val="0"/>
        </w:rPr>
        <w:t>前3个月</w:t>
      </w:r>
      <w:r>
        <w:rPr>
          <w:rFonts w:hint="eastAsia" w:hAnsi="宋体" w:cs="华文仿宋"/>
        </w:rPr>
        <w:t>内</w:t>
      </w:r>
      <w:r>
        <w:rPr>
          <w:rFonts w:hint="eastAsia" w:hAnsi="宋体" w:cs="宋体"/>
          <w:color w:val="000000"/>
        </w:rPr>
        <w:t>其基本账户开户银行出具的资信证明（附基本存款账户信息）</w:t>
      </w:r>
      <w:r>
        <w:rPr>
          <w:rFonts w:hint="eastAsia" w:hAnsi="宋体"/>
        </w:rPr>
        <w:t>；</w:t>
      </w:r>
    </w:p>
    <w:p>
      <w:pPr>
        <w:pStyle w:val="10"/>
        <w:spacing w:line="360" w:lineRule="auto"/>
        <w:ind w:firstLine="420" w:firstLineChars="200"/>
        <w:rPr>
          <w:rFonts w:hAnsi="宋体"/>
        </w:rPr>
      </w:pPr>
      <w:r>
        <w:rPr>
          <w:rFonts w:hint="eastAsia" w:hAnsi="宋体"/>
        </w:rPr>
        <w:t>（3）</w:t>
      </w:r>
      <w:r>
        <w:rPr>
          <w:rFonts w:hint="eastAsia" w:hAnsi="宋体" w:cs="宋体"/>
          <w:color w:val="121212"/>
          <w:kern w:val="0"/>
        </w:rPr>
        <w:t>部分其他组织和自然人，提供</w:t>
      </w:r>
      <w:r>
        <w:rPr>
          <w:rFonts w:hint="eastAsia" w:hAnsi="宋体" w:cs="华文仿宋"/>
        </w:rPr>
        <w:t>提交响应文件截止时间前</w:t>
      </w:r>
      <w:r>
        <w:rPr>
          <w:rFonts w:hint="eastAsia" w:hAnsi="宋体" w:cs="宋体"/>
          <w:color w:val="121212"/>
          <w:kern w:val="0"/>
        </w:rPr>
        <w:t>3个月</w:t>
      </w:r>
      <w:r>
        <w:rPr>
          <w:rFonts w:hint="eastAsia" w:hAnsi="宋体" w:cs="华文仿宋"/>
        </w:rPr>
        <w:t>内</w:t>
      </w:r>
      <w:r>
        <w:rPr>
          <w:rFonts w:hint="eastAsia" w:hAnsi="宋体" w:cs="宋体"/>
          <w:color w:val="000000"/>
        </w:rPr>
        <w:t>银行出具的资信证明（附账户信息）</w:t>
      </w:r>
      <w:r>
        <w:rPr>
          <w:rFonts w:hint="eastAsia" w:hAnsi="宋体"/>
        </w:rPr>
        <w:t>；</w:t>
      </w:r>
    </w:p>
    <w:p>
      <w:pPr>
        <w:pStyle w:val="10"/>
        <w:spacing w:line="360" w:lineRule="auto"/>
        <w:ind w:firstLine="420" w:firstLineChars="200"/>
        <w:rPr>
          <w:rFonts w:hAnsi="宋体"/>
        </w:rPr>
      </w:pPr>
      <w:r>
        <w:rPr>
          <w:rFonts w:hint="eastAsia" w:hAnsi="宋体"/>
        </w:rPr>
        <w:t>（4）</w:t>
      </w:r>
      <w:r>
        <w:rPr>
          <w:rFonts w:hint="eastAsia" w:hAnsi="宋体" w:cs="宋体"/>
          <w:color w:val="121212"/>
          <w:kern w:val="0"/>
        </w:rPr>
        <w:t>公益类事业单位无需提供财务审计报告</w:t>
      </w:r>
      <w:r>
        <w:rPr>
          <w:rFonts w:hint="eastAsia" w:hAnsi="宋体"/>
        </w:rPr>
        <w:t>。</w:t>
      </w:r>
    </w:p>
    <w:p>
      <w:pPr>
        <w:pStyle w:val="10"/>
        <w:adjustRightInd w:val="0"/>
        <w:snapToGrid w:val="0"/>
        <w:spacing w:line="360" w:lineRule="auto"/>
        <w:ind w:firstLine="420" w:firstLineChars="200"/>
        <w:rPr>
          <w:rFonts w:hAnsi="宋体"/>
          <w:color w:val="000000"/>
        </w:rPr>
      </w:pPr>
      <w:r>
        <w:rPr>
          <w:rFonts w:hint="eastAsia" w:hAnsi="宋体"/>
          <w:color w:val="000000"/>
        </w:rPr>
        <w:t>提供原件的扫描件或</w:t>
      </w:r>
      <w:r>
        <w:rPr>
          <w:rFonts w:hint="eastAsia" w:hAnsi="宋体"/>
          <w:color w:val="000000" w:themeColor="text1"/>
          <w:lang w:val="zh-CN"/>
          <w14:textFill>
            <w14:solidFill>
              <w14:schemeClr w14:val="tx1"/>
            </w14:solidFill>
          </w14:textFill>
        </w:rPr>
        <w:t>复印件</w:t>
      </w:r>
      <w:r>
        <w:rPr>
          <w:rFonts w:hint="eastAsia" w:hAnsi="宋体"/>
          <w:color w:val="000000"/>
        </w:rPr>
        <w:t>，并加盖供应商单位章。</w:t>
      </w:r>
    </w:p>
    <w:p>
      <w:pPr>
        <w:pStyle w:val="10"/>
        <w:spacing w:line="360" w:lineRule="auto"/>
        <w:ind w:firstLine="420" w:firstLineChars="200"/>
        <w:rPr>
          <w:rFonts w:hAnsi="宋体"/>
        </w:rPr>
      </w:pPr>
      <w:r>
        <w:rPr>
          <w:rFonts w:hAnsi="宋体" w:cs="宋体"/>
          <w:b/>
          <w:kern w:val="0"/>
        </w:rPr>
        <w:t>注：</w:t>
      </w:r>
      <w:r>
        <w:rPr>
          <w:rFonts w:hint="eastAsia" w:hAnsi="宋体" w:cs="宋体"/>
          <w:color w:val="000000"/>
          <w:kern w:val="0"/>
        </w:rPr>
        <w:t>财务会计报告</w:t>
      </w:r>
      <w:r>
        <w:rPr>
          <w:rFonts w:hint="eastAsia" w:hAnsi="宋体" w:cs="宋体"/>
          <w:kern w:val="0"/>
        </w:rPr>
        <w:t>“四表一注”不齐全的，为不合格；资信证明不符合要求的，视为不合格；</w:t>
      </w:r>
    </w:p>
    <w:p>
      <w:pPr>
        <w:pStyle w:val="10"/>
        <w:spacing w:line="360" w:lineRule="auto"/>
        <w:ind w:firstLine="420" w:firstLineChars="200"/>
        <w:rPr>
          <w:rFonts w:hAnsi="宋体"/>
        </w:rPr>
      </w:pPr>
    </w:p>
    <w:p>
      <w:pPr>
        <w:pStyle w:val="10"/>
        <w:adjustRightInd w:val="0"/>
        <w:snapToGrid w:val="0"/>
        <w:spacing w:line="360" w:lineRule="auto"/>
        <w:ind w:firstLine="420" w:firstLineChars="200"/>
        <w:jc w:val="left"/>
        <w:rPr>
          <w:rFonts w:hAnsi="宋体"/>
          <w:color w:val="000000" w:themeColor="text1"/>
          <w14:textFill>
            <w14:solidFill>
              <w14:schemeClr w14:val="tx1"/>
            </w14:solidFill>
          </w14:textFill>
        </w:rPr>
      </w:pPr>
    </w:p>
    <w:p>
      <w:pPr>
        <w:widowControl/>
        <w:jc w:val="left"/>
        <w:rPr>
          <w:color w:val="000000" w:themeColor="text1"/>
          <w:lang w:val="zh-CN"/>
          <w14:textFill>
            <w14:solidFill>
              <w14:schemeClr w14:val="tx1"/>
            </w14:solidFill>
          </w14:textFill>
        </w:rPr>
      </w:pPr>
      <w:r>
        <w:rPr>
          <w:color w:val="000000" w:themeColor="text1"/>
          <w:lang w:val="zh-CN"/>
          <w14:textFill>
            <w14:solidFill>
              <w14:schemeClr w14:val="tx1"/>
            </w14:solidFill>
          </w14:textFill>
        </w:rPr>
        <w:br w:type="page"/>
      </w:r>
    </w:p>
    <w:p>
      <w:pPr>
        <w:widowControl/>
        <w:jc w:val="left"/>
        <w:rPr>
          <w:color w:val="000000" w:themeColor="text1"/>
          <w:lang w:val="zh-CN"/>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附件1:</w:t>
      </w:r>
    </w:p>
    <w:p>
      <w:pPr>
        <w:pStyle w:val="10"/>
        <w:adjustRightInd w:val="0"/>
        <w:snapToGrid w:val="0"/>
        <w:spacing w:line="360" w:lineRule="auto"/>
        <w:ind w:firstLine="640" w:firstLineChars="200"/>
        <w:jc w:val="center"/>
        <w:rPr>
          <w:rFonts w:hAnsi="宋体" w:cs="宋体"/>
          <w:b/>
          <w:bCs/>
          <w:color w:val="000000" w:themeColor="text1"/>
          <w:sz w:val="32"/>
          <w:szCs w:val="32"/>
          <w14:textFill>
            <w14:solidFill>
              <w14:schemeClr w14:val="tx1"/>
            </w14:solidFill>
          </w14:textFill>
        </w:rPr>
      </w:pPr>
      <w:r>
        <w:rPr>
          <w:rFonts w:hint="eastAsia" w:hAnsi="宋体" w:cs="宋体"/>
          <w:b/>
          <w:bCs/>
          <w:color w:val="000000" w:themeColor="text1"/>
          <w:sz w:val="32"/>
          <w:szCs w:val="32"/>
          <w14:textFill>
            <w14:solidFill>
              <w14:schemeClr w14:val="tx1"/>
            </w14:solidFill>
          </w14:textFill>
        </w:rPr>
        <w:t>基本存款账户信息</w:t>
      </w:r>
    </w:p>
    <w:p>
      <w:pPr>
        <w:pStyle w:val="10"/>
        <w:adjustRightInd w:val="0"/>
        <w:snapToGrid w:val="0"/>
        <w:spacing w:line="360" w:lineRule="auto"/>
        <w:ind w:firstLine="420" w:firstLineChars="200"/>
        <w:rPr>
          <w:rFonts w:hAnsi="宋体" w:cs="宋体"/>
          <w:color w:val="000000" w:themeColor="text1"/>
          <w14:textFill>
            <w14:solidFill>
              <w14:schemeClr w14:val="tx1"/>
            </w14:solidFill>
          </w14:textFill>
        </w:rPr>
      </w:pPr>
    </w:p>
    <w:p>
      <w:pPr>
        <w:pStyle w:val="10"/>
        <w:adjustRightInd w:val="0"/>
        <w:snapToGrid w:val="0"/>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账户名称：</w:t>
      </w:r>
    </w:p>
    <w:p>
      <w:pPr>
        <w:pStyle w:val="10"/>
        <w:adjustRightInd w:val="0"/>
        <w:snapToGrid w:val="0"/>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账户号码：</w:t>
      </w:r>
    </w:p>
    <w:p>
      <w:pPr>
        <w:pStyle w:val="10"/>
        <w:adjustRightInd w:val="0"/>
        <w:snapToGrid w:val="0"/>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开户银行：</w:t>
      </w:r>
    </w:p>
    <w:p>
      <w:pPr>
        <w:pStyle w:val="10"/>
        <w:adjustRightInd w:val="0"/>
        <w:snapToGrid w:val="0"/>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法定代表人（单位负责人）：                （签名）</w:t>
      </w:r>
    </w:p>
    <w:p>
      <w:pPr>
        <w:pStyle w:val="10"/>
        <w:adjustRightInd w:val="0"/>
        <w:snapToGrid w:val="0"/>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基本存款账户编号： </w:t>
      </w:r>
    </w:p>
    <w:p>
      <w:pPr>
        <w:pStyle w:val="10"/>
        <w:adjustRightInd w:val="0"/>
        <w:snapToGrid w:val="0"/>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供应商名称：                （加盖单位章）</w:t>
      </w:r>
    </w:p>
    <w:p>
      <w:pPr>
        <w:pStyle w:val="10"/>
        <w:adjustRightInd w:val="0"/>
        <w:snapToGrid w:val="0"/>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日期：    年  月  日</w:t>
      </w:r>
    </w:p>
    <w:p>
      <w:pPr>
        <w:pStyle w:val="10"/>
        <w:adjustRightInd w:val="0"/>
        <w:snapToGrid w:val="0"/>
        <w:spacing w:line="360" w:lineRule="auto"/>
        <w:jc w:val="left"/>
        <w:rPr>
          <w:b/>
          <w:color w:val="000000" w:themeColor="text1"/>
          <w:sz w:val="24"/>
          <w:szCs w:val="24"/>
          <w14:textFill>
            <w14:solidFill>
              <w14:schemeClr w14:val="tx1"/>
            </w14:solidFill>
          </w14:textFill>
        </w:rPr>
      </w:pPr>
      <w:r>
        <w:rPr>
          <w:color w:val="000000" w:themeColor="text1"/>
          <w:lang w:val="zh-CN"/>
          <w14:textFill>
            <w14:solidFill>
              <w14:schemeClr w14:val="tx1"/>
            </w14:solidFill>
          </w14:textFill>
        </w:rPr>
        <w:br w:type="page"/>
      </w:r>
    </w:p>
    <w:p>
      <w:pPr>
        <w:pStyle w:val="10"/>
        <w:adjustRightInd w:val="0"/>
        <w:snapToGrid w:val="0"/>
        <w:spacing w:line="360" w:lineRule="auto"/>
        <w:jc w:val="center"/>
        <w:outlineLvl w:val="2"/>
        <w:rPr>
          <w:rFonts w:hAnsi="宋体" w:cs="宋体"/>
          <w:color w:val="000000" w:themeColor="text1"/>
          <w:sz w:val="32"/>
          <w:szCs w:val="32"/>
          <w14:textFill>
            <w14:solidFill>
              <w14:schemeClr w14:val="tx1"/>
            </w14:solidFill>
          </w14:textFill>
        </w:rPr>
      </w:pPr>
      <w:r>
        <w:rPr>
          <w:rFonts w:hint="eastAsia" w:hAnsi="宋体" w:cs="宋体"/>
          <w:b/>
          <w:bCs/>
          <w:color w:val="000000" w:themeColor="text1"/>
          <w:sz w:val="32"/>
          <w:szCs w:val="32"/>
          <w14:textFill>
            <w14:solidFill>
              <w14:schemeClr w14:val="tx1"/>
            </w14:solidFill>
          </w14:textFill>
        </w:rPr>
        <w:t>6.税收缴纳证明</w:t>
      </w:r>
    </w:p>
    <w:p>
      <w:pPr>
        <w:pStyle w:val="10"/>
        <w:adjustRightInd w:val="0"/>
        <w:snapToGrid w:val="0"/>
        <w:jc w:val="left"/>
        <w:rPr>
          <w:rFonts w:hAnsi="宋体"/>
          <w:color w:val="000000" w:themeColor="text1"/>
          <w:lang w:val="zh-CN"/>
          <w14:textFill>
            <w14:solidFill>
              <w14:schemeClr w14:val="tx1"/>
            </w14:solidFill>
          </w14:textFill>
        </w:rPr>
      </w:pPr>
    </w:p>
    <w:p>
      <w:pPr>
        <w:pStyle w:val="10"/>
        <w:adjustRightInd w:val="0"/>
        <w:snapToGrid w:val="0"/>
        <w:spacing w:line="360" w:lineRule="auto"/>
        <w:jc w:val="left"/>
        <w:rPr>
          <w:rFonts w:hAnsi="宋体"/>
          <w:color w:val="000000" w:themeColor="text1"/>
          <w:lang w:val="zh-CN"/>
          <w14:textFill>
            <w14:solidFill>
              <w14:schemeClr w14:val="tx1"/>
            </w14:solidFill>
          </w14:textFill>
        </w:rPr>
      </w:pPr>
    </w:p>
    <w:p>
      <w:pPr>
        <w:pStyle w:val="10"/>
        <w:adjustRightInd w:val="0"/>
        <w:snapToGrid w:val="0"/>
        <w:spacing w:line="360" w:lineRule="auto"/>
        <w:ind w:firstLine="420" w:firstLineChars="200"/>
        <w:jc w:val="left"/>
        <w:rPr>
          <w:rFonts w:hAnsi="宋体"/>
          <w:color w:val="000000" w:themeColor="text1"/>
          <w:lang w:val="zh-CN"/>
          <w14:textFill>
            <w14:solidFill>
              <w14:schemeClr w14:val="tx1"/>
            </w14:solidFill>
          </w14:textFill>
        </w:rPr>
      </w:pPr>
      <w:r>
        <w:rPr>
          <w:rFonts w:hint="eastAsia" w:hAnsi="宋体"/>
          <w:color w:val="000000" w:themeColor="text1"/>
          <w:lang w:val="zh-CN"/>
          <w14:textFill>
            <w14:solidFill>
              <w14:schemeClr w14:val="tx1"/>
            </w14:solidFill>
          </w14:textFill>
        </w:rPr>
        <w:t>说明：（1）</w:t>
      </w:r>
      <w:r>
        <w:rPr>
          <w:rFonts w:hint="eastAsia" w:hAnsi="宋体" w:cs="宋体"/>
          <w:color w:val="121212"/>
          <w:kern w:val="0"/>
        </w:rPr>
        <w:t>供应商是</w:t>
      </w:r>
      <w:r>
        <w:rPr>
          <w:rFonts w:hint="eastAsia" w:hAnsi="宋体" w:cs="宋体"/>
          <w:kern w:val="0"/>
        </w:rPr>
        <w:t>法定代表人（单位负责人）</w:t>
      </w:r>
      <w:r>
        <w:rPr>
          <w:rFonts w:hint="eastAsia" w:hAnsi="宋体" w:cs="宋体"/>
          <w:color w:val="121212"/>
          <w:kern w:val="0"/>
        </w:rPr>
        <w:t>的，</w:t>
      </w:r>
      <w:r>
        <w:rPr>
          <w:rFonts w:hint="eastAsia" w:hAnsi="宋体" w:cs="宋体"/>
          <w:kern w:val="0"/>
        </w:rPr>
        <w:t>提供</w:t>
      </w:r>
      <w:r>
        <w:rPr>
          <w:rFonts w:hint="eastAsia" w:hAnsi="宋体" w:cs="宋体"/>
          <w:color w:val="121212"/>
          <w:kern w:val="0"/>
        </w:rPr>
        <w:t>供应商自</w:t>
      </w:r>
      <w:r>
        <w:rPr>
          <w:rFonts w:hint="eastAsia" w:hAnsi="宋体" w:cs="华文仿宋"/>
        </w:rPr>
        <w:t>提交响应文件截止时间前</w:t>
      </w:r>
      <w:r>
        <w:rPr>
          <w:rFonts w:hint="eastAsia" w:hAnsi="宋体"/>
        </w:rPr>
        <w:t>1年内</w:t>
      </w:r>
      <w:r>
        <w:rPr>
          <w:rFonts w:hint="eastAsia" w:hAnsi="宋体" w:cs="宋体"/>
          <w:kern w:val="0"/>
        </w:rPr>
        <w:t>已缴纳任意时段完税（任意税种，个人所得税除外）凭证（复印件）或税务机关开具的完税证明</w:t>
      </w:r>
      <w:r>
        <w:rPr>
          <w:rFonts w:hint="eastAsia" w:hAnsi="宋体"/>
          <w:color w:val="000000" w:themeColor="text1"/>
          <w:lang w:val="zh-CN"/>
          <w14:textFill>
            <w14:solidFill>
              <w14:schemeClr w14:val="tx1"/>
            </w14:solidFill>
          </w14:textFill>
        </w:rPr>
        <w:t>；</w:t>
      </w:r>
    </w:p>
    <w:p>
      <w:pPr>
        <w:pStyle w:val="10"/>
        <w:adjustRightInd w:val="0"/>
        <w:snapToGrid w:val="0"/>
        <w:spacing w:line="360" w:lineRule="auto"/>
        <w:ind w:firstLine="420" w:firstLineChars="200"/>
        <w:jc w:val="left"/>
        <w:rPr>
          <w:rFonts w:hAnsi="宋体"/>
          <w:color w:val="000000" w:themeColor="text1"/>
          <w:lang w:val="zh-CN"/>
          <w14:textFill>
            <w14:solidFill>
              <w14:schemeClr w14:val="tx1"/>
            </w14:solidFill>
          </w14:textFill>
        </w:rPr>
      </w:pPr>
      <w:r>
        <w:rPr>
          <w:rFonts w:hint="eastAsia" w:hAnsi="宋体"/>
          <w:color w:val="000000" w:themeColor="text1"/>
          <w:lang w:val="zh-CN"/>
          <w14:textFill>
            <w14:solidFill>
              <w14:schemeClr w14:val="tx1"/>
            </w14:solidFill>
          </w14:textFill>
        </w:rPr>
        <w:t>（2）依法免税的应提供相关文件证明；</w:t>
      </w:r>
    </w:p>
    <w:p>
      <w:pPr>
        <w:pStyle w:val="10"/>
        <w:adjustRightInd w:val="0"/>
        <w:snapToGrid w:val="0"/>
        <w:spacing w:line="360" w:lineRule="auto"/>
        <w:ind w:firstLine="420" w:firstLineChars="200"/>
        <w:jc w:val="left"/>
        <w:rPr>
          <w:rFonts w:hAnsi="宋体"/>
          <w:color w:val="000000" w:themeColor="text1"/>
          <w:lang w:val="zh-CN"/>
          <w14:textFill>
            <w14:solidFill>
              <w14:schemeClr w14:val="tx1"/>
            </w14:solidFill>
          </w14:textFill>
        </w:rPr>
      </w:pPr>
      <w:r>
        <w:rPr>
          <w:rFonts w:hint="eastAsia" w:hAnsi="宋体"/>
          <w:color w:val="000000" w:themeColor="text1"/>
          <w:lang w:val="zh-CN"/>
          <w14:textFill>
            <w14:solidFill>
              <w14:schemeClr w14:val="tx1"/>
            </w14:solidFill>
          </w14:textFill>
        </w:rPr>
        <w:t>（3）新成立（至提交响应文件截止时间不足1年）未发生缴纳税收事项的供应商，应按附件2格式提供依法缴纳税收书面承诺；</w:t>
      </w:r>
    </w:p>
    <w:p>
      <w:pPr>
        <w:pStyle w:val="10"/>
        <w:adjustRightInd w:val="0"/>
        <w:snapToGrid w:val="0"/>
        <w:spacing w:line="360" w:lineRule="auto"/>
        <w:ind w:firstLine="420" w:firstLineChars="200"/>
        <w:jc w:val="left"/>
        <w:rPr>
          <w:rFonts w:hAnsi="宋体"/>
          <w:color w:val="000000" w:themeColor="text1"/>
          <w:lang w:val="zh-CN"/>
          <w14:textFill>
            <w14:solidFill>
              <w14:schemeClr w14:val="tx1"/>
            </w14:solidFill>
          </w14:textFill>
        </w:rPr>
      </w:pPr>
      <w:r>
        <w:rPr>
          <w:rFonts w:hint="eastAsia" w:hAnsi="宋体"/>
          <w:color w:val="000000" w:themeColor="text1"/>
          <w:lang w:val="zh-CN"/>
          <w14:textFill>
            <w14:solidFill>
              <w14:schemeClr w14:val="tx1"/>
            </w14:solidFill>
          </w14:textFill>
        </w:rPr>
        <w:t>（4）公益类事业单位无需提供；</w:t>
      </w:r>
    </w:p>
    <w:p>
      <w:pPr>
        <w:pStyle w:val="10"/>
        <w:adjustRightInd w:val="0"/>
        <w:snapToGrid w:val="0"/>
        <w:spacing w:line="360" w:lineRule="auto"/>
        <w:ind w:firstLine="420" w:firstLineChars="200"/>
        <w:jc w:val="left"/>
        <w:rPr>
          <w:rFonts w:hAnsi="宋体"/>
          <w:color w:val="000000" w:themeColor="text1"/>
          <w:lang w:val="zh-CN"/>
          <w14:textFill>
            <w14:solidFill>
              <w14:schemeClr w14:val="tx1"/>
            </w14:solidFill>
          </w14:textFill>
        </w:rPr>
      </w:pPr>
      <w:r>
        <w:rPr>
          <w:rFonts w:hint="eastAsia" w:hAnsi="宋体"/>
          <w:color w:val="000000" w:themeColor="text1"/>
          <w:lang w:val="zh-CN"/>
          <w14:textFill>
            <w14:solidFill>
              <w14:schemeClr w14:val="tx1"/>
            </w14:solidFill>
          </w14:textFill>
        </w:rPr>
        <w:t>提供原件的扫描件或复印件，并加盖供应商单位章。</w:t>
      </w:r>
    </w:p>
    <w:p>
      <w:pPr>
        <w:pStyle w:val="10"/>
        <w:adjustRightInd w:val="0"/>
        <w:snapToGrid w:val="0"/>
        <w:spacing w:line="360" w:lineRule="auto"/>
        <w:ind w:firstLine="420" w:firstLineChars="200"/>
        <w:jc w:val="left"/>
        <w:rPr>
          <w:rFonts w:hAnsi="宋体"/>
          <w:color w:val="000000" w:themeColor="text1"/>
          <w:lang w:val="zh-CN"/>
          <w14:textFill>
            <w14:solidFill>
              <w14:schemeClr w14:val="tx1"/>
            </w14:solidFill>
          </w14:textFill>
        </w:rPr>
      </w:pPr>
      <w:r>
        <w:rPr>
          <w:rFonts w:hAnsi="宋体"/>
          <w:color w:val="000000" w:themeColor="text1"/>
          <w:lang w:val="zh-CN"/>
          <w14:textFill>
            <w14:solidFill>
              <w14:schemeClr w14:val="tx1"/>
            </w14:solidFill>
          </w14:textFill>
        </w:rPr>
        <w:t>注：</w:t>
      </w:r>
      <w:r>
        <w:rPr>
          <w:rFonts w:hint="eastAsia" w:hAnsi="宋体" w:cs="宋体"/>
          <w:color w:val="000000"/>
          <w:kern w:val="0"/>
        </w:rPr>
        <w:t>纳税凭证或完税证明上应有代收机构或税务机关的公章或业务专用章。</w:t>
      </w:r>
    </w:p>
    <w:p>
      <w:pPr>
        <w:widowControl/>
        <w:jc w:val="left"/>
        <w:rPr>
          <w:rFonts w:ascii="宋体" w:hAnsi="宋体" w:cs="Courier New"/>
          <w:color w:val="000000" w:themeColor="text1"/>
          <w:szCs w:val="21"/>
          <w14:textFill>
            <w14:solidFill>
              <w14:schemeClr w14:val="tx1"/>
            </w14:solidFill>
          </w14:textFill>
        </w:rPr>
      </w:pPr>
      <w:r>
        <w:rPr>
          <w:rFonts w:hAnsi="宋体"/>
          <w:color w:val="000000" w:themeColor="text1"/>
          <w14:textFill>
            <w14:solidFill>
              <w14:schemeClr w14:val="tx1"/>
            </w14:solidFill>
          </w14:textFill>
        </w:rPr>
        <w:br w:type="page"/>
      </w:r>
    </w:p>
    <w:p>
      <w:pPr>
        <w:widowControl/>
        <w:jc w:val="left"/>
        <w:rPr>
          <w:rFonts w:ascii="宋体" w:hAnsi="宋体" w:cs="Courier New"/>
          <w:color w:val="000000" w:themeColor="text1"/>
          <w:szCs w:val="21"/>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附件2</w:t>
      </w:r>
    </w:p>
    <w:p>
      <w:pPr>
        <w:tabs>
          <w:tab w:val="left" w:pos="2085"/>
        </w:tabs>
        <w:spacing w:line="560" w:lineRule="exact"/>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依法缴纳税收承诺书</w:t>
      </w:r>
    </w:p>
    <w:p>
      <w:pPr>
        <w:pStyle w:val="5"/>
        <w:spacing w:before="720" w:beforeLines="300" w:after="120" w:afterLines="50" w:line="360" w:lineRule="auto"/>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陕西隆信项目管理有限公司： </w:t>
      </w:r>
    </w:p>
    <w:p>
      <w:pPr>
        <w:pStyle w:val="10"/>
        <w:adjustRightInd w:val="0"/>
        <w:snapToGrid w:val="0"/>
        <w:spacing w:line="360" w:lineRule="auto"/>
        <w:ind w:firstLine="42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我方参与</w:t>
      </w:r>
      <w:r>
        <w:rPr>
          <w:rFonts w:hint="eastAsia" w:hAnsi="宋体"/>
          <w:color w:val="000000" w:themeColor="text1"/>
          <w:u w:val="single"/>
          <w14:textFill>
            <w14:solidFill>
              <w14:schemeClr w14:val="tx1"/>
            </w14:solidFill>
          </w14:textFill>
        </w:rPr>
        <w:t>（项目名称）（项目编号）</w:t>
      </w:r>
      <w:r>
        <w:rPr>
          <w:rFonts w:hint="eastAsia" w:hAnsi="宋体"/>
          <w:color w:val="000000" w:themeColor="text1"/>
          <w14:textFill>
            <w14:solidFill>
              <w14:schemeClr w14:val="tx1"/>
            </w14:solidFill>
          </w14:textFill>
        </w:rPr>
        <w:t>项目的政府采购活动，现承诺如下：</w:t>
      </w:r>
    </w:p>
    <w:p>
      <w:pPr>
        <w:pStyle w:val="10"/>
        <w:adjustRightInd w:val="0"/>
        <w:snapToGrid w:val="0"/>
        <w:spacing w:line="360" w:lineRule="auto"/>
        <w:ind w:firstLine="42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我方承诺将依法缴纳税收，并符合《中华人民共和国政府采购法》及其实施条例和磋商文件资格要求的规定。</w:t>
      </w:r>
    </w:p>
    <w:p>
      <w:pPr>
        <w:pStyle w:val="10"/>
        <w:adjustRightInd w:val="0"/>
        <w:snapToGrid w:val="0"/>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若我方以上承诺不实，自愿承担提供虚假材料谋取中标的法律责任。</w:t>
      </w:r>
    </w:p>
    <w:p>
      <w:pPr>
        <w:pStyle w:val="10"/>
        <w:adjustRightInd w:val="0"/>
        <w:snapToGrid w:val="0"/>
        <w:spacing w:line="360" w:lineRule="auto"/>
        <w:jc w:val="left"/>
        <w:rPr>
          <w:rFonts w:hAnsi="宋体"/>
          <w:color w:val="000000" w:themeColor="text1"/>
          <w14:textFill>
            <w14:solidFill>
              <w14:schemeClr w14:val="tx1"/>
            </w14:solidFill>
          </w14:textFill>
        </w:rPr>
      </w:pPr>
    </w:p>
    <w:p>
      <w:pPr>
        <w:pStyle w:val="10"/>
        <w:adjustRightInd w:val="0"/>
        <w:snapToGrid w:val="0"/>
        <w:spacing w:line="480" w:lineRule="auto"/>
        <w:jc w:val="left"/>
        <w:rPr>
          <w:rFonts w:hAnsi="宋体"/>
          <w:color w:val="000000" w:themeColor="text1"/>
          <w14:textFill>
            <w14:solidFill>
              <w14:schemeClr w14:val="tx1"/>
            </w14:solidFill>
          </w14:textFill>
        </w:rPr>
      </w:pPr>
    </w:p>
    <w:p>
      <w:pPr>
        <w:pStyle w:val="5"/>
        <w:spacing w:line="72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 诺 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（供应商名称、盖单位章）</w:t>
      </w:r>
    </w:p>
    <w:p>
      <w:pPr>
        <w:pStyle w:val="5"/>
        <w:spacing w:line="72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法定代表人（单位负责人）或委托代理人：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（签名）</w:t>
      </w:r>
    </w:p>
    <w:p>
      <w:pPr>
        <w:pStyle w:val="10"/>
        <w:adjustRightInd w:val="0"/>
        <w:snapToGrid w:val="0"/>
        <w:spacing w:line="720" w:lineRule="auto"/>
        <w:ind w:firstLine="420" w:firstLineChars="200"/>
        <w:rPr>
          <w:rFonts w:hAnsi="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日  期：20</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年</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月</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日</w:t>
      </w:r>
      <w:r>
        <w:rPr>
          <w:color w:val="000000" w:themeColor="text1"/>
          <w:lang w:val="zh-CN"/>
          <w14:textFill>
            <w14:solidFill>
              <w14:schemeClr w14:val="tx1"/>
            </w14:solidFill>
          </w14:textFill>
        </w:rPr>
        <w:br w:type="page"/>
      </w:r>
    </w:p>
    <w:p>
      <w:pPr>
        <w:pStyle w:val="5"/>
        <w:spacing w:after="120" w:afterLines="50" w:line="360" w:lineRule="auto"/>
        <w:ind w:firstLine="0" w:firstLineChars="0"/>
        <w:jc w:val="center"/>
        <w:rPr>
          <w:rFonts w:ascii="宋体" w:hAnsi="宋体" w:cs="宋体"/>
          <w:color w:val="000000" w:themeColor="text1"/>
          <w:sz w:val="32"/>
          <w:szCs w:val="32"/>
          <w14:textFill>
            <w14:solidFill>
              <w14:schemeClr w14:val="tx1"/>
            </w14:solidFill>
          </w14:textFill>
        </w:rPr>
      </w:pPr>
      <w:r>
        <w:rPr>
          <w:rFonts w:hint="eastAsia" w:hAnsi="宋体" w:cs="宋体"/>
          <w:b/>
          <w:bCs/>
          <w:color w:val="000000" w:themeColor="text1"/>
          <w:sz w:val="32"/>
          <w:szCs w:val="32"/>
          <w14:textFill>
            <w14:solidFill>
              <w14:schemeClr w14:val="tx1"/>
            </w14:solidFill>
          </w14:textFill>
        </w:rPr>
        <w:t>7.社会保障资金缴纳证明</w:t>
      </w:r>
    </w:p>
    <w:p>
      <w:pPr>
        <w:pStyle w:val="10"/>
        <w:adjustRightInd w:val="0"/>
        <w:snapToGrid w:val="0"/>
        <w:spacing w:line="360" w:lineRule="auto"/>
        <w:jc w:val="left"/>
        <w:rPr>
          <w:rFonts w:hAnsi="宋体" w:cs="宋体"/>
          <w:color w:val="000000" w:themeColor="text1"/>
          <w:sz w:val="24"/>
          <w:szCs w:val="24"/>
          <w14:textFill>
            <w14:solidFill>
              <w14:schemeClr w14:val="tx1"/>
            </w14:solidFill>
          </w14:textFill>
        </w:rPr>
      </w:pPr>
    </w:p>
    <w:p>
      <w:pPr>
        <w:pStyle w:val="10"/>
        <w:adjustRightInd w:val="0"/>
        <w:snapToGrid w:val="0"/>
        <w:spacing w:line="360" w:lineRule="auto"/>
        <w:jc w:val="left"/>
        <w:rPr>
          <w:rFonts w:hAnsi="宋体" w:cs="宋体"/>
          <w:color w:val="000000" w:themeColor="text1"/>
          <w:sz w:val="24"/>
          <w:szCs w:val="24"/>
          <w14:textFill>
            <w14:solidFill>
              <w14:schemeClr w14:val="tx1"/>
            </w14:solidFill>
          </w14:textFill>
        </w:rPr>
      </w:pPr>
    </w:p>
    <w:p>
      <w:pPr>
        <w:pStyle w:val="10"/>
        <w:spacing w:line="360" w:lineRule="auto"/>
        <w:ind w:firstLine="210"/>
        <w:rPr>
          <w:rFonts w:hAnsi="宋体"/>
        </w:rPr>
      </w:pPr>
      <w:r>
        <w:rPr>
          <w:rFonts w:hint="eastAsia" w:hAnsi="宋体"/>
        </w:rPr>
        <w:t>说明：（1）</w:t>
      </w:r>
      <w:r>
        <w:rPr>
          <w:rFonts w:hint="eastAsia" w:hAnsi="宋体" w:cs="宋体"/>
          <w:color w:val="121212"/>
          <w:kern w:val="0"/>
        </w:rPr>
        <w:t>供应商是</w:t>
      </w:r>
      <w:r>
        <w:rPr>
          <w:rFonts w:hint="eastAsia" w:hAnsi="宋体" w:cs="宋体"/>
          <w:kern w:val="0"/>
        </w:rPr>
        <w:t>法定代表人（单位负责人）</w:t>
      </w:r>
      <w:r>
        <w:rPr>
          <w:rFonts w:hint="eastAsia" w:hAnsi="宋体" w:cs="宋体"/>
          <w:color w:val="121212"/>
          <w:kern w:val="0"/>
        </w:rPr>
        <w:t>的，</w:t>
      </w:r>
      <w:r>
        <w:rPr>
          <w:rFonts w:hint="eastAsia" w:hAnsi="宋体"/>
        </w:rPr>
        <w:t>提供供应</w:t>
      </w:r>
      <w:r>
        <w:rPr>
          <w:rFonts w:hint="eastAsia" w:hAnsi="宋体"/>
          <w:color w:val="000000" w:themeColor="text1"/>
          <w:lang w:val="zh-CN"/>
          <w14:textFill>
            <w14:solidFill>
              <w14:schemeClr w14:val="tx1"/>
            </w14:solidFill>
          </w14:textFill>
        </w:rPr>
        <w:t>自响应截止时间前1年内</w:t>
      </w:r>
      <w:r>
        <w:rPr>
          <w:rFonts w:hint="eastAsia" w:hAnsi="宋体"/>
        </w:rPr>
        <w:t>已缴存的任意时段的社会保障资金缴存单据或社保机构开具的社会保险参保缴费情况证明；</w:t>
      </w:r>
    </w:p>
    <w:p>
      <w:pPr>
        <w:spacing w:line="360" w:lineRule="auto"/>
        <w:ind w:firstLine="482"/>
        <w:rPr>
          <w:rFonts w:ascii="宋体" w:hAnsi="宋体"/>
        </w:rPr>
      </w:pPr>
      <w:r>
        <w:rPr>
          <w:rFonts w:hint="eastAsia" w:ascii="宋体" w:hAnsi="宋体"/>
        </w:rPr>
        <w:t>（2）</w:t>
      </w:r>
      <w:r>
        <w:rPr>
          <w:rFonts w:ascii="宋体" w:hAnsi="宋体"/>
        </w:rPr>
        <w:t>依法不需要缴纳社会保障资金的</w:t>
      </w:r>
      <w:r>
        <w:rPr>
          <w:rFonts w:hint="eastAsia" w:ascii="宋体" w:hAnsi="宋体"/>
        </w:rPr>
        <w:t>供应商</w:t>
      </w:r>
      <w:r>
        <w:rPr>
          <w:rFonts w:ascii="宋体" w:hAnsi="宋体"/>
        </w:rPr>
        <w:t>应提供相关文件证明</w:t>
      </w:r>
      <w:r>
        <w:rPr>
          <w:rFonts w:hint="eastAsia" w:ascii="宋体" w:hAnsi="宋体"/>
        </w:rPr>
        <w:t>；</w:t>
      </w:r>
    </w:p>
    <w:p>
      <w:pPr>
        <w:pStyle w:val="10"/>
        <w:spacing w:line="360" w:lineRule="auto"/>
        <w:ind w:firstLine="210"/>
        <w:rPr>
          <w:rFonts w:hAnsi="宋体"/>
        </w:rPr>
      </w:pPr>
      <w:r>
        <w:rPr>
          <w:rFonts w:hint="eastAsia" w:hAnsi="宋体"/>
        </w:rPr>
        <w:t>（3）新成立</w:t>
      </w:r>
      <w:r>
        <w:rPr>
          <w:rFonts w:hint="eastAsia" w:hAnsi="宋体" w:cs="宋体"/>
        </w:rPr>
        <w:t>（成立时间至提交响应文件截止时间不足一年）</w:t>
      </w:r>
      <w:r>
        <w:rPr>
          <w:rFonts w:hint="eastAsia" w:hAnsi="宋体"/>
        </w:rPr>
        <w:t>未发生缴纳社保资金事项的供应商，应按附件3提供缴纳社保资金的书面承诺；</w:t>
      </w:r>
    </w:p>
    <w:p>
      <w:pPr>
        <w:pStyle w:val="10"/>
        <w:spacing w:line="360" w:lineRule="auto"/>
        <w:ind w:firstLine="210"/>
        <w:rPr>
          <w:rFonts w:hAnsi="宋体"/>
        </w:rPr>
      </w:pPr>
      <w:r>
        <w:rPr>
          <w:rFonts w:hint="eastAsia" w:hAnsi="宋体"/>
        </w:rPr>
        <w:t>（4）</w:t>
      </w:r>
      <w:r>
        <w:rPr>
          <w:rFonts w:hint="eastAsia" w:hAnsi="宋体" w:cs="宋体"/>
        </w:rPr>
        <w:t>公益类事业单位无需提供；</w:t>
      </w:r>
    </w:p>
    <w:p>
      <w:pPr>
        <w:pStyle w:val="10"/>
        <w:spacing w:line="360" w:lineRule="auto"/>
        <w:ind w:firstLine="210"/>
        <w:rPr>
          <w:rFonts w:hAnsi="宋体"/>
        </w:rPr>
      </w:pPr>
      <w:r>
        <w:rPr>
          <w:rFonts w:hint="eastAsia" w:hAnsi="宋体"/>
        </w:rPr>
        <w:t>（5）复印件加盖供应商单位章。</w:t>
      </w:r>
    </w:p>
    <w:p>
      <w:pPr>
        <w:pStyle w:val="10"/>
        <w:adjustRightInd w:val="0"/>
        <w:snapToGrid w:val="0"/>
        <w:spacing w:line="360" w:lineRule="auto"/>
        <w:ind w:firstLine="420" w:firstLineChars="200"/>
        <w:jc w:val="left"/>
        <w:rPr>
          <w:rFonts w:hAnsi="宋体"/>
          <w:color w:val="000000" w:themeColor="text1"/>
          <w:lang w:val="zh-CN"/>
          <w14:textFill>
            <w14:solidFill>
              <w14:schemeClr w14:val="tx1"/>
            </w14:solidFill>
          </w14:textFill>
        </w:rPr>
      </w:pPr>
      <w:r>
        <w:rPr>
          <w:rFonts w:hint="eastAsia" w:hAnsi="宋体"/>
          <w:color w:val="000000" w:themeColor="text1"/>
          <w:lang w:val="zh-CN"/>
          <w14:textFill>
            <w14:solidFill>
              <w14:schemeClr w14:val="tx1"/>
            </w14:solidFill>
          </w14:textFill>
        </w:rPr>
        <w:t>提供原件的扫描件或复印件，并加盖供应商单位章。</w:t>
      </w:r>
    </w:p>
    <w:p>
      <w:pPr>
        <w:pStyle w:val="10"/>
        <w:spacing w:line="360" w:lineRule="auto"/>
        <w:ind w:firstLine="210"/>
        <w:rPr>
          <w:rFonts w:hAnsi="宋体"/>
        </w:rPr>
      </w:pPr>
      <w:r>
        <w:rPr>
          <w:rFonts w:hint="eastAsia" w:hAnsi="宋体"/>
        </w:rPr>
        <w:t>注：</w:t>
      </w:r>
      <w:r>
        <w:rPr>
          <w:rFonts w:hint="eastAsia" w:hAnsi="宋体" w:cs="宋体"/>
          <w:color w:val="000000"/>
          <w:kern w:val="0"/>
        </w:rPr>
        <w:t>缴纳单据或证明上应有社保机构或代收机构的公章或业务专用章。</w:t>
      </w:r>
    </w:p>
    <w:p>
      <w:pPr>
        <w:widowControl/>
        <w:jc w:val="left"/>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br w:type="page"/>
      </w:r>
      <w:r>
        <w:rPr>
          <w:rFonts w:hint="eastAsia" w:hAnsi="宋体" w:cs="宋体"/>
          <w:b/>
          <w:bCs/>
          <w:color w:val="000000" w:themeColor="text1"/>
          <w:sz w:val="28"/>
          <w:szCs w:val="28"/>
          <w14:textFill>
            <w14:solidFill>
              <w14:schemeClr w14:val="tx1"/>
            </w14:solidFill>
          </w14:textFill>
        </w:rPr>
        <w:t>附件3</w:t>
      </w:r>
    </w:p>
    <w:p>
      <w:pPr>
        <w:tabs>
          <w:tab w:val="left" w:pos="2085"/>
        </w:tabs>
        <w:spacing w:line="560" w:lineRule="exact"/>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依法缴纳社会保障资金承诺书</w:t>
      </w:r>
    </w:p>
    <w:p>
      <w:pPr>
        <w:pStyle w:val="5"/>
        <w:spacing w:before="600" w:beforeLines="250" w:line="360" w:lineRule="auto"/>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陕西隆信项目管理有限公司： </w:t>
      </w:r>
    </w:p>
    <w:p>
      <w:pPr>
        <w:pStyle w:val="5"/>
        <w:spacing w:before="120" w:beforeLines="50"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我方参与</w:t>
      </w:r>
      <w:r>
        <w:rPr>
          <w:rFonts w:hint="eastAsia" w:ascii="宋体" w:hAnsi="宋体" w:cs="宋体"/>
          <w:color w:val="000000" w:themeColor="text1"/>
          <w:szCs w:val="21"/>
          <w:u w:val="single"/>
          <w14:textFill>
            <w14:solidFill>
              <w14:schemeClr w14:val="tx1"/>
            </w14:solidFill>
          </w14:textFill>
        </w:rPr>
        <w:t>（项目名称）（项目编号）</w:t>
      </w:r>
      <w:r>
        <w:rPr>
          <w:rFonts w:hint="eastAsia" w:ascii="宋体" w:hAnsi="宋体" w:cs="宋体"/>
          <w:color w:val="000000" w:themeColor="text1"/>
          <w:szCs w:val="21"/>
          <w14:textFill>
            <w14:solidFill>
              <w14:schemeClr w14:val="tx1"/>
            </w14:solidFill>
          </w14:textFill>
        </w:rPr>
        <w:t>项目的政府采购活动，现承诺如下：</w:t>
      </w:r>
    </w:p>
    <w:p>
      <w:pPr>
        <w:pStyle w:val="5"/>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我方承诺将依法缴纳社会保障资金，并符合《中华人民共和国政府采购法》及其实施条例和磋商文件资格要求的规定。</w:t>
      </w:r>
    </w:p>
    <w:p>
      <w:pPr>
        <w:pStyle w:val="5"/>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若我方以上承诺不实，自愿承担提供虚假材料谋取中标的法律责任。</w:t>
      </w:r>
    </w:p>
    <w:p>
      <w:pPr>
        <w:pStyle w:val="5"/>
        <w:spacing w:line="360" w:lineRule="auto"/>
        <w:ind w:left="5250"/>
        <w:rPr>
          <w:rFonts w:ascii="宋体" w:hAnsi="宋体" w:cs="宋体"/>
          <w:color w:val="000000" w:themeColor="text1"/>
          <w:szCs w:val="21"/>
          <w14:textFill>
            <w14:solidFill>
              <w14:schemeClr w14:val="tx1"/>
            </w14:solidFill>
          </w14:textFill>
        </w:rPr>
      </w:pPr>
    </w:p>
    <w:p>
      <w:pPr>
        <w:pStyle w:val="5"/>
        <w:spacing w:line="360" w:lineRule="auto"/>
        <w:ind w:left="5250"/>
        <w:rPr>
          <w:rFonts w:ascii="宋体" w:hAnsi="宋体" w:cs="宋体"/>
          <w:color w:val="000000" w:themeColor="text1"/>
          <w:szCs w:val="21"/>
          <w14:textFill>
            <w14:solidFill>
              <w14:schemeClr w14:val="tx1"/>
            </w14:solidFill>
          </w14:textFill>
        </w:rPr>
      </w:pPr>
    </w:p>
    <w:p>
      <w:pPr>
        <w:pStyle w:val="5"/>
        <w:spacing w:before="120" w:beforeLines="50" w:line="48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 诺 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（供应商名称、盖单位章）</w:t>
      </w:r>
    </w:p>
    <w:p>
      <w:pPr>
        <w:pStyle w:val="5"/>
        <w:spacing w:before="120" w:beforeLines="50" w:line="48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法定代表人（单位负责人）或委托代理人：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（签名）</w:t>
      </w:r>
    </w:p>
    <w:p>
      <w:pPr>
        <w:pStyle w:val="5"/>
        <w:spacing w:before="120" w:beforeLines="50" w:line="48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  期：20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pStyle w:val="10"/>
        <w:adjustRightInd w:val="0"/>
        <w:snapToGrid w:val="0"/>
        <w:spacing w:line="360" w:lineRule="auto"/>
        <w:rPr>
          <w:rFonts w:ascii="楷体" w:hAnsi="楷体" w:eastAsia="楷体"/>
          <w:color w:val="000000" w:themeColor="text1"/>
          <w14:textFill>
            <w14:solidFill>
              <w14:schemeClr w14:val="tx1"/>
            </w14:solidFill>
          </w14:textFill>
        </w:rPr>
      </w:pPr>
    </w:p>
    <w:p>
      <w:pPr>
        <w:pStyle w:val="10"/>
        <w:adjustRightInd w:val="0"/>
        <w:snapToGrid w:val="0"/>
        <w:spacing w:line="360" w:lineRule="auto"/>
        <w:ind w:firstLine="480"/>
        <w:rPr>
          <w:rFonts w:ascii="楷体" w:hAnsi="楷体" w:eastAsia="楷体"/>
          <w:color w:val="000000" w:themeColor="text1"/>
          <w14:textFill>
            <w14:solidFill>
              <w14:schemeClr w14:val="tx1"/>
            </w14:solidFill>
          </w14:textFill>
        </w:rPr>
      </w:pPr>
    </w:p>
    <w:p>
      <w:pPr>
        <w:pStyle w:val="10"/>
        <w:adjustRightInd w:val="0"/>
        <w:snapToGrid w:val="0"/>
        <w:spacing w:line="360" w:lineRule="auto"/>
        <w:ind w:firstLine="480"/>
        <w:rPr>
          <w:rFonts w:ascii="楷体" w:hAnsi="楷体" w:eastAsia="楷体"/>
          <w:color w:val="000000" w:themeColor="text1"/>
          <w14:textFill>
            <w14:solidFill>
              <w14:schemeClr w14:val="tx1"/>
            </w14:solidFill>
          </w14:textFill>
        </w:rPr>
      </w:pPr>
    </w:p>
    <w:p>
      <w:pPr>
        <w:pStyle w:val="10"/>
        <w:adjustRightInd w:val="0"/>
        <w:snapToGrid w:val="0"/>
        <w:spacing w:line="360" w:lineRule="auto"/>
        <w:ind w:firstLine="480"/>
        <w:rPr>
          <w:rFonts w:ascii="楷体" w:hAnsi="楷体" w:eastAsia="楷体"/>
          <w:color w:val="000000" w:themeColor="text1"/>
          <w14:textFill>
            <w14:solidFill>
              <w14:schemeClr w14:val="tx1"/>
            </w14:solidFill>
          </w14:textFill>
        </w:rPr>
      </w:pPr>
    </w:p>
    <w:p>
      <w:pPr>
        <w:pStyle w:val="10"/>
        <w:adjustRightInd w:val="0"/>
        <w:snapToGrid w:val="0"/>
        <w:spacing w:line="360" w:lineRule="auto"/>
        <w:ind w:firstLine="480"/>
        <w:rPr>
          <w:rFonts w:ascii="楷体" w:hAnsi="楷体" w:eastAsia="楷体"/>
          <w:color w:val="000000" w:themeColor="text1"/>
          <w14:textFill>
            <w14:solidFill>
              <w14:schemeClr w14:val="tx1"/>
            </w14:solidFill>
          </w14:textFill>
        </w:rPr>
      </w:pPr>
    </w:p>
    <w:p>
      <w:pPr>
        <w:pStyle w:val="10"/>
        <w:adjustRightInd w:val="0"/>
        <w:snapToGrid w:val="0"/>
        <w:spacing w:line="360" w:lineRule="auto"/>
        <w:ind w:firstLine="480"/>
        <w:rPr>
          <w:rFonts w:ascii="楷体" w:hAnsi="楷体" w:eastAsia="楷体"/>
          <w:color w:val="000000" w:themeColor="text1"/>
          <w14:textFill>
            <w14:solidFill>
              <w14:schemeClr w14:val="tx1"/>
            </w14:solidFill>
          </w14:textFill>
        </w:rPr>
      </w:pPr>
    </w:p>
    <w:p>
      <w:pPr>
        <w:pStyle w:val="10"/>
        <w:adjustRightInd w:val="0"/>
        <w:snapToGrid w:val="0"/>
        <w:spacing w:line="360" w:lineRule="auto"/>
        <w:ind w:firstLine="480"/>
        <w:rPr>
          <w:rFonts w:ascii="楷体" w:hAnsi="楷体" w:eastAsia="楷体"/>
          <w:color w:val="000000" w:themeColor="text1"/>
          <w14:textFill>
            <w14:solidFill>
              <w14:schemeClr w14:val="tx1"/>
            </w14:solidFill>
          </w14:textFill>
        </w:rPr>
      </w:pPr>
    </w:p>
    <w:p>
      <w:pPr>
        <w:pStyle w:val="10"/>
        <w:adjustRightInd w:val="0"/>
        <w:snapToGrid w:val="0"/>
        <w:spacing w:line="360" w:lineRule="auto"/>
        <w:ind w:firstLine="480"/>
        <w:rPr>
          <w:rFonts w:ascii="楷体" w:hAnsi="楷体" w:eastAsia="楷体"/>
          <w:color w:val="000000" w:themeColor="text1"/>
          <w14:textFill>
            <w14:solidFill>
              <w14:schemeClr w14:val="tx1"/>
            </w14:solidFill>
          </w14:textFill>
        </w:rPr>
      </w:pPr>
    </w:p>
    <w:p>
      <w:pPr>
        <w:pStyle w:val="10"/>
        <w:adjustRightInd w:val="0"/>
        <w:snapToGrid w:val="0"/>
        <w:spacing w:line="360" w:lineRule="auto"/>
        <w:ind w:firstLine="480"/>
        <w:rPr>
          <w:rFonts w:ascii="楷体" w:hAnsi="楷体" w:eastAsia="楷体"/>
          <w:color w:val="000000" w:themeColor="text1"/>
          <w14:textFill>
            <w14:solidFill>
              <w14:schemeClr w14:val="tx1"/>
            </w14:solidFill>
          </w14:textFill>
        </w:rPr>
      </w:pPr>
    </w:p>
    <w:p>
      <w:pPr>
        <w:pStyle w:val="10"/>
        <w:adjustRightInd w:val="0"/>
        <w:snapToGrid w:val="0"/>
        <w:spacing w:line="360" w:lineRule="auto"/>
        <w:ind w:firstLine="480"/>
        <w:rPr>
          <w:rFonts w:ascii="楷体" w:hAnsi="楷体" w:eastAsia="楷体"/>
          <w:color w:val="000000" w:themeColor="text1"/>
          <w14:textFill>
            <w14:solidFill>
              <w14:schemeClr w14:val="tx1"/>
            </w14:solidFill>
          </w14:textFill>
        </w:rPr>
      </w:pPr>
    </w:p>
    <w:p>
      <w:pPr>
        <w:pStyle w:val="10"/>
        <w:adjustRightInd w:val="0"/>
        <w:snapToGrid w:val="0"/>
        <w:spacing w:line="360" w:lineRule="auto"/>
        <w:ind w:firstLine="480"/>
        <w:rPr>
          <w:rFonts w:ascii="楷体" w:hAnsi="楷体" w:eastAsia="楷体"/>
          <w:color w:val="000000" w:themeColor="text1"/>
          <w14:textFill>
            <w14:solidFill>
              <w14:schemeClr w14:val="tx1"/>
            </w14:solidFill>
          </w14:textFill>
        </w:rPr>
      </w:pPr>
    </w:p>
    <w:p>
      <w:pPr>
        <w:pStyle w:val="10"/>
        <w:adjustRightInd w:val="0"/>
        <w:snapToGrid w:val="0"/>
        <w:spacing w:line="360" w:lineRule="auto"/>
        <w:ind w:firstLine="480"/>
        <w:rPr>
          <w:rFonts w:ascii="楷体" w:hAnsi="楷体" w:eastAsia="楷体"/>
          <w:color w:val="000000" w:themeColor="text1"/>
          <w14:textFill>
            <w14:solidFill>
              <w14:schemeClr w14:val="tx1"/>
            </w14:solidFill>
          </w14:textFill>
        </w:rPr>
      </w:pPr>
    </w:p>
    <w:p>
      <w:pPr>
        <w:pStyle w:val="10"/>
        <w:adjustRightInd w:val="0"/>
        <w:snapToGrid w:val="0"/>
        <w:spacing w:line="360" w:lineRule="auto"/>
        <w:ind w:firstLine="480"/>
        <w:rPr>
          <w:rFonts w:ascii="楷体" w:hAnsi="楷体" w:eastAsia="楷体"/>
          <w:color w:val="000000" w:themeColor="text1"/>
          <w14:textFill>
            <w14:solidFill>
              <w14:schemeClr w14:val="tx1"/>
            </w14:solidFill>
          </w14:textFill>
        </w:rPr>
      </w:pPr>
    </w:p>
    <w:p>
      <w:pPr>
        <w:pStyle w:val="10"/>
        <w:adjustRightInd w:val="0"/>
        <w:snapToGrid w:val="0"/>
        <w:spacing w:line="360" w:lineRule="auto"/>
        <w:ind w:firstLine="480"/>
        <w:rPr>
          <w:rFonts w:ascii="楷体" w:hAnsi="楷体" w:eastAsia="楷体"/>
          <w:color w:val="000000" w:themeColor="text1"/>
          <w14:textFill>
            <w14:solidFill>
              <w14:schemeClr w14:val="tx1"/>
            </w14:solidFill>
          </w14:textFill>
        </w:rPr>
      </w:pPr>
    </w:p>
    <w:p>
      <w:pPr>
        <w:pStyle w:val="10"/>
        <w:adjustRightInd w:val="0"/>
        <w:snapToGrid w:val="0"/>
        <w:spacing w:line="360" w:lineRule="auto"/>
        <w:ind w:firstLine="480"/>
        <w:rPr>
          <w:rFonts w:ascii="楷体" w:hAnsi="楷体" w:eastAsia="楷体"/>
          <w:color w:val="000000" w:themeColor="text1"/>
          <w14:textFill>
            <w14:solidFill>
              <w14:schemeClr w14:val="tx1"/>
            </w14:solidFill>
          </w14:textFill>
        </w:rPr>
      </w:pPr>
    </w:p>
    <w:p>
      <w:pPr>
        <w:widowControl/>
        <w:jc w:val="left"/>
        <w:rPr>
          <w:rFonts w:ascii="黑体" w:hAnsi="宋体" w:eastAsia="黑体"/>
          <w:color w:val="000000" w:themeColor="text1"/>
          <w:sz w:val="32"/>
          <w:szCs w:val="32"/>
          <w14:textFill>
            <w14:solidFill>
              <w14:schemeClr w14:val="tx1"/>
            </w14:solidFill>
          </w14:textFill>
        </w:rPr>
      </w:pPr>
      <w:r>
        <w:rPr>
          <w:rFonts w:ascii="黑体" w:hAnsi="宋体" w:eastAsia="黑体"/>
          <w:color w:val="000000" w:themeColor="text1"/>
          <w:sz w:val="32"/>
          <w:szCs w:val="32"/>
          <w14:textFill>
            <w14:solidFill>
              <w14:schemeClr w14:val="tx1"/>
            </w14:solidFill>
          </w14:textFill>
        </w:rPr>
        <w:br w:type="page"/>
      </w:r>
    </w:p>
    <w:p>
      <w:pPr>
        <w:pStyle w:val="5"/>
        <w:spacing w:line="360" w:lineRule="auto"/>
        <w:ind w:firstLine="640"/>
        <w:jc w:val="center"/>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8.</w:t>
      </w:r>
      <w:r>
        <w:rPr>
          <w:rFonts w:hint="eastAsia" w:ascii="黑体" w:hAnsi="宋体" w:eastAsia="黑体" w:cs="宋体"/>
          <w:color w:val="000000" w:themeColor="text1"/>
          <w:kern w:val="0"/>
          <w:sz w:val="32"/>
          <w:szCs w:val="32"/>
          <w:lang w:val="zh-CN"/>
          <w14:textFill>
            <w14:solidFill>
              <w14:schemeClr w14:val="tx1"/>
            </w14:solidFill>
          </w14:textFill>
        </w:rPr>
        <w:t>具备履行合同所必需的设备和专业技术能力的证明</w:t>
      </w:r>
    </w:p>
    <w:p>
      <w:pPr>
        <w:pStyle w:val="5"/>
        <w:spacing w:after="240" w:afterLines="100"/>
        <w:ind w:firstLine="600"/>
        <w:jc w:val="center"/>
        <w:rPr>
          <w:rFonts w:ascii="黑体" w:hAnsi="宋体" w:eastAsia="黑体"/>
          <w:color w:val="000000" w:themeColor="text1"/>
          <w:sz w:val="32"/>
          <w:szCs w:val="32"/>
          <w14:textFill>
            <w14:solidFill>
              <w14:schemeClr w14:val="tx1"/>
            </w14:solidFill>
          </w14:textFill>
        </w:rPr>
      </w:pPr>
      <w:r>
        <w:rPr>
          <w:rFonts w:hint="eastAsia" w:ascii="黑体" w:hAnsi="宋体" w:eastAsia="黑体" w:cs="宋体"/>
          <w:color w:val="000000" w:themeColor="text1"/>
          <w:kern w:val="0"/>
          <w:sz w:val="30"/>
          <w:szCs w:val="30"/>
          <w:lang w:val="zh-CN"/>
          <w14:textFill>
            <w14:solidFill>
              <w14:schemeClr w14:val="tx1"/>
            </w14:solidFill>
          </w14:textFill>
        </w:rPr>
        <w:t>（一）</w:t>
      </w:r>
      <w:r>
        <w:rPr>
          <w:rFonts w:hint="eastAsia" w:ascii="黑体" w:hAnsi="宋体" w:eastAsia="黑体"/>
          <w:color w:val="000000" w:themeColor="text1"/>
          <w:sz w:val="32"/>
          <w:szCs w:val="32"/>
          <w14:textFill>
            <w14:solidFill>
              <w14:schemeClr w14:val="tx1"/>
            </w14:solidFill>
          </w14:textFill>
        </w:rPr>
        <w:t>本项目组织实施人员</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47"/>
        <w:gridCol w:w="1078"/>
        <w:gridCol w:w="1423"/>
        <w:gridCol w:w="1537"/>
        <w:gridCol w:w="149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8547" w:type="dxa"/>
            <w:gridSpan w:val="7"/>
            <w:tcBorders>
              <w:top w:val="single" w:color="auto" w:sz="12" w:space="0"/>
              <w:left w:val="single" w:color="auto" w:sz="12" w:space="0"/>
              <w:right w:val="single" w:color="auto" w:sz="12" w:space="0"/>
            </w:tcBorders>
            <w:vAlign w:val="center"/>
          </w:tcPr>
          <w:p>
            <w:pPr>
              <w:pStyle w:val="5"/>
              <w:ind w:firstLine="0" w:firstLineChars="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936" w:type="dxa"/>
            <w:tcBorders>
              <w:left w:val="single" w:color="auto" w:sz="12" w:space="0"/>
            </w:tcBorders>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姓名</w:t>
            </w:r>
          </w:p>
        </w:tc>
        <w:tc>
          <w:tcPr>
            <w:tcW w:w="847" w:type="dxa"/>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年龄</w:t>
            </w:r>
          </w:p>
        </w:tc>
        <w:tc>
          <w:tcPr>
            <w:tcW w:w="1078" w:type="dxa"/>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职务</w:t>
            </w:r>
          </w:p>
        </w:tc>
        <w:tc>
          <w:tcPr>
            <w:tcW w:w="1423" w:type="dxa"/>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资格/职称</w:t>
            </w:r>
          </w:p>
        </w:tc>
        <w:tc>
          <w:tcPr>
            <w:tcW w:w="1537" w:type="dxa"/>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在本行业从业 工作年限</w:t>
            </w:r>
          </w:p>
        </w:tc>
        <w:tc>
          <w:tcPr>
            <w:tcW w:w="2726" w:type="dxa"/>
            <w:gridSpan w:val="2"/>
            <w:tcBorders>
              <w:right w:val="single" w:color="auto" w:sz="12" w:space="0"/>
            </w:tcBorders>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36" w:type="dxa"/>
            <w:tcBorders>
              <w:left w:val="single" w:color="auto" w:sz="12" w:space="0"/>
              <w:bottom w:val="single" w:color="auto" w:sz="4"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847" w:type="dxa"/>
            <w:tcBorders>
              <w:bottom w:val="single" w:color="auto" w:sz="4"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078" w:type="dxa"/>
            <w:tcBorders>
              <w:bottom w:val="single" w:color="auto" w:sz="4"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423" w:type="dxa"/>
            <w:tcBorders>
              <w:bottom w:val="single" w:color="auto" w:sz="4"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537" w:type="dxa"/>
            <w:tcBorders>
              <w:bottom w:val="single" w:color="auto" w:sz="4"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2726" w:type="dxa"/>
            <w:gridSpan w:val="2"/>
            <w:tcBorders>
              <w:bottom w:val="single" w:color="auto" w:sz="4" w:space="0"/>
              <w:right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36" w:type="dxa"/>
            <w:tcBorders>
              <w:left w:val="single" w:color="auto" w:sz="12" w:space="0"/>
              <w:bottom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847" w:type="dxa"/>
            <w:tcBorders>
              <w:bottom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078" w:type="dxa"/>
            <w:tcBorders>
              <w:bottom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423" w:type="dxa"/>
            <w:tcBorders>
              <w:bottom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537" w:type="dxa"/>
            <w:tcBorders>
              <w:bottom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2726" w:type="dxa"/>
            <w:gridSpan w:val="2"/>
            <w:tcBorders>
              <w:bottom w:val="single" w:color="auto" w:sz="12" w:space="0"/>
              <w:right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8547" w:type="dxa"/>
            <w:gridSpan w:val="7"/>
            <w:tcBorders>
              <w:top w:val="single" w:color="auto" w:sz="12" w:space="0"/>
              <w:left w:val="single" w:color="auto" w:sz="12" w:space="0"/>
              <w:right w:val="single" w:color="auto" w:sz="12" w:space="0"/>
            </w:tcBorders>
            <w:vAlign w:val="center"/>
          </w:tcPr>
          <w:p>
            <w:pPr>
              <w:pStyle w:val="5"/>
              <w:ind w:firstLine="0" w:firstLineChars="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936" w:type="dxa"/>
            <w:tcBorders>
              <w:left w:val="single" w:color="auto" w:sz="12" w:space="0"/>
            </w:tcBorders>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姓名</w:t>
            </w:r>
          </w:p>
        </w:tc>
        <w:tc>
          <w:tcPr>
            <w:tcW w:w="847" w:type="dxa"/>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年龄</w:t>
            </w:r>
          </w:p>
        </w:tc>
        <w:tc>
          <w:tcPr>
            <w:tcW w:w="1078" w:type="dxa"/>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职务</w:t>
            </w:r>
          </w:p>
        </w:tc>
        <w:tc>
          <w:tcPr>
            <w:tcW w:w="1423" w:type="dxa"/>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资格/职称</w:t>
            </w:r>
          </w:p>
        </w:tc>
        <w:tc>
          <w:tcPr>
            <w:tcW w:w="1537" w:type="dxa"/>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在本行业从业 工作年限</w:t>
            </w:r>
          </w:p>
        </w:tc>
        <w:tc>
          <w:tcPr>
            <w:tcW w:w="1493" w:type="dxa"/>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主要工作业绩</w:t>
            </w:r>
          </w:p>
        </w:tc>
        <w:tc>
          <w:tcPr>
            <w:tcW w:w="1233" w:type="dxa"/>
            <w:tcBorders>
              <w:right w:val="single" w:color="auto" w:sz="12" w:space="0"/>
            </w:tcBorders>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当前分工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36" w:type="dxa"/>
            <w:tcBorders>
              <w:left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847" w:type="dxa"/>
          </w:tcPr>
          <w:p>
            <w:pPr>
              <w:pStyle w:val="5"/>
              <w:ind w:firstLine="562"/>
              <w:jc w:val="left"/>
              <w:rPr>
                <w:rFonts w:ascii="宋体" w:hAnsi="宋体"/>
                <w:b/>
                <w:color w:val="000000" w:themeColor="text1"/>
                <w:sz w:val="28"/>
                <w:szCs w:val="28"/>
                <w14:textFill>
                  <w14:solidFill>
                    <w14:schemeClr w14:val="tx1"/>
                  </w14:solidFill>
                </w14:textFill>
              </w:rPr>
            </w:pPr>
          </w:p>
        </w:tc>
        <w:tc>
          <w:tcPr>
            <w:tcW w:w="1078" w:type="dxa"/>
          </w:tcPr>
          <w:p>
            <w:pPr>
              <w:pStyle w:val="5"/>
              <w:ind w:firstLine="562"/>
              <w:jc w:val="left"/>
              <w:rPr>
                <w:rFonts w:ascii="宋体" w:hAnsi="宋体"/>
                <w:b/>
                <w:color w:val="000000" w:themeColor="text1"/>
                <w:sz w:val="28"/>
                <w:szCs w:val="28"/>
                <w14:textFill>
                  <w14:solidFill>
                    <w14:schemeClr w14:val="tx1"/>
                  </w14:solidFill>
                </w14:textFill>
              </w:rPr>
            </w:pPr>
          </w:p>
        </w:tc>
        <w:tc>
          <w:tcPr>
            <w:tcW w:w="1423" w:type="dxa"/>
          </w:tcPr>
          <w:p>
            <w:pPr>
              <w:pStyle w:val="5"/>
              <w:ind w:firstLine="562"/>
              <w:jc w:val="left"/>
              <w:rPr>
                <w:rFonts w:ascii="宋体" w:hAnsi="宋体"/>
                <w:b/>
                <w:color w:val="000000" w:themeColor="text1"/>
                <w:sz w:val="28"/>
                <w:szCs w:val="28"/>
                <w14:textFill>
                  <w14:solidFill>
                    <w14:schemeClr w14:val="tx1"/>
                  </w14:solidFill>
                </w14:textFill>
              </w:rPr>
            </w:pPr>
          </w:p>
        </w:tc>
        <w:tc>
          <w:tcPr>
            <w:tcW w:w="1537" w:type="dxa"/>
          </w:tcPr>
          <w:p>
            <w:pPr>
              <w:pStyle w:val="5"/>
              <w:ind w:firstLine="562"/>
              <w:jc w:val="left"/>
              <w:rPr>
                <w:rFonts w:ascii="宋体" w:hAnsi="宋体"/>
                <w:b/>
                <w:color w:val="000000" w:themeColor="text1"/>
                <w:sz w:val="28"/>
                <w:szCs w:val="28"/>
                <w14:textFill>
                  <w14:solidFill>
                    <w14:schemeClr w14:val="tx1"/>
                  </w14:solidFill>
                </w14:textFill>
              </w:rPr>
            </w:pPr>
          </w:p>
        </w:tc>
        <w:tc>
          <w:tcPr>
            <w:tcW w:w="1493"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33" w:type="dxa"/>
            <w:tcBorders>
              <w:right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36" w:type="dxa"/>
            <w:tcBorders>
              <w:left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847" w:type="dxa"/>
          </w:tcPr>
          <w:p>
            <w:pPr>
              <w:pStyle w:val="5"/>
              <w:ind w:firstLine="562"/>
              <w:jc w:val="left"/>
              <w:rPr>
                <w:rFonts w:ascii="宋体" w:hAnsi="宋体"/>
                <w:b/>
                <w:color w:val="000000" w:themeColor="text1"/>
                <w:sz w:val="28"/>
                <w:szCs w:val="28"/>
                <w14:textFill>
                  <w14:solidFill>
                    <w14:schemeClr w14:val="tx1"/>
                  </w14:solidFill>
                </w14:textFill>
              </w:rPr>
            </w:pPr>
          </w:p>
        </w:tc>
        <w:tc>
          <w:tcPr>
            <w:tcW w:w="1078" w:type="dxa"/>
          </w:tcPr>
          <w:p>
            <w:pPr>
              <w:pStyle w:val="5"/>
              <w:ind w:firstLine="562"/>
              <w:jc w:val="left"/>
              <w:rPr>
                <w:rFonts w:ascii="宋体" w:hAnsi="宋体"/>
                <w:b/>
                <w:color w:val="000000" w:themeColor="text1"/>
                <w:sz w:val="28"/>
                <w:szCs w:val="28"/>
                <w14:textFill>
                  <w14:solidFill>
                    <w14:schemeClr w14:val="tx1"/>
                  </w14:solidFill>
                </w14:textFill>
              </w:rPr>
            </w:pPr>
          </w:p>
        </w:tc>
        <w:tc>
          <w:tcPr>
            <w:tcW w:w="1423" w:type="dxa"/>
          </w:tcPr>
          <w:p>
            <w:pPr>
              <w:pStyle w:val="5"/>
              <w:ind w:firstLine="562"/>
              <w:jc w:val="left"/>
              <w:rPr>
                <w:rFonts w:ascii="宋体" w:hAnsi="宋体"/>
                <w:b/>
                <w:color w:val="000000" w:themeColor="text1"/>
                <w:sz w:val="28"/>
                <w:szCs w:val="28"/>
                <w14:textFill>
                  <w14:solidFill>
                    <w14:schemeClr w14:val="tx1"/>
                  </w14:solidFill>
                </w14:textFill>
              </w:rPr>
            </w:pPr>
          </w:p>
        </w:tc>
        <w:tc>
          <w:tcPr>
            <w:tcW w:w="1537" w:type="dxa"/>
          </w:tcPr>
          <w:p>
            <w:pPr>
              <w:pStyle w:val="5"/>
              <w:ind w:firstLine="562"/>
              <w:jc w:val="left"/>
              <w:rPr>
                <w:rFonts w:ascii="宋体" w:hAnsi="宋体"/>
                <w:b/>
                <w:color w:val="000000" w:themeColor="text1"/>
                <w:sz w:val="28"/>
                <w:szCs w:val="28"/>
                <w14:textFill>
                  <w14:solidFill>
                    <w14:schemeClr w14:val="tx1"/>
                  </w14:solidFill>
                </w14:textFill>
              </w:rPr>
            </w:pPr>
          </w:p>
        </w:tc>
        <w:tc>
          <w:tcPr>
            <w:tcW w:w="1493"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33" w:type="dxa"/>
            <w:tcBorders>
              <w:right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36" w:type="dxa"/>
            <w:tcBorders>
              <w:left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847" w:type="dxa"/>
          </w:tcPr>
          <w:p>
            <w:pPr>
              <w:pStyle w:val="5"/>
              <w:ind w:firstLine="562"/>
              <w:jc w:val="left"/>
              <w:rPr>
                <w:rFonts w:ascii="宋体" w:hAnsi="宋体"/>
                <w:b/>
                <w:color w:val="000000" w:themeColor="text1"/>
                <w:sz w:val="28"/>
                <w:szCs w:val="28"/>
                <w14:textFill>
                  <w14:solidFill>
                    <w14:schemeClr w14:val="tx1"/>
                  </w14:solidFill>
                </w14:textFill>
              </w:rPr>
            </w:pPr>
          </w:p>
        </w:tc>
        <w:tc>
          <w:tcPr>
            <w:tcW w:w="1078" w:type="dxa"/>
          </w:tcPr>
          <w:p>
            <w:pPr>
              <w:pStyle w:val="5"/>
              <w:ind w:firstLine="562"/>
              <w:jc w:val="left"/>
              <w:rPr>
                <w:rFonts w:ascii="宋体" w:hAnsi="宋体"/>
                <w:b/>
                <w:color w:val="000000" w:themeColor="text1"/>
                <w:sz w:val="28"/>
                <w:szCs w:val="28"/>
                <w14:textFill>
                  <w14:solidFill>
                    <w14:schemeClr w14:val="tx1"/>
                  </w14:solidFill>
                </w14:textFill>
              </w:rPr>
            </w:pPr>
          </w:p>
        </w:tc>
        <w:tc>
          <w:tcPr>
            <w:tcW w:w="1423" w:type="dxa"/>
          </w:tcPr>
          <w:p>
            <w:pPr>
              <w:pStyle w:val="5"/>
              <w:ind w:firstLine="562"/>
              <w:jc w:val="left"/>
              <w:rPr>
                <w:rFonts w:ascii="宋体" w:hAnsi="宋体"/>
                <w:b/>
                <w:color w:val="000000" w:themeColor="text1"/>
                <w:sz w:val="28"/>
                <w:szCs w:val="28"/>
                <w14:textFill>
                  <w14:solidFill>
                    <w14:schemeClr w14:val="tx1"/>
                  </w14:solidFill>
                </w14:textFill>
              </w:rPr>
            </w:pPr>
          </w:p>
        </w:tc>
        <w:tc>
          <w:tcPr>
            <w:tcW w:w="1537" w:type="dxa"/>
          </w:tcPr>
          <w:p>
            <w:pPr>
              <w:pStyle w:val="5"/>
              <w:ind w:firstLine="562"/>
              <w:jc w:val="left"/>
              <w:rPr>
                <w:rFonts w:ascii="宋体" w:hAnsi="宋体"/>
                <w:b/>
                <w:color w:val="000000" w:themeColor="text1"/>
                <w:sz w:val="28"/>
                <w:szCs w:val="28"/>
                <w14:textFill>
                  <w14:solidFill>
                    <w14:schemeClr w14:val="tx1"/>
                  </w14:solidFill>
                </w14:textFill>
              </w:rPr>
            </w:pPr>
          </w:p>
        </w:tc>
        <w:tc>
          <w:tcPr>
            <w:tcW w:w="1493"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33" w:type="dxa"/>
            <w:tcBorders>
              <w:right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8547" w:type="dxa"/>
            <w:gridSpan w:val="7"/>
            <w:tcBorders>
              <w:left w:val="single" w:color="auto" w:sz="12" w:space="0"/>
              <w:right w:val="single" w:color="auto" w:sz="12" w:space="0"/>
            </w:tcBorders>
          </w:tcPr>
          <w:p>
            <w:pPr>
              <w:pStyle w:val="5"/>
              <w:ind w:firstLine="0" w:firstLineChars="0"/>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3.技术人员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936" w:type="dxa"/>
            <w:tcBorders>
              <w:left w:val="single" w:color="auto" w:sz="12" w:space="0"/>
            </w:tcBorders>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姓名</w:t>
            </w:r>
          </w:p>
        </w:tc>
        <w:tc>
          <w:tcPr>
            <w:tcW w:w="847" w:type="dxa"/>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年龄</w:t>
            </w:r>
          </w:p>
        </w:tc>
        <w:tc>
          <w:tcPr>
            <w:tcW w:w="1078" w:type="dxa"/>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职务</w:t>
            </w:r>
          </w:p>
        </w:tc>
        <w:tc>
          <w:tcPr>
            <w:tcW w:w="1423" w:type="dxa"/>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资格/职称</w:t>
            </w:r>
          </w:p>
        </w:tc>
        <w:tc>
          <w:tcPr>
            <w:tcW w:w="1537" w:type="dxa"/>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在本行业从业 工作年限</w:t>
            </w:r>
          </w:p>
        </w:tc>
        <w:tc>
          <w:tcPr>
            <w:tcW w:w="1493" w:type="dxa"/>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主要工作业绩</w:t>
            </w:r>
          </w:p>
        </w:tc>
        <w:tc>
          <w:tcPr>
            <w:tcW w:w="1233" w:type="dxa"/>
            <w:tcBorders>
              <w:right w:val="single" w:color="auto" w:sz="12" w:space="0"/>
            </w:tcBorders>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当前分工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36" w:type="dxa"/>
            <w:tcBorders>
              <w:left w:val="single" w:color="auto" w:sz="12" w:space="0"/>
              <w:bottom w:val="single" w:color="auto" w:sz="4"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847" w:type="dxa"/>
            <w:tcBorders>
              <w:bottom w:val="single" w:color="auto" w:sz="4"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078" w:type="dxa"/>
            <w:tcBorders>
              <w:bottom w:val="single" w:color="auto" w:sz="4"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423" w:type="dxa"/>
            <w:tcBorders>
              <w:bottom w:val="single" w:color="auto" w:sz="4"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537" w:type="dxa"/>
            <w:tcBorders>
              <w:bottom w:val="single" w:color="auto" w:sz="4"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493" w:type="dxa"/>
            <w:tcBorders>
              <w:bottom w:val="single" w:color="auto" w:sz="4"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233" w:type="dxa"/>
            <w:tcBorders>
              <w:bottom w:val="single" w:color="auto" w:sz="4" w:space="0"/>
              <w:right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36" w:type="dxa"/>
            <w:tcBorders>
              <w:left w:val="single" w:color="auto" w:sz="12" w:space="0"/>
              <w:bottom w:val="single" w:color="auto" w:sz="4"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847" w:type="dxa"/>
            <w:tcBorders>
              <w:bottom w:val="single" w:color="auto" w:sz="4"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078" w:type="dxa"/>
            <w:tcBorders>
              <w:bottom w:val="single" w:color="auto" w:sz="4"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423" w:type="dxa"/>
            <w:tcBorders>
              <w:bottom w:val="single" w:color="auto" w:sz="4"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537" w:type="dxa"/>
            <w:tcBorders>
              <w:bottom w:val="single" w:color="auto" w:sz="4"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493" w:type="dxa"/>
            <w:tcBorders>
              <w:bottom w:val="single" w:color="auto" w:sz="4"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233" w:type="dxa"/>
            <w:tcBorders>
              <w:bottom w:val="single" w:color="auto" w:sz="4" w:space="0"/>
              <w:right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36" w:type="dxa"/>
            <w:tcBorders>
              <w:left w:val="single" w:color="auto" w:sz="12" w:space="0"/>
              <w:bottom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847" w:type="dxa"/>
            <w:tcBorders>
              <w:bottom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078" w:type="dxa"/>
            <w:tcBorders>
              <w:bottom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423" w:type="dxa"/>
            <w:tcBorders>
              <w:bottom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537" w:type="dxa"/>
            <w:tcBorders>
              <w:bottom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493" w:type="dxa"/>
            <w:tcBorders>
              <w:bottom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233" w:type="dxa"/>
            <w:tcBorders>
              <w:bottom w:val="single" w:color="auto" w:sz="12" w:space="0"/>
              <w:right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8547" w:type="dxa"/>
            <w:gridSpan w:val="7"/>
            <w:tcBorders>
              <w:top w:val="single" w:color="auto" w:sz="12" w:space="0"/>
              <w:left w:val="single" w:color="auto" w:sz="12" w:space="0"/>
              <w:right w:val="single" w:color="auto" w:sz="12" w:space="0"/>
            </w:tcBorders>
            <w:vAlign w:val="center"/>
          </w:tcPr>
          <w:p>
            <w:pPr>
              <w:pStyle w:val="5"/>
              <w:ind w:firstLine="0" w:firstLineChars="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4.辅助人员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936" w:type="dxa"/>
            <w:tcBorders>
              <w:left w:val="single" w:color="auto" w:sz="12" w:space="0"/>
            </w:tcBorders>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姓名</w:t>
            </w:r>
          </w:p>
        </w:tc>
        <w:tc>
          <w:tcPr>
            <w:tcW w:w="847" w:type="dxa"/>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年龄</w:t>
            </w:r>
          </w:p>
        </w:tc>
        <w:tc>
          <w:tcPr>
            <w:tcW w:w="1078" w:type="dxa"/>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职务</w:t>
            </w:r>
          </w:p>
        </w:tc>
        <w:tc>
          <w:tcPr>
            <w:tcW w:w="1423" w:type="dxa"/>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资格/职称</w:t>
            </w:r>
          </w:p>
        </w:tc>
        <w:tc>
          <w:tcPr>
            <w:tcW w:w="1537" w:type="dxa"/>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在本行业从业 工作年限</w:t>
            </w:r>
          </w:p>
        </w:tc>
        <w:tc>
          <w:tcPr>
            <w:tcW w:w="1493" w:type="dxa"/>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主要工作业绩</w:t>
            </w:r>
          </w:p>
        </w:tc>
        <w:tc>
          <w:tcPr>
            <w:tcW w:w="1233" w:type="dxa"/>
            <w:tcBorders>
              <w:right w:val="single" w:color="auto" w:sz="12" w:space="0"/>
            </w:tcBorders>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当前分工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36" w:type="dxa"/>
            <w:tcBorders>
              <w:left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847" w:type="dxa"/>
          </w:tcPr>
          <w:p>
            <w:pPr>
              <w:pStyle w:val="5"/>
              <w:ind w:firstLine="562"/>
              <w:jc w:val="left"/>
              <w:rPr>
                <w:rFonts w:ascii="宋体" w:hAnsi="宋体"/>
                <w:b/>
                <w:color w:val="000000" w:themeColor="text1"/>
                <w:sz w:val="28"/>
                <w:szCs w:val="28"/>
                <w14:textFill>
                  <w14:solidFill>
                    <w14:schemeClr w14:val="tx1"/>
                  </w14:solidFill>
                </w14:textFill>
              </w:rPr>
            </w:pPr>
          </w:p>
        </w:tc>
        <w:tc>
          <w:tcPr>
            <w:tcW w:w="1078" w:type="dxa"/>
          </w:tcPr>
          <w:p>
            <w:pPr>
              <w:pStyle w:val="5"/>
              <w:ind w:firstLine="562"/>
              <w:jc w:val="left"/>
              <w:rPr>
                <w:rFonts w:ascii="宋体" w:hAnsi="宋体"/>
                <w:b/>
                <w:color w:val="000000" w:themeColor="text1"/>
                <w:sz w:val="28"/>
                <w:szCs w:val="28"/>
                <w14:textFill>
                  <w14:solidFill>
                    <w14:schemeClr w14:val="tx1"/>
                  </w14:solidFill>
                </w14:textFill>
              </w:rPr>
            </w:pPr>
          </w:p>
        </w:tc>
        <w:tc>
          <w:tcPr>
            <w:tcW w:w="1423" w:type="dxa"/>
          </w:tcPr>
          <w:p>
            <w:pPr>
              <w:pStyle w:val="5"/>
              <w:ind w:firstLine="562"/>
              <w:jc w:val="left"/>
              <w:rPr>
                <w:rFonts w:ascii="宋体" w:hAnsi="宋体"/>
                <w:b/>
                <w:color w:val="000000" w:themeColor="text1"/>
                <w:sz w:val="28"/>
                <w:szCs w:val="28"/>
                <w14:textFill>
                  <w14:solidFill>
                    <w14:schemeClr w14:val="tx1"/>
                  </w14:solidFill>
                </w14:textFill>
              </w:rPr>
            </w:pPr>
          </w:p>
        </w:tc>
        <w:tc>
          <w:tcPr>
            <w:tcW w:w="1537" w:type="dxa"/>
          </w:tcPr>
          <w:p>
            <w:pPr>
              <w:pStyle w:val="5"/>
              <w:ind w:firstLine="562"/>
              <w:jc w:val="left"/>
              <w:rPr>
                <w:rFonts w:ascii="宋体" w:hAnsi="宋体"/>
                <w:b/>
                <w:color w:val="000000" w:themeColor="text1"/>
                <w:sz w:val="28"/>
                <w:szCs w:val="28"/>
                <w14:textFill>
                  <w14:solidFill>
                    <w14:schemeClr w14:val="tx1"/>
                  </w14:solidFill>
                </w14:textFill>
              </w:rPr>
            </w:pPr>
          </w:p>
        </w:tc>
        <w:tc>
          <w:tcPr>
            <w:tcW w:w="1493"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33" w:type="dxa"/>
            <w:tcBorders>
              <w:right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36" w:type="dxa"/>
            <w:tcBorders>
              <w:left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847" w:type="dxa"/>
          </w:tcPr>
          <w:p>
            <w:pPr>
              <w:pStyle w:val="5"/>
              <w:ind w:firstLine="562"/>
              <w:jc w:val="left"/>
              <w:rPr>
                <w:rFonts w:ascii="宋体" w:hAnsi="宋体"/>
                <w:b/>
                <w:color w:val="000000" w:themeColor="text1"/>
                <w:sz w:val="28"/>
                <w:szCs w:val="28"/>
                <w14:textFill>
                  <w14:solidFill>
                    <w14:schemeClr w14:val="tx1"/>
                  </w14:solidFill>
                </w14:textFill>
              </w:rPr>
            </w:pPr>
          </w:p>
        </w:tc>
        <w:tc>
          <w:tcPr>
            <w:tcW w:w="1078" w:type="dxa"/>
          </w:tcPr>
          <w:p>
            <w:pPr>
              <w:pStyle w:val="5"/>
              <w:ind w:firstLine="562"/>
              <w:jc w:val="left"/>
              <w:rPr>
                <w:rFonts w:ascii="宋体" w:hAnsi="宋体"/>
                <w:b/>
                <w:color w:val="000000" w:themeColor="text1"/>
                <w:sz w:val="28"/>
                <w:szCs w:val="28"/>
                <w14:textFill>
                  <w14:solidFill>
                    <w14:schemeClr w14:val="tx1"/>
                  </w14:solidFill>
                </w14:textFill>
              </w:rPr>
            </w:pPr>
          </w:p>
        </w:tc>
        <w:tc>
          <w:tcPr>
            <w:tcW w:w="1423" w:type="dxa"/>
          </w:tcPr>
          <w:p>
            <w:pPr>
              <w:pStyle w:val="5"/>
              <w:ind w:firstLine="562"/>
              <w:jc w:val="left"/>
              <w:rPr>
                <w:rFonts w:ascii="宋体" w:hAnsi="宋体"/>
                <w:b/>
                <w:color w:val="000000" w:themeColor="text1"/>
                <w:sz w:val="28"/>
                <w:szCs w:val="28"/>
                <w14:textFill>
                  <w14:solidFill>
                    <w14:schemeClr w14:val="tx1"/>
                  </w14:solidFill>
                </w14:textFill>
              </w:rPr>
            </w:pPr>
          </w:p>
        </w:tc>
        <w:tc>
          <w:tcPr>
            <w:tcW w:w="1537" w:type="dxa"/>
          </w:tcPr>
          <w:p>
            <w:pPr>
              <w:pStyle w:val="5"/>
              <w:ind w:firstLine="562"/>
              <w:jc w:val="left"/>
              <w:rPr>
                <w:rFonts w:ascii="宋体" w:hAnsi="宋体"/>
                <w:b/>
                <w:color w:val="000000" w:themeColor="text1"/>
                <w:sz w:val="28"/>
                <w:szCs w:val="28"/>
                <w14:textFill>
                  <w14:solidFill>
                    <w14:schemeClr w14:val="tx1"/>
                  </w14:solidFill>
                </w14:textFill>
              </w:rPr>
            </w:pPr>
          </w:p>
        </w:tc>
        <w:tc>
          <w:tcPr>
            <w:tcW w:w="1493"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33" w:type="dxa"/>
            <w:tcBorders>
              <w:right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36" w:type="dxa"/>
            <w:tcBorders>
              <w:left w:val="single" w:color="auto" w:sz="12" w:space="0"/>
              <w:bottom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847" w:type="dxa"/>
            <w:tcBorders>
              <w:bottom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078" w:type="dxa"/>
            <w:tcBorders>
              <w:bottom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423" w:type="dxa"/>
            <w:tcBorders>
              <w:bottom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537" w:type="dxa"/>
            <w:tcBorders>
              <w:bottom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493" w:type="dxa"/>
            <w:tcBorders>
              <w:bottom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c>
          <w:tcPr>
            <w:tcW w:w="1233" w:type="dxa"/>
            <w:tcBorders>
              <w:bottom w:val="single" w:color="auto" w:sz="12" w:space="0"/>
              <w:right w:val="single" w:color="auto" w:sz="12" w:space="0"/>
            </w:tcBorders>
          </w:tcPr>
          <w:p>
            <w:pPr>
              <w:pStyle w:val="5"/>
              <w:ind w:firstLine="562"/>
              <w:jc w:val="left"/>
              <w:rPr>
                <w:rFonts w:ascii="宋体" w:hAnsi="宋体"/>
                <w:b/>
                <w:color w:val="000000" w:themeColor="text1"/>
                <w:sz w:val="28"/>
                <w:szCs w:val="28"/>
                <w14:textFill>
                  <w14:solidFill>
                    <w14:schemeClr w14:val="tx1"/>
                  </w14:solidFill>
                </w14:textFill>
              </w:rPr>
            </w:pPr>
          </w:p>
        </w:tc>
      </w:tr>
    </w:tbl>
    <w:p>
      <w:pPr>
        <w:pStyle w:val="5"/>
        <w:ind w:firstLine="0" w:firstLineChars="0"/>
        <w:jc w:val="left"/>
        <w:rPr>
          <w:rFonts w:ascii="楷体" w:hAnsi="楷体" w:eastAsia="楷体"/>
          <w:szCs w:val="21"/>
        </w:rPr>
      </w:pPr>
      <w:r>
        <w:rPr>
          <w:rFonts w:hint="eastAsia" w:ascii="楷体" w:hAnsi="楷体" w:eastAsia="楷体"/>
          <w:szCs w:val="21"/>
        </w:rPr>
        <w:t>说明：1.职务是指在本单位所担任的职务；</w:t>
      </w:r>
      <w:r>
        <w:rPr>
          <w:rFonts w:ascii="楷体" w:hAnsi="楷体" w:eastAsia="楷体"/>
          <w:color w:val="000000" w:themeColor="text1"/>
          <w:szCs w:val="21"/>
          <w14:textFill>
            <w14:solidFill>
              <w14:schemeClr w14:val="tx1"/>
            </w14:solidFill>
          </w14:textFill>
        </w:rPr>
        <w:t>2</w:t>
      </w:r>
      <w:r>
        <w:rPr>
          <w:rFonts w:hint="eastAsia" w:ascii="楷体" w:hAnsi="楷体" w:eastAsia="楷体"/>
          <w:color w:val="000000" w:themeColor="text1"/>
          <w:szCs w:val="21"/>
          <w14:textFill>
            <w14:solidFill>
              <w14:schemeClr w14:val="tx1"/>
            </w14:solidFill>
          </w14:textFill>
        </w:rPr>
        <w:t>.表格行数不足时，可自行扩展；</w:t>
      </w:r>
      <w:r>
        <w:rPr>
          <w:rFonts w:ascii="楷体" w:hAnsi="楷体" w:eastAsia="楷体"/>
          <w:szCs w:val="21"/>
        </w:rPr>
        <w:t>3</w:t>
      </w:r>
      <w:r>
        <w:rPr>
          <w:rFonts w:hint="eastAsia" w:ascii="楷体" w:hAnsi="楷体" w:eastAsia="楷体"/>
          <w:szCs w:val="21"/>
        </w:rPr>
        <w:t>.需要补充的其他材料可在本表后另纸说明。</w:t>
      </w:r>
    </w:p>
    <w:p>
      <w:pPr>
        <w:adjustRightInd w:val="0"/>
        <w:spacing w:before="120" w:beforeLines="50" w:line="360" w:lineRule="auto"/>
        <w:ind w:firstLine="105" w:firstLine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（盖单位章）</w:t>
      </w:r>
    </w:p>
    <w:p>
      <w:pPr>
        <w:spacing w:line="360" w:lineRule="auto"/>
        <w:ind w:firstLine="105" w:firstLineChars="50"/>
        <w:outlineLvl w:val="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法定代表人（单位负责人）或委托代理人：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（签名）</w:t>
      </w:r>
    </w:p>
    <w:p>
      <w:pPr>
        <w:spacing w:line="360" w:lineRule="auto"/>
        <w:ind w:firstLine="123" w:firstLineChars="59"/>
        <w:outlineLvl w:val="1"/>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    期：20</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pStyle w:val="5"/>
        <w:spacing w:line="360" w:lineRule="auto"/>
        <w:ind w:firstLine="720"/>
        <w:jc w:val="center"/>
        <w:rPr>
          <w:rFonts w:ascii="黑体" w:hAnsi="宋体" w:eastAsia="黑体" w:cs="宋体"/>
          <w:color w:val="000000" w:themeColor="text1"/>
          <w:kern w:val="0"/>
          <w:sz w:val="30"/>
          <w:szCs w:val="30"/>
          <w:lang w:val="zh-CN"/>
          <w14:textFill>
            <w14:solidFill>
              <w14:schemeClr w14:val="tx1"/>
            </w14:solidFill>
          </w14:textFill>
        </w:rPr>
      </w:pPr>
      <w:r>
        <w:rPr>
          <w:rFonts w:hint="eastAsia" w:ascii="黑体" w:hAnsi="宋体" w:eastAsia="黑体"/>
          <w:color w:val="000000" w:themeColor="text1"/>
          <w:sz w:val="36"/>
          <w:szCs w:val="36"/>
          <w14:textFill>
            <w14:solidFill>
              <w14:schemeClr w14:val="tx1"/>
            </w14:solidFill>
          </w14:textFill>
        </w:rPr>
        <w:br w:type="page"/>
      </w:r>
      <w:r>
        <w:rPr>
          <w:rFonts w:hint="eastAsia" w:ascii="黑体" w:hAnsi="宋体" w:eastAsia="黑体" w:cs="宋体"/>
          <w:color w:val="000000" w:themeColor="text1"/>
          <w:kern w:val="0"/>
          <w:sz w:val="30"/>
          <w:szCs w:val="30"/>
          <w:lang w:val="zh-CN"/>
          <w14:textFill>
            <w14:solidFill>
              <w14:schemeClr w14:val="tx1"/>
            </w14:solidFill>
          </w14:textFill>
        </w:rPr>
        <w:t>（二）完成本项目必须的设备清单</w:t>
      </w:r>
      <w:r>
        <w:rPr>
          <w:rFonts w:ascii="宋体" w:hAnsi="宋体"/>
          <w:color w:val="000000" w:themeColor="text1"/>
          <w:sz w:val="30"/>
          <w:szCs w:val="30"/>
          <w14:textFill>
            <w14:solidFill>
              <w14:schemeClr w14:val="tx1"/>
            </w14:solidFill>
          </w14:textFill>
        </w:rPr>
        <w:t xml:space="preserve">                                                     </w:t>
      </w:r>
    </w:p>
    <w:tbl>
      <w:tblPr>
        <w:tblStyle w:val="17"/>
        <w:tblW w:w="90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701"/>
        <w:gridCol w:w="1559"/>
        <w:gridCol w:w="1276"/>
        <w:gridCol w:w="1276"/>
        <w:gridCol w:w="1115"/>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0" w:type="dxa"/>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701" w:type="dxa"/>
            <w:vAlign w:val="center"/>
          </w:tcPr>
          <w:p>
            <w:pPr>
              <w:pStyle w:val="5"/>
              <w:ind w:firstLineChars="199"/>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设备名称</w:t>
            </w:r>
          </w:p>
        </w:tc>
        <w:tc>
          <w:tcPr>
            <w:tcW w:w="1559" w:type="dxa"/>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计量单位</w:t>
            </w:r>
          </w:p>
        </w:tc>
        <w:tc>
          <w:tcPr>
            <w:tcW w:w="1276" w:type="dxa"/>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数量</w:t>
            </w:r>
          </w:p>
        </w:tc>
        <w:tc>
          <w:tcPr>
            <w:tcW w:w="1276" w:type="dxa"/>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生产企业</w:t>
            </w:r>
          </w:p>
        </w:tc>
        <w:tc>
          <w:tcPr>
            <w:tcW w:w="1115" w:type="dxa"/>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使用年限</w:t>
            </w:r>
          </w:p>
        </w:tc>
        <w:tc>
          <w:tcPr>
            <w:tcW w:w="1276" w:type="dxa"/>
            <w:vAlign w:val="center"/>
          </w:tcPr>
          <w:p>
            <w:pPr>
              <w:pStyle w:val="5"/>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自购/外协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50" w:type="dxa"/>
          </w:tcPr>
          <w:p>
            <w:pPr>
              <w:pStyle w:val="5"/>
              <w:ind w:firstLine="562"/>
              <w:jc w:val="left"/>
              <w:rPr>
                <w:rFonts w:ascii="宋体" w:hAnsi="宋体"/>
                <w:b/>
                <w:color w:val="000000" w:themeColor="text1"/>
                <w:sz w:val="28"/>
                <w:szCs w:val="28"/>
                <w14:textFill>
                  <w14:solidFill>
                    <w14:schemeClr w14:val="tx1"/>
                  </w14:solidFill>
                </w14:textFill>
              </w:rPr>
            </w:pPr>
          </w:p>
        </w:tc>
        <w:tc>
          <w:tcPr>
            <w:tcW w:w="1701" w:type="dxa"/>
          </w:tcPr>
          <w:p>
            <w:pPr>
              <w:pStyle w:val="5"/>
              <w:ind w:firstLine="562"/>
              <w:jc w:val="left"/>
              <w:rPr>
                <w:rFonts w:ascii="宋体" w:hAnsi="宋体"/>
                <w:b/>
                <w:color w:val="000000" w:themeColor="text1"/>
                <w:sz w:val="28"/>
                <w:szCs w:val="28"/>
                <w14:textFill>
                  <w14:solidFill>
                    <w14:schemeClr w14:val="tx1"/>
                  </w14:solidFill>
                </w14:textFill>
              </w:rPr>
            </w:pPr>
          </w:p>
        </w:tc>
        <w:tc>
          <w:tcPr>
            <w:tcW w:w="1559"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115"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50" w:type="dxa"/>
          </w:tcPr>
          <w:p>
            <w:pPr>
              <w:pStyle w:val="5"/>
              <w:ind w:firstLine="562"/>
              <w:jc w:val="left"/>
              <w:rPr>
                <w:rFonts w:ascii="宋体" w:hAnsi="宋体"/>
                <w:b/>
                <w:color w:val="000000" w:themeColor="text1"/>
                <w:sz w:val="28"/>
                <w:szCs w:val="28"/>
                <w14:textFill>
                  <w14:solidFill>
                    <w14:schemeClr w14:val="tx1"/>
                  </w14:solidFill>
                </w14:textFill>
              </w:rPr>
            </w:pPr>
          </w:p>
        </w:tc>
        <w:tc>
          <w:tcPr>
            <w:tcW w:w="1701" w:type="dxa"/>
          </w:tcPr>
          <w:p>
            <w:pPr>
              <w:pStyle w:val="5"/>
              <w:ind w:firstLine="562"/>
              <w:jc w:val="left"/>
              <w:rPr>
                <w:rFonts w:ascii="宋体" w:hAnsi="宋体"/>
                <w:b/>
                <w:color w:val="000000" w:themeColor="text1"/>
                <w:sz w:val="28"/>
                <w:szCs w:val="28"/>
                <w14:textFill>
                  <w14:solidFill>
                    <w14:schemeClr w14:val="tx1"/>
                  </w14:solidFill>
                </w14:textFill>
              </w:rPr>
            </w:pPr>
          </w:p>
        </w:tc>
        <w:tc>
          <w:tcPr>
            <w:tcW w:w="1559"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115"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50" w:type="dxa"/>
          </w:tcPr>
          <w:p>
            <w:pPr>
              <w:pStyle w:val="5"/>
              <w:ind w:firstLine="562"/>
              <w:jc w:val="left"/>
              <w:rPr>
                <w:rFonts w:ascii="宋体" w:hAnsi="宋体"/>
                <w:b/>
                <w:color w:val="000000" w:themeColor="text1"/>
                <w:sz w:val="28"/>
                <w:szCs w:val="28"/>
                <w14:textFill>
                  <w14:solidFill>
                    <w14:schemeClr w14:val="tx1"/>
                  </w14:solidFill>
                </w14:textFill>
              </w:rPr>
            </w:pPr>
          </w:p>
        </w:tc>
        <w:tc>
          <w:tcPr>
            <w:tcW w:w="1701" w:type="dxa"/>
          </w:tcPr>
          <w:p>
            <w:pPr>
              <w:pStyle w:val="5"/>
              <w:ind w:firstLine="562"/>
              <w:jc w:val="left"/>
              <w:rPr>
                <w:rFonts w:ascii="宋体" w:hAnsi="宋体"/>
                <w:b/>
                <w:color w:val="000000" w:themeColor="text1"/>
                <w:sz w:val="28"/>
                <w:szCs w:val="28"/>
                <w14:textFill>
                  <w14:solidFill>
                    <w14:schemeClr w14:val="tx1"/>
                  </w14:solidFill>
                </w14:textFill>
              </w:rPr>
            </w:pPr>
          </w:p>
        </w:tc>
        <w:tc>
          <w:tcPr>
            <w:tcW w:w="1559"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115"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0" w:type="dxa"/>
          </w:tcPr>
          <w:p>
            <w:pPr>
              <w:pStyle w:val="5"/>
              <w:ind w:firstLine="562"/>
              <w:jc w:val="left"/>
              <w:rPr>
                <w:rFonts w:ascii="宋体" w:hAnsi="宋体"/>
                <w:b/>
                <w:color w:val="000000" w:themeColor="text1"/>
                <w:sz w:val="28"/>
                <w:szCs w:val="28"/>
                <w14:textFill>
                  <w14:solidFill>
                    <w14:schemeClr w14:val="tx1"/>
                  </w14:solidFill>
                </w14:textFill>
              </w:rPr>
            </w:pPr>
          </w:p>
        </w:tc>
        <w:tc>
          <w:tcPr>
            <w:tcW w:w="1701" w:type="dxa"/>
          </w:tcPr>
          <w:p>
            <w:pPr>
              <w:pStyle w:val="5"/>
              <w:ind w:firstLine="562"/>
              <w:jc w:val="left"/>
              <w:rPr>
                <w:rFonts w:ascii="宋体" w:hAnsi="宋体"/>
                <w:b/>
                <w:color w:val="000000" w:themeColor="text1"/>
                <w:sz w:val="28"/>
                <w:szCs w:val="28"/>
                <w14:textFill>
                  <w14:solidFill>
                    <w14:schemeClr w14:val="tx1"/>
                  </w14:solidFill>
                </w14:textFill>
              </w:rPr>
            </w:pPr>
          </w:p>
        </w:tc>
        <w:tc>
          <w:tcPr>
            <w:tcW w:w="1559"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115"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0" w:type="dxa"/>
          </w:tcPr>
          <w:p>
            <w:pPr>
              <w:pStyle w:val="5"/>
              <w:ind w:firstLine="562"/>
              <w:jc w:val="left"/>
              <w:rPr>
                <w:rFonts w:ascii="宋体" w:hAnsi="宋体"/>
                <w:b/>
                <w:color w:val="000000" w:themeColor="text1"/>
                <w:sz w:val="28"/>
                <w:szCs w:val="28"/>
                <w14:textFill>
                  <w14:solidFill>
                    <w14:schemeClr w14:val="tx1"/>
                  </w14:solidFill>
                </w14:textFill>
              </w:rPr>
            </w:pPr>
          </w:p>
        </w:tc>
        <w:tc>
          <w:tcPr>
            <w:tcW w:w="1701" w:type="dxa"/>
          </w:tcPr>
          <w:p>
            <w:pPr>
              <w:pStyle w:val="5"/>
              <w:ind w:firstLine="562"/>
              <w:jc w:val="left"/>
              <w:rPr>
                <w:rFonts w:ascii="宋体" w:hAnsi="宋体"/>
                <w:b/>
                <w:color w:val="000000" w:themeColor="text1"/>
                <w:sz w:val="28"/>
                <w:szCs w:val="28"/>
                <w14:textFill>
                  <w14:solidFill>
                    <w14:schemeClr w14:val="tx1"/>
                  </w14:solidFill>
                </w14:textFill>
              </w:rPr>
            </w:pPr>
          </w:p>
        </w:tc>
        <w:tc>
          <w:tcPr>
            <w:tcW w:w="1559"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115"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0" w:type="dxa"/>
          </w:tcPr>
          <w:p>
            <w:pPr>
              <w:pStyle w:val="5"/>
              <w:ind w:firstLine="562"/>
              <w:jc w:val="left"/>
              <w:rPr>
                <w:rFonts w:ascii="宋体" w:hAnsi="宋体"/>
                <w:b/>
                <w:color w:val="000000" w:themeColor="text1"/>
                <w:sz w:val="28"/>
                <w:szCs w:val="28"/>
                <w14:textFill>
                  <w14:solidFill>
                    <w14:schemeClr w14:val="tx1"/>
                  </w14:solidFill>
                </w14:textFill>
              </w:rPr>
            </w:pPr>
          </w:p>
        </w:tc>
        <w:tc>
          <w:tcPr>
            <w:tcW w:w="1701" w:type="dxa"/>
          </w:tcPr>
          <w:p>
            <w:pPr>
              <w:pStyle w:val="5"/>
              <w:ind w:firstLine="562"/>
              <w:jc w:val="left"/>
              <w:rPr>
                <w:rFonts w:ascii="宋体" w:hAnsi="宋体"/>
                <w:b/>
                <w:color w:val="000000" w:themeColor="text1"/>
                <w:sz w:val="28"/>
                <w:szCs w:val="28"/>
                <w14:textFill>
                  <w14:solidFill>
                    <w14:schemeClr w14:val="tx1"/>
                  </w14:solidFill>
                </w14:textFill>
              </w:rPr>
            </w:pPr>
          </w:p>
        </w:tc>
        <w:tc>
          <w:tcPr>
            <w:tcW w:w="1559"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115"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0" w:type="dxa"/>
          </w:tcPr>
          <w:p>
            <w:pPr>
              <w:pStyle w:val="5"/>
              <w:ind w:firstLine="562"/>
              <w:jc w:val="left"/>
              <w:rPr>
                <w:rFonts w:ascii="宋体" w:hAnsi="宋体"/>
                <w:b/>
                <w:color w:val="000000" w:themeColor="text1"/>
                <w:sz w:val="28"/>
                <w:szCs w:val="28"/>
                <w14:textFill>
                  <w14:solidFill>
                    <w14:schemeClr w14:val="tx1"/>
                  </w14:solidFill>
                </w14:textFill>
              </w:rPr>
            </w:pPr>
          </w:p>
        </w:tc>
        <w:tc>
          <w:tcPr>
            <w:tcW w:w="1701" w:type="dxa"/>
          </w:tcPr>
          <w:p>
            <w:pPr>
              <w:pStyle w:val="5"/>
              <w:ind w:firstLine="562"/>
              <w:jc w:val="left"/>
              <w:rPr>
                <w:rFonts w:ascii="宋体" w:hAnsi="宋体"/>
                <w:b/>
                <w:color w:val="000000" w:themeColor="text1"/>
                <w:sz w:val="28"/>
                <w:szCs w:val="28"/>
                <w14:textFill>
                  <w14:solidFill>
                    <w14:schemeClr w14:val="tx1"/>
                  </w14:solidFill>
                </w14:textFill>
              </w:rPr>
            </w:pPr>
          </w:p>
        </w:tc>
        <w:tc>
          <w:tcPr>
            <w:tcW w:w="1559"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115"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0" w:type="dxa"/>
          </w:tcPr>
          <w:p>
            <w:pPr>
              <w:pStyle w:val="5"/>
              <w:ind w:firstLine="562"/>
              <w:jc w:val="left"/>
              <w:rPr>
                <w:rFonts w:ascii="宋体" w:hAnsi="宋体"/>
                <w:b/>
                <w:color w:val="000000" w:themeColor="text1"/>
                <w:sz w:val="28"/>
                <w:szCs w:val="28"/>
                <w14:textFill>
                  <w14:solidFill>
                    <w14:schemeClr w14:val="tx1"/>
                  </w14:solidFill>
                </w14:textFill>
              </w:rPr>
            </w:pPr>
          </w:p>
        </w:tc>
        <w:tc>
          <w:tcPr>
            <w:tcW w:w="1701" w:type="dxa"/>
          </w:tcPr>
          <w:p>
            <w:pPr>
              <w:pStyle w:val="5"/>
              <w:ind w:firstLine="562"/>
              <w:jc w:val="left"/>
              <w:rPr>
                <w:rFonts w:ascii="宋体" w:hAnsi="宋体"/>
                <w:b/>
                <w:color w:val="000000" w:themeColor="text1"/>
                <w:sz w:val="28"/>
                <w:szCs w:val="28"/>
                <w14:textFill>
                  <w14:solidFill>
                    <w14:schemeClr w14:val="tx1"/>
                  </w14:solidFill>
                </w14:textFill>
              </w:rPr>
            </w:pPr>
          </w:p>
        </w:tc>
        <w:tc>
          <w:tcPr>
            <w:tcW w:w="1559"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115"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0" w:type="dxa"/>
          </w:tcPr>
          <w:p>
            <w:pPr>
              <w:pStyle w:val="5"/>
              <w:ind w:firstLine="562"/>
              <w:jc w:val="left"/>
              <w:rPr>
                <w:rFonts w:ascii="宋体" w:hAnsi="宋体"/>
                <w:b/>
                <w:color w:val="000000" w:themeColor="text1"/>
                <w:sz w:val="28"/>
                <w:szCs w:val="28"/>
                <w14:textFill>
                  <w14:solidFill>
                    <w14:schemeClr w14:val="tx1"/>
                  </w14:solidFill>
                </w14:textFill>
              </w:rPr>
            </w:pPr>
          </w:p>
        </w:tc>
        <w:tc>
          <w:tcPr>
            <w:tcW w:w="1701" w:type="dxa"/>
          </w:tcPr>
          <w:p>
            <w:pPr>
              <w:pStyle w:val="5"/>
              <w:ind w:firstLine="562"/>
              <w:jc w:val="left"/>
              <w:rPr>
                <w:rFonts w:ascii="宋体" w:hAnsi="宋体"/>
                <w:b/>
                <w:color w:val="000000" w:themeColor="text1"/>
                <w:sz w:val="28"/>
                <w:szCs w:val="28"/>
                <w14:textFill>
                  <w14:solidFill>
                    <w14:schemeClr w14:val="tx1"/>
                  </w14:solidFill>
                </w14:textFill>
              </w:rPr>
            </w:pPr>
          </w:p>
        </w:tc>
        <w:tc>
          <w:tcPr>
            <w:tcW w:w="1559"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115"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50" w:type="dxa"/>
          </w:tcPr>
          <w:p>
            <w:pPr>
              <w:pStyle w:val="5"/>
              <w:ind w:firstLine="562"/>
              <w:jc w:val="left"/>
              <w:rPr>
                <w:rFonts w:ascii="宋体" w:hAnsi="宋体"/>
                <w:b/>
                <w:color w:val="000000" w:themeColor="text1"/>
                <w:sz w:val="28"/>
                <w:szCs w:val="28"/>
                <w14:textFill>
                  <w14:solidFill>
                    <w14:schemeClr w14:val="tx1"/>
                  </w14:solidFill>
                </w14:textFill>
              </w:rPr>
            </w:pPr>
          </w:p>
        </w:tc>
        <w:tc>
          <w:tcPr>
            <w:tcW w:w="1701" w:type="dxa"/>
          </w:tcPr>
          <w:p>
            <w:pPr>
              <w:pStyle w:val="5"/>
              <w:ind w:firstLine="562"/>
              <w:jc w:val="left"/>
              <w:rPr>
                <w:rFonts w:ascii="宋体" w:hAnsi="宋体"/>
                <w:b/>
                <w:color w:val="000000" w:themeColor="text1"/>
                <w:sz w:val="28"/>
                <w:szCs w:val="28"/>
                <w14:textFill>
                  <w14:solidFill>
                    <w14:schemeClr w14:val="tx1"/>
                  </w14:solidFill>
                </w14:textFill>
              </w:rPr>
            </w:pPr>
          </w:p>
        </w:tc>
        <w:tc>
          <w:tcPr>
            <w:tcW w:w="1559"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115"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50" w:type="dxa"/>
          </w:tcPr>
          <w:p>
            <w:pPr>
              <w:pStyle w:val="5"/>
              <w:ind w:firstLine="562"/>
              <w:jc w:val="left"/>
              <w:rPr>
                <w:rFonts w:ascii="宋体" w:hAnsi="宋体"/>
                <w:b/>
                <w:color w:val="000000" w:themeColor="text1"/>
                <w:sz w:val="28"/>
                <w:szCs w:val="28"/>
                <w14:textFill>
                  <w14:solidFill>
                    <w14:schemeClr w14:val="tx1"/>
                  </w14:solidFill>
                </w14:textFill>
              </w:rPr>
            </w:pPr>
          </w:p>
        </w:tc>
        <w:tc>
          <w:tcPr>
            <w:tcW w:w="1701" w:type="dxa"/>
          </w:tcPr>
          <w:p>
            <w:pPr>
              <w:pStyle w:val="5"/>
              <w:ind w:firstLine="562"/>
              <w:jc w:val="left"/>
              <w:rPr>
                <w:rFonts w:ascii="宋体" w:hAnsi="宋体"/>
                <w:b/>
                <w:color w:val="000000" w:themeColor="text1"/>
                <w:sz w:val="28"/>
                <w:szCs w:val="28"/>
                <w14:textFill>
                  <w14:solidFill>
                    <w14:schemeClr w14:val="tx1"/>
                  </w14:solidFill>
                </w14:textFill>
              </w:rPr>
            </w:pPr>
          </w:p>
        </w:tc>
        <w:tc>
          <w:tcPr>
            <w:tcW w:w="1559"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115"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50" w:type="dxa"/>
          </w:tcPr>
          <w:p>
            <w:pPr>
              <w:pStyle w:val="5"/>
              <w:ind w:firstLine="562"/>
              <w:jc w:val="left"/>
              <w:rPr>
                <w:rFonts w:ascii="宋体" w:hAnsi="宋体"/>
                <w:b/>
                <w:color w:val="000000" w:themeColor="text1"/>
                <w:sz w:val="28"/>
                <w:szCs w:val="28"/>
                <w14:textFill>
                  <w14:solidFill>
                    <w14:schemeClr w14:val="tx1"/>
                  </w14:solidFill>
                </w14:textFill>
              </w:rPr>
            </w:pPr>
          </w:p>
        </w:tc>
        <w:tc>
          <w:tcPr>
            <w:tcW w:w="1701" w:type="dxa"/>
          </w:tcPr>
          <w:p>
            <w:pPr>
              <w:pStyle w:val="5"/>
              <w:ind w:firstLine="562"/>
              <w:jc w:val="left"/>
              <w:rPr>
                <w:rFonts w:ascii="宋体" w:hAnsi="宋体"/>
                <w:b/>
                <w:color w:val="000000" w:themeColor="text1"/>
                <w:sz w:val="28"/>
                <w:szCs w:val="28"/>
                <w14:textFill>
                  <w14:solidFill>
                    <w14:schemeClr w14:val="tx1"/>
                  </w14:solidFill>
                </w14:textFill>
              </w:rPr>
            </w:pPr>
          </w:p>
        </w:tc>
        <w:tc>
          <w:tcPr>
            <w:tcW w:w="1559"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115"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50" w:type="dxa"/>
          </w:tcPr>
          <w:p>
            <w:pPr>
              <w:pStyle w:val="5"/>
              <w:ind w:firstLine="562"/>
              <w:jc w:val="left"/>
              <w:rPr>
                <w:rFonts w:ascii="宋体" w:hAnsi="宋体"/>
                <w:b/>
                <w:color w:val="000000" w:themeColor="text1"/>
                <w:sz w:val="28"/>
                <w:szCs w:val="28"/>
                <w14:textFill>
                  <w14:solidFill>
                    <w14:schemeClr w14:val="tx1"/>
                  </w14:solidFill>
                </w14:textFill>
              </w:rPr>
            </w:pPr>
          </w:p>
        </w:tc>
        <w:tc>
          <w:tcPr>
            <w:tcW w:w="1701" w:type="dxa"/>
          </w:tcPr>
          <w:p>
            <w:pPr>
              <w:pStyle w:val="5"/>
              <w:ind w:firstLine="562"/>
              <w:jc w:val="left"/>
              <w:rPr>
                <w:rFonts w:ascii="宋体" w:hAnsi="宋体"/>
                <w:b/>
                <w:color w:val="000000" w:themeColor="text1"/>
                <w:sz w:val="28"/>
                <w:szCs w:val="28"/>
                <w14:textFill>
                  <w14:solidFill>
                    <w14:schemeClr w14:val="tx1"/>
                  </w14:solidFill>
                </w14:textFill>
              </w:rPr>
            </w:pPr>
          </w:p>
        </w:tc>
        <w:tc>
          <w:tcPr>
            <w:tcW w:w="1559"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c>
          <w:tcPr>
            <w:tcW w:w="1115" w:type="dxa"/>
          </w:tcPr>
          <w:p>
            <w:pPr>
              <w:pStyle w:val="5"/>
              <w:ind w:firstLine="562"/>
              <w:jc w:val="left"/>
              <w:rPr>
                <w:rFonts w:ascii="宋体" w:hAnsi="宋体"/>
                <w:b/>
                <w:color w:val="000000" w:themeColor="text1"/>
                <w:sz w:val="28"/>
                <w:szCs w:val="28"/>
                <w14:textFill>
                  <w14:solidFill>
                    <w14:schemeClr w14:val="tx1"/>
                  </w14:solidFill>
                </w14:textFill>
              </w:rPr>
            </w:pPr>
          </w:p>
        </w:tc>
        <w:tc>
          <w:tcPr>
            <w:tcW w:w="1276" w:type="dxa"/>
          </w:tcPr>
          <w:p>
            <w:pPr>
              <w:pStyle w:val="5"/>
              <w:ind w:firstLine="562"/>
              <w:jc w:val="left"/>
              <w:rPr>
                <w:rFonts w:ascii="宋体" w:hAnsi="宋体"/>
                <w:b/>
                <w:color w:val="000000" w:themeColor="text1"/>
                <w:sz w:val="28"/>
                <w:szCs w:val="28"/>
                <w14:textFill>
                  <w14:solidFill>
                    <w14:schemeClr w14:val="tx1"/>
                  </w14:solidFill>
                </w14:textFill>
              </w:rPr>
            </w:pPr>
          </w:p>
        </w:tc>
      </w:tr>
    </w:tbl>
    <w:p>
      <w:pPr>
        <w:adjustRightInd w:val="0"/>
        <w:jc w:val="left"/>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注：</w:t>
      </w:r>
      <w:r>
        <w:rPr>
          <w:rFonts w:ascii="楷体" w:hAnsi="楷体" w:eastAsia="楷体"/>
          <w:color w:val="000000" w:themeColor="text1"/>
          <w:szCs w:val="21"/>
          <w14:textFill>
            <w14:solidFill>
              <w14:schemeClr w14:val="tx1"/>
            </w14:solidFill>
          </w14:textFill>
        </w:rPr>
        <w:t>1.</w:t>
      </w:r>
      <w:r>
        <w:rPr>
          <w:rFonts w:hint="eastAsia" w:ascii="楷体" w:hAnsi="楷体" w:eastAsia="楷体"/>
          <w:color w:val="000000" w:themeColor="text1"/>
          <w:szCs w:val="21"/>
          <w14:textFill>
            <w14:solidFill>
              <w14:schemeClr w14:val="tx1"/>
            </w14:solidFill>
          </w14:textFill>
        </w:rPr>
        <w:t>设备可以填写单台设备，也可以填写成套设备；</w:t>
      </w:r>
      <w:r>
        <w:rPr>
          <w:rFonts w:ascii="楷体" w:hAnsi="楷体" w:eastAsia="楷体"/>
          <w:color w:val="000000" w:themeColor="text1"/>
          <w:szCs w:val="21"/>
          <w14:textFill>
            <w14:solidFill>
              <w14:schemeClr w14:val="tx1"/>
            </w14:solidFill>
          </w14:textFill>
        </w:rPr>
        <w:t>2</w:t>
      </w:r>
      <w:r>
        <w:rPr>
          <w:rFonts w:hint="eastAsia" w:ascii="楷体" w:hAnsi="楷体" w:eastAsia="楷体"/>
          <w:color w:val="000000" w:themeColor="text1"/>
          <w:szCs w:val="21"/>
          <w14:textFill>
            <w14:solidFill>
              <w14:schemeClr w14:val="tx1"/>
            </w14:solidFill>
          </w14:textFill>
        </w:rPr>
        <w:t>.表格行数不足时，可自行扩展；</w:t>
      </w:r>
      <w:r>
        <w:rPr>
          <w:rFonts w:ascii="楷体" w:hAnsi="楷体" w:eastAsia="楷体"/>
          <w:color w:val="000000" w:themeColor="text1"/>
          <w:szCs w:val="21"/>
          <w14:textFill>
            <w14:solidFill>
              <w14:schemeClr w14:val="tx1"/>
            </w14:solidFill>
          </w14:textFill>
        </w:rPr>
        <w:t>3.本表后可附相关证明材料</w:t>
      </w:r>
      <w:r>
        <w:rPr>
          <w:rFonts w:hint="eastAsia" w:ascii="楷体" w:hAnsi="楷体" w:eastAsia="楷体"/>
          <w:color w:val="000000" w:themeColor="text1"/>
          <w:szCs w:val="21"/>
          <w14:textFill>
            <w14:solidFill>
              <w14:schemeClr w14:val="tx1"/>
            </w14:solidFill>
          </w14:textFill>
        </w:rPr>
        <w:t>；</w:t>
      </w:r>
      <w:r>
        <w:rPr>
          <w:rFonts w:ascii="楷体" w:hAnsi="楷体" w:eastAsia="楷体"/>
          <w:color w:val="000000" w:themeColor="text1"/>
          <w:szCs w:val="21"/>
          <w14:textFill>
            <w14:solidFill>
              <w14:schemeClr w14:val="tx1"/>
            </w14:solidFill>
          </w14:textFill>
        </w:rPr>
        <w:t>4.</w:t>
      </w:r>
      <w:r>
        <w:rPr>
          <w:rFonts w:hint="eastAsia" w:ascii="楷体" w:hAnsi="楷体" w:eastAsia="楷体"/>
          <w:color w:val="000000" w:themeColor="text1"/>
          <w:szCs w:val="21"/>
          <w14:textFill>
            <w14:solidFill>
              <w14:schemeClr w14:val="tx1"/>
            </w14:solidFill>
          </w14:textFill>
        </w:rPr>
        <w:t>如采购项目特性无需供应商投入任何必备设备（物品）可不填写此表，但需提供空白表格并签署、盖章。</w:t>
      </w:r>
    </w:p>
    <w:p>
      <w:pPr>
        <w:adjustRightInd w:val="0"/>
        <w:spacing w:before="480" w:beforeLines="200" w:line="360" w:lineRule="auto"/>
        <w:ind w:firstLine="105" w:firstLine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（盖单位章）</w:t>
      </w:r>
    </w:p>
    <w:p>
      <w:pPr>
        <w:spacing w:before="240" w:beforeLines="100" w:line="360" w:lineRule="auto"/>
        <w:ind w:firstLine="105" w:firstLineChars="50"/>
        <w:outlineLvl w:val="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法定代表人（单位负责人）或委托代理人：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（签名）</w:t>
      </w:r>
    </w:p>
    <w:p>
      <w:pPr>
        <w:spacing w:before="240" w:beforeLines="100"/>
        <w:ind w:firstLine="123" w:firstLineChars="59"/>
        <w:outlineLvl w:val="1"/>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    期：</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widowControl/>
        <w:jc w:val="left"/>
        <w:rPr>
          <w:rFonts w:ascii="黑体" w:hAnsi="宋体" w:eastAsia="黑体"/>
          <w:color w:val="000000" w:themeColor="text1"/>
          <w:sz w:val="36"/>
          <w:szCs w:val="36"/>
          <w14:textFill>
            <w14:solidFill>
              <w14:schemeClr w14:val="tx1"/>
            </w14:solidFill>
          </w14:textFill>
        </w:rPr>
      </w:pPr>
    </w:p>
    <w:p>
      <w:pPr>
        <w:widowControl/>
        <w:jc w:val="left"/>
        <w:rPr>
          <w:rFonts w:asciiTheme="majorEastAsia" w:hAnsiTheme="majorEastAsia" w:eastAsiaTheme="majorEastAsia"/>
          <w:b/>
          <w:color w:val="000000" w:themeColor="text1"/>
          <w:sz w:val="32"/>
          <w:szCs w:val="32"/>
          <w14:textFill>
            <w14:solidFill>
              <w14:schemeClr w14:val="tx1"/>
            </w14:solidFill>
          </w14:textFill>
        </w:rPr>
      </w:pPr>
      <w:r>
        <w:rPr>
          <w:rFonts w:asciiTheme="majorEastAsia" w:hAnsiTheme="majorEastAsia" w:eastAsiaTheme="majorEastAsia"/>
          <w:b/>
          <w:color w:val="000000" w:themeColor="text1"/>
          <w:sz w:val="32"/>
          <w:szCs w:val="32"/>
          <w14:textFill>
            <w14:solidFill>
              <w14:schemeClr w14:val="tx1"/>
            </w14:solidFill>
          </w14:textFill>
        </w:rPr>
        <w:br w:type="page"/>
      </w:r>
    </w:p>
    <w:p>
      <w:pPr>
        <w:pStyle w:val="22"/>
        <w:spacing w:before="120" w:beforeLines="50" w:after="120" w:afterLines="50" w:line="360" w:lineRule="auto"/>
        <w:ind w:firstLine="643"/>
        <w:jc w:val="center"/>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9.</w:t>
      </w:r>
      <w:r>
        <w:rPr>
          <w:rFonts w:hint="eastAsia"/>
          <w:color w:val="000000" w:themeColor="text1"/>
          <w14:textFill>
            <w14:solidFill>
              <w14:schemeClr w14:val="tx1"/>
            </w14:solidFill>
          </w14:textFill>
        </w:rPr>
        <w:t xml:space="preserve"> </w:t>
      </w:r>
      <w:r>
        <w:rPr>
          <w:rFonts w:hint="eastAsia" w:asciiTheme="majorEastAsia" w:hAnsiTheme="majorEastAsia" w:eastAsiaTheme="majorEastAsia"/>
          <w:b/>
          <w:color w:val="000000" w:themeColor="text1"/>
          <w:sz w:val="32"/>
          <w:szCs w:val="32"/>
          <w14:textFill>
            <w14:solidFill>
              <w14:schemeClr w14:val="tx1"/>
            </w14:solidFill>
          </w14:textFill>
        </w:rPr>
        <w:t>竞争性磋商响应声明书</w:t>
      </w:r>
    </w:p>
    <w:p>
      <w:pPr>
        <w:pStyle w:val="5"/>
        <w:spacing w:line="360" w:lineRule="auto"/>
        <w:ind w:firstLine="422"/>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陕西隆信项目管理有限公司：</w:t>
      </w:r>
    </w:p>
    <w:p>
      <w:pPr>
        <w:pStyle w:val="5"/>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w:t>
      </w:r>
      <w:r>
        <w:rPr>
          <w:rFonts w:hint="eastAsia" w:ascii="宋体" w:hAnsi="宋体"/>
          <w:color w:val="000000" w:themeColor="text1"/>
          <w:szCs w:val="21"/>
          <w:u w:val="single"/>
          <w14:textFill>
            <w14:solidFill>
              <w14:schemeClr w14:val="tx1"/>
            </w14:solidFill>
          </w14:textFill>
        </w:rPr>
        <w:t xml:space="preserve">（供应商名称） </w:t>
      </w:r>
      <w:r>
        <w:rPr>
          <w:rFonts w:hint="eastAsia" w:ascii="宋体" w:hAnsi="宋体"/>
          <w:color w:val="000000" w:themeColor="text1"/>
          <w:szCs w:val="21"/>
          <w14:textFill>
            <w14:solidFill>
              <w14:schemeClr w14:val="tx1"/>
            </w14:solidFill>
          </w14:textFill>
        </w:rPr>
        <w:t xml:space="preserve">，就参加 </w:t>
      </w:r>
      <w:r>
        <w:rPr>
          <w:rFonts w:hint="eastAsia" w:ascii="宋体" w:hAnsi="宋体"/>
          <w:color w:val="000000" w:themeColor="text1"/>
          <w:szCs w:val="21"/>
          <w:u w:val="single"/>
          <w14:textFill>
            <w14:solidFill>
              <w14:schemeClr w14:val="tx1"/>
            </w14:solidFill>
          </w14:textFill>
        </w:rPr>
        <w:t xml:space="preserve"> （项目名称）（项目编号）</w:t>
      </w:r>
      <w:r>
        <w:rPr>
          <w:rFonts w:hint="eastAsia" w:ascii="宋体" w:hAnsi="宋体"/>
          <w:color w:val="000000" w:themeColor="text1"/>
          <w:szCs w:val="21"/>
          <w14:textFill>
            <w14:solidFill>
              <w14:schemeClr w14:val="tx1"/>
            </w14:solidFill>
          </w14:textFill>
        </w:rPr>
        <w:t>磋商事宜，在此郑重声明：</w:t>
      </w:r>
    </w:p>
    <w:p>
      <w:pPr>
        <w:pStyle w:val="5"/>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1.我方所提交的响应文件全部真实有效；</w:t>
      </w:r>
    </w:p>
    <w:p>
      <w:pPr>
        <w:pStyle w:val="5"/>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2.我方近3年来无违规违法经营受到责令停产(或停止经营)、吊销生产许可证（或经营许可证）、较大数额罚款（举行听证会的）等行政处罚的情形存在；</w:t>
      </w:r>
    </w:p>
    <w:p>
      <w:pPr>
        <w:pStyle w:val="5"/>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3.我方无企业财产被查封、冻结或处于破产状态或严重亏损状态等情形存在；</w:t>
      </w:r>
    </w:p>
    <w:p>
      <w:pPr>
        <w:pStyle w:val="5"/>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4.我方承诺在磋商过程中，保证不予其他单位恶意串通，不出让磋商资格，不采取不正当手段诋毁、排挤其他供应商，不向采购人、采购代理机构和谈判小组成员行贿；</w:t>
      </w:r>
    </w:p>
    <w:p>
      <w:pPr>
        <w:pStyle w:val="5"/>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5.我方参加本次政府采购活动近3年内，在经营活动中没有重大违法记录；</w:t>
      </w:r>
    </w:p>
    <w:p>
      <w:pPr>
        <w:pStyle w:val="5"/>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6.我方在提交响应文件时，未被列入政府采购严重违法失信行为记录名单、失信被执行人、重大税收违法案件当事人名单。</w:t>
      </w:r>
    </w:p>
    <w:p>
      <w:pPr>
        <w:pStyle w:val="5"/>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以上声明若有违反，一经查实，我方愿意接受政府有关部门的相应处罚，并愿意承担由此带来的法律后果。</w:t>
      </w:r>
    </w:p>
    <w:p>
      <w:pPr>
        <w:pStyle w:val="5"/>
        <w:spacing w:line="480" w:lineRule="auto"/>
        <w:rPr>
          <w:rFonts w:ascii="宋体" w:hAnsi="宋体"/>
          <w:color w:val="000000" w:themeColor="text1"/>
          <w:szCs w:val="21"/>
          <w14:textFill>
            <w14:solidFill>
              <w14:schemeClr w14:val="tx1"/>
            </w14:solidFill>
          </w14:textFill>
        </w:rPr>
      </w:pPr>
    </w:p>
    <w:p>
      <w:pPr>
        <w:pStyle w:val="5"/>
        <w:spacing w:line="48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特此声明！</w:t>
      </w:r>
    </w:p>
    <w:p>
      <w:pPr>
        <w:pStyle w:val="5"/>
        <w:spacing w:line="480" w:lineRule="auto"/>
        <w:rPr>
          <w:rFonts w:ascii="宋体" w:hAnsi="宋体"/>
          <w:color w:val="000000" w:themeColor="text1"/>
          <w:szCs w:val="21"/>
          <w14:textFill>
            <w14:solidFill>
              <w14:schemeClr w14:val="tx1"/>
            </w14:solidFill>
          </w14:textFill>
        </w:rPr>
      </w:pPr>
    </w:p>
    <w:p>
      <w:pPr>
        <w:pStyle w:val="5"/>
        <w:spacing w:line="48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声  明  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(供应商名称、盖单位章)</w:t>
      </w:r>
    </w:p>
    <w:p>
      <w:pPr>
        <w:pStyle w:val="5"/>
        <w:spacing w:line="48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法定代表人（单位负责人）或委托代理人：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（签名）</w:t>
      </w:r>
    </w:p>
    <w:p>
      <w:pPr>
        <w:pStyle w:val="5"/>
        <w:spacing w:line="480" w:lineRule="auto"/>
        <w:ind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    期：</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pStyle w:val="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widowControl/>
        <w:jc w:val="left"/>
        <w:rPr>
          <w:rFonts w:ascii="黑体" w:hAnsi="黑体" w:eastAsia="黑体"/>
          <w:color w:val="000000" w:themeColor="text1"/>
          <w:sz w:val="44"/>
          <w:szCs w:val="44"/>
          <w14:textFill>
            <w14:solidFill>
              <w14:schemeClr w14:val="tx1"/>
            </w14:solidFill>
          </w14:textFill>
        </w:rPr>
      </w:pPr>
      <w:r>
        <w:rPr>
          <w:rFonts w:ascii="黑体" w:hAnsi="黑体" w:eastAsia="黑体"/>
          <w:color w:val="000000" w:themeColor="text1"/>
          <w:sz w:val="44"/>
          <w:szCs w:val="44"/>
          <w14:textFill>
            <w14:solidFill>
              <w14:schemeClr w14:val="tx1"/>
            </w14:solidFill>
          </w14:textFill>
        </w:rPr>
        <w:br w:type="page"/>
      </w:r>
    </w:p>
    <w:p>
      <w:pPr>
        <w:pStyle w:val="5"/>
        <w:spacing w:after="120" w:afterLines="50" w:line="360" w:lineRule="auto"/>
        <w:ind w:firstLine="0" w:firstLineChars="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1</w:t>
      </w:r>
      <w:r>
        <w:rPr>
          <w:rFonts w:ascii="黑体" w:hAnsi="黑体" w:eastAsia="黑体"/>
          <w:color w:val="000000" w:themeColor="text1"/>
          <w:sz w:val="32"/>
          <w:szCs w:val="32"/>
          <w14:textFill>
            <w14:solidFill>
              <w14:schemeClr w14:val="tx1"/>
            </w14:solidFill>
          </w14:textFill>
        </w:rPr>
        <w:t>0</w:t>
      </w:r>
      <w:r>
        <w:rPr>
          <w:rFonts w:hint="eastAsia" w:ascii="黑体" w:hAnsi="黑体" w:eastAsia="黑体"/>
          <w:color w:val="000000" w:themeColor="text1"/>
          <w:sz w:val="32"/>
          <w:szCs w:val="32"/>
          <w14:textFill>
            <w14:solidFill>
              <w14:schemeClr w14:val="tx1"/>
            </w14:solidFill>
          </w14:textFill>
        </w:rPr>
        <w:t>. 供应商认为有必要补充说明的其他资格证明</w:t>
      </w:r>
    </w:p>
    <w:p>
      <w:pPr>
        <w:pStyle w:val="5"/>
        <w:spacing w:line="360" w:lineRule="auto"/>
        <w:ind w:firstLine="0" w:firstLineChars="0"/>
        <w:jc w:val="left"/>
        <w:rPr>
          <w:rFonts w:ascii="楷体" w:hAnsi="楷体" w:eastAsia="楷体"/>
          <w:color w:val="000000" w:themeColor="text1"/>
          <w:szCs w:val="21"/>
          <w14:textFill>
            <w14:solidFill>
              <w14:schemeClr w14:val="tx1"/>
            </w14:solidFill>
          </w14:textFill>
        </w:rPr>
      </w:pPr>
    </w:p>
    <w:p>
      <w:pPr>
        <w:pStyle w:val="5"/>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说明：供应商根据磋商文件资格要求，认为有必要补充说明的其他资格证明材料加盖供应商单位公章</w:t>
      </w:r>
      <w:r>
        <w:rPr>
          <w:rFonts w:hint="eastAsia" w:ascii="宋体" w:hAnsi="宋体"/>
          <w:color w:val="000000" w:themeColor="text1"/>
          <w14:textFill>
            <w14:solidFill>
              <w14:schemeClr w14:val="tx1"/>
            </w14:solidFill>
          </w14:textFill>
        </w:rPr>
        <w:t>。</w:t>
      </w:r>
    </w:p>
    <w:p>
      <w:pPr>
        <w:widowControl/>
        <w:jc w:val="left"/>
        <w:rPr>
          <w:rFonts w:ascii="方正小标宋简体" w:eastAsia="方正小标宋简体"/>
          <w:sz w:val="72"/>
          <w:szCs w:val="72"/>
        </w:rPr>
      </w:pPr>
      <w:r>
        <w:rPr>
          <w:rFonts w:ascii="方正小标宋简体" w:eastAsia="方正小标宋简体"/>
          <w:sz w:val="72"/>
          <w:szCs w:val="72"/>
        </w:rPr>
        <w:br w:type="page"/>
      </w:r>
    </w:p>
    <w:p>
      <w:pPr>
        <w:pStyle w:val="5"/>
        <w:spacing w:before="120" w:beforeLines="50"/>
        <w:ind w:firstLine="0" w:firstLineChars="0"/>
        <w:outlineLvl w:val="1"/>
        <w:rPr>
          <w:rFonts w:ascii="方正小标宋简体" w:eastAsia="方正小标宋简体"/>
          <w:sz w:val="72"/>
          <w:szCs w:val="72"/>
        </w:rPr>
      </w:pPr>
    </w:p>
    <w:p>
      <w:pPr>
        <w:pStyle w:val="5"/>
        <w:spacing w:before="120" w:beforeLines="50"/>
        <w:ind w:firstLine="0" w:firstLineChars="0"/>
        <w:jc w:val="center"/>
        <w:outlineLvl w:val="1"/>
        <w:rPr>
          <w:rFonts w:ascii="方正小标宋简体" w:eastAsia="方正小标宋简体"/>
          <w:sz w:val="72"/>
          <w:szCs w:val="72"/>
        </w:rPr>
      </w:pPr>
    </w:p>
    <w:p>
      <w:pPr>
        <w:pStyle w:val="5"/>
        <w:spacing w:before="120" w:beforeLines="50"/>
        <w:ind w:firstLine="0" w:firstLineChars="0"/>
        <w:jc w:val="center"/>
        <w:outlineLvl w:val="1"/>
        <w:rPr>
          <w:rFonts w:ascii="方正小标宋简体" w:eastAsia="方正小标宋简体"/>
          <w:sz w:val="72"/>
          <w:szCs w:val="72"/>
        </w:rPr>
      </w:pPr>
    </w:p>
    <w:p>
      <w:pPr>
        <w:pStyle w:val="5"/>
        <w:spacing w:before="120" w:beforeLines="50"/>
        <w:ind w:firstLine="0" w:firstLineChars="0"/>
        <w:outlineLvl w:val="1"/>
        <w:rPr>
          <w:rFonts w:ascii="方正小标宋简体" w:eastAsia="方正小标宋简体"/>
          <w:sz w:val="72"/>
          <w:szCs w:val="72"/>
        </w:rPr>
      </w:pPr>
    </w:p>
    <w:p>
      <w:pPr>
        <w:pStyle w:val="5"/>
        <w:spacing w:before="120" w:beforeLines="50"/>
        <w:ind w:firstLine="0" w:firstLineChars="0"/>
        <w:jc w:val="center"/>
        <w:outlineLvl w:val="1"/>
        <w:rPr>
          <w:rFonts w:ascii="方正小标宋简体" w:eastAsia="方正小标宋简体"/>
          <w:sz w:val="72"/>
          <w:szCs w:val="72"/>
        </w:rPr>
      </w:pPr>
      <w:r>
        <w:rPr>
          <w:rFonts w:hint="eastAsia" w:ascii="方正小标宋简体" w:eastAsia="方正小标宋简体"/>
          <w:sz w:val="72"/>
          <w:szCs w:val="72"/>
        </w:rPr>
        <w:t>商务技术部分</w:t>
      </w:r>
    </w:p>
    <w:p>
      <w:pPr>
        <w:pStyle w:val="5"/>
        <w:spacing w:before="120" w:beforeLines="50"/>
        <w:ind w:firstLine="1440"/>
        <w:jc w:val="center"/>
        <w:rPr>
          <w:rFonts w:ascii="方正小标宋简体" w:eastAsia="方正小标宋简体"/>
          <w:sz w:val="72"/>
          <w:szCs w:val="72"/>
        </w:rPr>
      </w:pPr>
    </w:p>
    <w:p>
      <w:pPr>
        <w:rPr>
          <w:rFonts w:ascii="方正小标宋简体" w:eastAsia="方正小标宋简体"/>
          <w:sz w:val="72"/>
          <w:szCs w:val="72"/>
        </w:rPr>
      </w:pPr>
      <w:r>
        <w:rPr>
          <w:rFonts w:hint="eastAsia" w:ascii="方正小标宋简体" w:eastAsia="方正小标宋简体"/>
          <w:sz w:val="72"/>
          <w:szCs w:val="72"/>
        </w:rPr>
        <w:br w:type="page"/>
      </w:r>
    </w:p>
    <w:p>
      <w:pPr>
        <w:pStyle w:val="5"/>
        <w:spacing w:before="120" w:beforeLines="50" w:line="360" w:lineRule="auto"/>
        <w:ind w:firstLine="0" w:firstLineChars="0"/>
        <w:jc w:val="center"/>
        <w:rPr>
          <w:b/>
          <w:bCs/>
          <w:sz w:val="36"/>
          <w:szCs w:val="36"/>
        </w:rPr>
      </w:pPr>
      <w:bookmarkStart w:id="0" w:name="_Toc28924"/>
      <w:bookmarkStart w:id="1" w:name="_Toc14949"/>
      <w:r>
        <w:rPr>
          <w:rFonts w:hint="eastAsia"/>
          <w:b/>
          <w:bCs/>
          <w:sz w:val="36"/>
          <w:szCs w:val="36"/>
        </w:rPr>
        <w:t>目录</w:t>
      </w:r>
    </w:p>
    <w:p>
      <w:pPr>
        <w:pStyle w:val="5"/>
        <w:spacing w:before="120" w:beforeLines="50" w:line="360" w:lineRule="auto"/>
        <w:rPr>
          <w:rFonts w:hint="eastAsia"/>
          <w:szCs w:val="21"/>
        </w:rPr>
      </w:pPr>
    </w:p>
    <w:p>
      <w:pPr>
        <w:pStyle w:val="5"/>
        <w:spacing w:before="120" w:beforeLines="50" w:line="360" w:lineRule="auto"/>
        <w:ind w:left="0" w:leftChars="0" w:firstLine="0" w:firstLineChars="0"/>
        <w:rPr>
          <w:rFonts w:hint="eastAsia" w:ascii="宋体" w:hAnsi="宋体" w:eastAsia="宋体"/>
          <w:szCs w:val="21"/>
          <w:lang w:eastAsia="zh-CN"/>
        </w:rPr>
      </w:pPr>
      <w:r>
        <w:rPr>
          <w:rFonts w:hint="eastAsia"/>
          <w:szCs w:val="21"/>
        </w:rPr>
        <w:t>一、</w:t>
      </w:r>
      <w:bookmarkEnd w:id="0"/>
      <w:bookmarkEnd w:id="1"/>
      <w:bookmarkStart w:id="2" w:name="_Toc12053"/>
      <w:bookmarkStart w:id="3" w:name="_Toc5393"/>
      <w:r>
        <w:rPr>
          <w:rFonts w:hint="eastAsia" w:ascii="宋体" w:hAnsi="宋体"/>
          <w:szCs w:val="21"/>
        </w:rPr>
        <w:t>分项报价明细表</w:t>
      </w:r>
      <w:r>
        <w:rPr>
          <w:rFonts w:hint="eastAsia"/>
          <w:szCs w:val="21"/>
        </w:rPr>
        <w:t xml:space="preserve"> ……………………………………………………………</w:t>
      </w:r>
      <w:bookmarkEnd w:id="2"/>
      <w:bookmarkEnd w:id="3"/>
      <w:r>
        <w:rPr>
          <w:rFonts w:hint="eastAsia" w:hAnsi="宋体"/>
          <w:szCs w:val="21"/>
          <w:lang w:val="en-US" w:eastAsia="zh-CN"/>
        </w:rPr>
        <w:t>页码</w:t>
      </w:r>
    </w:p>
    <w:p>
      <w:pPr>
        <w:pStyle w:val="5"/>
        <w:tabs>
          <w:tab w:val="right" w:pos="8539"/>
        </w:tabs>
        <w:spacing w:before="120" w:beforeLines="50" w:line="360" w:lineRule="auto"/>
        <w:ind w:left="0" w:leftChars="0" w:firstLine="0" w:firstLineChars="0"/>
        <w:rPr>
          <w:szCs w:val="21"/>
        </w:rPr>
      </w:pPr>
      <w:bookmarkStart w:id="4" w:name="_Toc16629"/>
      <w:bookmarkStart w:id="5" w:name="_Toc6195"/>
      <w:r>
        <w:rPr>
          <w:rFonts w:hint="eastAsia"/>
          <w:szCs w:val="21"/>
        </w:rPr>
        <w:t>二、商务条款偏离表 …………………………………………</w:t>
      </w:r>
      <w:r>
        <w:rPr>
          <w:rFonts w:hint="eastAsia" w:ascii="宋体" w:hAnsi="宋体"/>
          <w:szCs w:val="21"/>
        </w:rPr>
        <w:t>…………</w:t>
      </w:r>
      <w:r>
        <w:rPr>
          <w:rFonts w:hint="eastAsia"/>
          <w:szCs w:val="21"/>
        </w:rPr>
        <w:t>…………</w:t>
      </w:r>
      <w:bookmarkEnd w:id="4"/>
      <w:bookmarkEnd w:id="5"/>
    </w:p>
    <w:p>
      <w:pPr>
        <w:pStyle w:val="5"/>
        <w:spacing w:before="120" w:beforeLines="50" w:line="360" w:lineRule="auto"/>
        <w:ind w:left="0" w:leftChars="0" w:firstLine="0" w:firstLineChars="0"/>
        <w:rPr>
          <w:szCs w:val="21"/>
        </w:rPr>
      </w:pPr>
      <w:r>
        <w:rPr>
          <w:rFonts w:hint="eastAsia"/>
          <w:szCs w:val="21"/>
        </w:rPr>
        <w:t>三、承诺文件 ………………………………………………………………………</w:t>
      </w:r>
    </w:p>
    <w:p>
      <w:pPr>
        <w:pStyle w:val="5"/>
        <w:spacing w:before="120" w:beforeLines="50" w:line="360" w:lineRule="auto"/>
        <w:ind w:left="0" w:leftChars="0" w:firstLine="0" w:firstLineChars="0"/>
        <w:rPr>
          <w:szCs w:val="21"/>
        </w:rPr>
      </w:pPr>
      <w:bookmarkStart w:id="6" w:name="_Toc9829"/>
      <w:r>
        <w:rPr>
          <w:rFonts w:hint="eastAsia"/>
          <w:szCs w:val="21"/>
        </w:rPr>
        <w:t>四、售后服务文件 …………………………………………………………………</w:t>
      </w:r>
      <w:bookmarkEnd w:id="6"/>
    </w:p>
    <w:p>
      <w:pPr>
        <w:pStyle w:val="5"/>
        <w:spacing w:before="120" w:beforeLines="50" w:line="360" w:lineRule="auto"/>
        <w:ind w:left="0" w:leftChars="0" w:firstLine="0" w:firstLineChars="0"/>
        <w:rPr>
          <w:szCs w:val="21"/>
        </w:rPr>
      </w:pPr>
      <w:r>
        <w:rPr>
          <w:rFonts w:hint="eastAsia"/>
          <w:szCs w:val="21"/>
        </w:rPr>
        <w:t>五、享受政府采购优惠政策的证明材料 …………………………………………</w:t>
      </w:r>
    </w:p>
    <w:p>
      <w:pPr>
        <w:pStyle w:val="5"/>
        <w:spacing w:before="120" w:beforeLines="50" w:line="360" w:lineRule="auto"/>
        <w:ind w:left="0" w:leftChars="0" w:firstLine="0" w:firstLineChars="0"/>
        <w:rPr>
          <w:rFonts w:hint="eastAsia"/>
          <w:szCs w:val="21"/>
        </w:rPr>
      </w:pPr>
      <w:bookmarkStart w:id="7" w:name="_Toc9796"/>
      <w:r>
        <w:rPr>
          <w:rFonts w:hint="eastAsia"/>
          <w:szCs w:val="21"/>
        </w:rPr>
        <w:t>六、业绩及其他证明材料 ………………………………………………………</w:t>
      </w:r>
      <w:bookmarkEnd w:id="7"/>
      <w:r>
        <w:rPr>
          <w:rFonts w:hint="eastAsia"/>
          <w:szCs w:val="21"/>
        </w:rPr>
        <w:t>…</w:t>
      </w:r>
    </w:p>
    <w:p>
      <w:pPr>
        <w:pStyle w:val="5"/>
        <w:spacing w:before="120" w:beforeLines="50" w:line="360" w:lineRule="auto"/>
        <w:ind w:left="0" w:leftChars="0" w:firstLine="0" w:firstLineChars="0"/>
        <w:rPr>
          <w:szCs w:val="21"/>
        </w:rPr>
      </w:pPr>
      <w:r>
        <w:rPr>
          <w:rFonts w:hint="eastAsia"/>
          <w:szCs w:val="21"/>
        </w:rPr>
        <w:t>七、</w:t>
      </w:r>
      <w:r>
        <w:rPr>
          <w:rFonts w:hint="eastAsia" w:hAnsi="宋体"/>
          <w:bCs/>
          <w:szCs w:val="21"/>
        </w:rPr>
        <w:t>服务要求偏离表</w:t>
      </w:r>
      <w:r>
        <w:rPr>
          <w:rFonts w:hint="eastAsia"/>
          <w:szCs w:val="21"/>
        </w:rPr>
        <w:t>…………………………………………………………………</w:t>
      </w:r>
    </w:p>
    <w:p>
      <w:pPr>
        <w:pStyle w:val="5"/>
        <w:spacing w:before="120" w:beforeLines="50" w:line="360" w:lineRule="auto"/>
        <w:ind w:left="0" w:leftChars="0" w:firstLine="0" w:firstLineChars="0"/>
        <w:rPr>
          <w:szCs w:val="21"/>
        </w:rPr>
      </w:pPr>
      <w:r>
        <w:rPr>
          <w:rFonts w:hint="eastAsia"/>
          <w:szCs w:val="21"/>
        </w:rPr>
        <w:t>八、技术文件…………………………………………………………………</w:t>
      </w:r>
    </w:p>
    <w:p>
      <w:pPr>
        <w:pStyle w:val="5"/>
        <w:spacing w:before="120" w:beforeLines="50" w:line="360" w:lineRule="auto"/>
        <w:ind w:left="0" w:leftChars="0" w:firstLine="0" w:firstLineChars="0"/>
        <w:rPr>
          <w:szCs w:val="21"/>
        </w:rPr>
      </w:pPr>
      <w:r>
        <w:rPr>
          <w:rFonts w:hint="eastAsia"/>
          <w:szCs w:val="21"/>
        </w:rPr>
        <w:t>九、供应商认为有必要补充说明的事项 ……………………………………</w:t>
      </w:r>
    </w:p>
    <w:p>
      <w:pPr>
        <w:pStyle w:val="5"/>
        <w:spacing w:before="120" w:beforeLines="50" w:line="360" w:lineRule="auto"/>
        <w:rPr>
          <w:szCs w:val="21"/>
        </w:rPr>
      </w:pPr>
    </w:p>
    <w:p>
      <w:pPr>
        <w:pStyle w:val="5"/>
        <w:spacing w:before="120" w:beforeLines="50" w:line="360" w:lineRule="auto"/>
        <w:rPr>
          <w:szCs w:val="21"/>
        </w:rPr>
        <w:sectPr>
          <w:footerReference r:id="rId10" w:type="default"/>
          <w:pgSz w:w="11900" w:h="16840"/>
          <w:pgMar w:top="1213" w:right="1639" w:bottom="1157" w:left="1690" w:header="0" w:footer="0" w:gutter="0"/>
          <w:cols w:space="720" w:num="1"/>
          <w:docGrid w:linePitch="286" w:charSpace="0"/>
        </w:sectPr>
      </w:pPr>
    </w:p>
    <w:p>
      <w:pPr>
        <w:pStyle w:val="22"/>
        <w:spacing w:after="120" w:afterLines="50" w:line="360" w:lineRule="auto"/>
        <w:ind w:firstLine="640"/>
        <w:jc w:val="center"/>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一、分项报价明细表</w:t>
      </w:r>
    </w:p>
    <w:p>
      <w:pPr>
        <w:pStyle w:val="22"/>
        <w:spacing w:after="120" w:afterLines="50"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项目编号：</w:t>
      </w:r>
      <w:r>
        <w:rPr>
          <w:rFonts w:hint="eastAsia" w:asciiTheme="minorEastAsia" w:hAnsiTheme="minorEastAsia" w:eastAsiaTheme="minorEastAsia"/>
          <w:color w:val="000000" w:themeColor="text1"/>
          <w14:textFill>
            <w14:solidFill>
              <w14:schemeClr w14:val="tx1"/>
            </w14:solidFill>
          </w14:textFill>
        </w:rPr>
        <w:t xml:space="preserve"> </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采购包号：</w:t>
      </w:r>
    </w:p>
    <w:tbl>
      <w:tblPr>
        <w:tblStyle w:val="17"/>
        <w:tblW w:w="148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22"/>
        <w:gridCol w:w="587"/>
        <w:gridCol w:w="1843"/>
        <w:gridCol w:w="1985"/>
        <w:gridCol w:w="708"/>
        <w:gridCol w:w="709"/>
        <w:gridCol w:w="709"/>
        <w:gridCol w:w="992"/>
        <w:gridCol w:w="1701"/>
        <w:gridCol w:w="1985"/>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10"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22"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服务名称</w:t>
            </w:r>
          </w:p>
        </w:tc>
        <w:tc>
          <w:tcPr>
            <w:tcW w:w="2430" w:type="dxa"/>
            <w:gridSpan w:val="2"/>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具体要求说明</w:t>
            </w:r>
          </w:p>
        </w:tc>
        <w:tc>
          <w:tcPr>
            <w:tcW w:w="198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服务商</w:t>
            </w:r>
          </w:p>
        </w:tc>
        <w:tc>
          <w:tcPr>
            <w:tcW w:w="708"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计量单位</w:t>
            </w:r>
          </w:p>
        </w:tc>
        <w:tc>
          <w:tcPr>
            <w:tcW w:w="1418" w:type="dxa"/>
            <w:gridSpan w:val="2"/>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单价（元）</w:t>
            </w:r>
          </w:p>
        </w:tc>
        <w:tc>
          <w:tcPr>
            <w:tcW w:w="992"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数量</w:t>
            </w:r>
          </w:p>
        </w:tc>
        <w:tc>
          <w:tcPr>
            <w:tcW w:w="1701"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报价（元）</w:t>
            </w:r>
          </w:p>
        </w:tc>
        <w:tc>
          <w:tcPr>
            <w:tcW w:w="1985" w:type="dxa"/>
            <w:vAlign w:val="center"/>
          </w:tcPr>
          <w:p>
            <w:pPr>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所属行业</w:t>
            </w:r>
          </w:p>
        </w:tc>
        <w:tc>
          <w:tcPr>
            <w:tcW w:w="1134"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0" w:type="dxa"/>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822" w:type="dxa"/>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2430" w:type="dxa"/>
            <w:gridSpan w:val="2"/>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985"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708"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418" w:type="dxa"/>
            <w:gridSpan w:val="2"/>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992" w:type="dxa"/>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701"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985"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134" w:type="dxa"/>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2" w:hRule="atLeast"/>
        </w:trPr>
        <w:tc>
          <w:tcPr>
            <w:tcW w:w="710" w:type="dxa"/>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822" w:type="dxa"/>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2430" w:type="dxa"/>
            <w:gridSpan w:val="2"/>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985"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708"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418" w:type="dxa"/>
            <w:gridSpan w:val="2"/>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992" w:type="dxa"/>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701"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985"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134" w:type="dxa"/>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0" w:type="dxa"/>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822" w:type="dxa"/>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2430" w:type="dxa"/>
            <w:gridSpan w:val="2"/>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985"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708"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418" w:type="dxa"/>
            <w:gridSpan w:val="2"/>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992" w:type="dxa"/>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701"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985"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134" w:type="dxa"/>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0" w:type="dxa"/>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822" w:type="dxa"/>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2430" w:type="dxa"/>
            <w:gridSpan w:val="2"/>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985"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708"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418" w:type="dxa"/>
            <w:gridSpan w:val="2"/>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992" w:type="dxa"/>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701"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985"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134" w:type="dxa"/>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0" w:type="dxa"/>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822" w:type="dxa"/>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2430" w:type="dxa"/>
            <w:gridSpan w:val="2"/>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985"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708"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418" w:type="dxa"/>
            <w:gridSpan w:val="2"/>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992" w:type="dxa"/>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701"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985"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134" w:type="dxa"/>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119" w:type="dxa"/>
            <w:gridSpan w:val="3"/>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合计报价（大写）</w:t>
            </w:r>
          </w:p>
        </w:tc>
        <w:tc>
          <w:tcPr>
            <w:tcW w:w="5245" w:type="dxa"/>
            <w:gridSpan w:val="4"/>
            <w:vAlign w:val="center"/>
          </w:tcPr>
          <w:p>
            <w:pPr>
              <w:adjustRightInd w:val="0"/>
              <w:snapToGrid w:val="0"/>
              <w:spacing w:line="360" w:lineRule="auto"/>
              <w:rPr>
                <w:rFonts w:ascii="宋体" w:hAnsi="宋体"/>
                <w:color w:val="000000" w:themeColor="text1"/>
                <w:szCs w:val="21"/>
                <w:u w:val="single"/>
                <w14:textFill>
                  <w14:solidFill>
                    <w14:schemeClr w14:val="tx1"/>
                  </w14:solidFill>
                </w14:textFill>
              </w:rPr>
            </w:pP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tc>
        <w:tc>
          <w:tcPr>
            <w:tcW w:w="6521" w:type="dxa"/>
            <w:gridSpan w:val="5"/>
            <w:vAlign w:val="center"/>
          </w:tcPr>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tc>
      </w:tr>
    </w:tbl>
    <w:p>
      <w:pPr>
        <w:adjustRightInd w:val="0"/>
        <w:snapToGrid w:val="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说明：1.供应商应详细报出磋商总价的各个组成部分的报价，报价精确到小数点后两位；</w:t>
      </w:r>
    </w:p>
    <w:p>
      <w:pPr>
        <w:adjustRightInd w:val="0"/>
        <w:snapToGrid w:val="0"/>
        <w:ind w:left="-88" w:leftChars="-42"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2.本表各分项报价合计应当与“磋商报价一览表”总报价相等；</w:t>
      </w:r>
      <w:r>
        <w:rPr>
          <w:rFonts w:hint="eastAsia" w:ascii="楷体" w:hAnsi="楷体" w:eastAsia="楷体"/>
          <w:szCs w:val="21"/>
        </w:rPr>
        <w:t>如果按分项报价计算的结果与磋商总报价不一致时，以分项报价为准修正合计报价与磋商总报价；</w:t>
      </w:r>
      <w:r>
        <w:rPr>
          <w:rFonts w:hint="eastAsia" w:ascii="楷体" w:hAnsi="楷体" w:eastAsia="楷体"/>
          <w:color w:val="000000" w:themeColor="text1"/>
          <w:szCs w:val="21"/>
          <w14:textFill>
            <w14:solidFill>
              <w14:schemeClr w14:val="tx1"/>
            </w14:solidFill>
          </w14:textFill>
        </w:rPr>
        <w:t xml:space="preserve"> </w:t>
      </w:r>
    </w:p>
    <w:p>
      <w:pPr>
        <w:adjustRightInd w:val="0"/>
        <w:snapToGrid w:val="0"/>
        <w:ind w:left="-88" w:leftChars="-42" w:firstLine="210" w:firstLineChars="1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3</w:t>
      </w:r>
      <w:r>
        <w:rPr>
          <w:rFonts w:hint="eastAsia" w:ascii="楷体" w:hAnsi="楷体" w:eastAsia="楷体"/>
          <w:color w:val="000000" w:themeColor="text1"/>
          <w:szCs w:val="21"/>
          <w14:textFill>
            <w14:solidFill>
              <w14:schemeClr w14:val="tx1"/>
            </w14:solidFill>
          </w14:textFill>
        </w:rPr>
        <w:t>.所属行业按磋商文件明确的行业填报；类型指小型、微型、中型、大型企业；</w:t>
      </w:r>
    </w:p>
    <w:p>
      <w:pPr>
        <w:adjustRightInd w:val="0"/>
        <w:snapToGrid w:val="0"/>
        <w:ind w:left="-88" w:leftChars="-42" w:firstLine="210" w:firstLineChars="1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4</w:t>
      </w:r>
      <w:r>
        <w:rPr>
          <w:rFonts w:hint="eastAsia" w:ascii="楷体" w:hAnsi="楷体" w:eastAsia="楷体"/>
          <w:color w:val="000000" w:themeColor="text1"/>
          <w:szCs w:val="21"/>
          <w14:textFill>
            <w14:solidFill>
              <w14:schemeClr w14:val="tx1"/>
            </w14:solidFill>
          </w14:textFill>
        </w:rPr>
        <w:t>.本表行数不足的，可自行扩展。</w:t>
      </w:r>
    </w:p>
    <w:p>
      <w:pPr>
        <w:adjustRightInd w:val="0"/>
        <w:spacing w:before="240" w:beforeLines="100"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（盖单位章）</w:t>
      </w:r>
    </w:p>
    <w:p>
      <w:pPr>
        <w:adjustRightInd w:val="0"/>
        <w:spacing w:line="48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法定代表人（单位负责人）或委托代理人：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（签名）</w:t>
      </w:r>
    </w:p>
    <w:p>
      <w:pPr>
        <w:adjustRightInd w:val="0"/>
        <w:spacing w:line="480" w:lineRule="auto"/>
        <w:ind w:firstLine="420" w:firstLineChars="200"/>
        <w:jc w:val="left"/>
        <w:sectPr>
          <w:pgSz w:w="16840" w:h="11900" w:orient="landscape"/>
          <w:pgMar w:top="1690" w:right="1213" w:bottom="1639" w:left="1157" w:header="0" w:footer="0" w:gutter="0"/>
          <w:cols w:space="720" w:num="1"/>
          <w:docGrid w:linePitch="286" w:charSpace="0"/>
        </w:sectPr>
      </w:pPr>
      <w:r>
        <w:rPr>
          <w:rFonts w:hint="eastAsia" w:ascii="宋体" w:hAnsi="宋体"/>
          <w:bCs/>
          <w:color w:val="000000" w:themeColor="text1"/>
          <w:szCs w:val="21"/>
          <w14:textFill>
            <w14:solidFill>
              <w14:schemeClr w14:val="tx1"/>
            </w14:solidFill>
          </w14:textFill>
        </w:rPr>
        <w:t>日    期:</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pStyle w:val="22"/>
        <w:spacing w:before="120" w:beforeLines="50" w:after="120" w:afterLines="50" w:line="360" w:lineRule="auto"/>
        <w:ind w:firstLine="640"/>
        <w:jc w:val="center"/>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二、商务条款偏离表</w:t>
      </w:r>
    </w:p>
    <w:p>
      <w:pPr>
        <w:pStyle w:val="22"/>
        <w:spacing w:after="120" w:afterLines="50"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项目编号：</w:t>
      </w:r>
      <w:r>
        <w:rPr>
          <w:rFonts w:hint="eastAsia" w:asciiTheme="minorEastAsia" w:hAnsiTheme="minorEastAsia" w:eastAsiaTheme="minorEastAsia"/>
          <w:color w:val="000000" w:themeColor="text1"/>
          <w14:textFill>
            <w14:solidFill>
              <w14:schemeClr w14:val="tx1"/>
            </w14:solidFill>
          </w14:textFill>
        </w:rPr>
        <w:t xml:space="preserve"> </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采购包号：</w:t>
      </w:r>
    </w:p>
    <w:tbl>
      <w:tblPr>
        <w:tblStyle w:val="17"/>
        <w:tblW w:w="93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417"/>
        <w:gridCol w:w="1985"/>
        <w:gridCol w:w="1984"/>
        <w:gridCol w:w="993"/>
        <w:gridCol w:w="22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28" w:type="dxa"/>
            <w:vAlign w:val="center"/>
          </w:tcPr>
          <w:p>
            <w:pPr>
              <w:adjustRightInd w:val="0"/>
              <w:snapToGrid w:val="0"/>
              <w:ind w:right="23"/>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序号</w:t>
            </w:r>
          </w:p>
        </w:tc>
        <w:tc>
          <w:tcPr>
            <w:tcW w:w="1417" w:type="dxa"/>
            <w:vAlign w:val="center"/>
          </w:tcPr>
          <w:p>
            <w:pPr>
              <w:adjustRightInd w:val="0"/>
              <w:snapToGrid w:val="0"/>
              <w:ind w:right="23"/>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文件条目号</w:t>
            </w:r>
          </w:p>
        </w:tc>
        <w:tc>
          <w:tcPr>
            <w:tcW w:w="1985" w:type="dxa"/>
            <w:vAlign w:val="center"/>
          </w:tcPr>
          <w:p>
            <w:pPr>
              <w:adjustRightInd w:val="0"/>
              <w:snapToGrid w:val="0"/>
              <w:ind w:right="23"/>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磋商文件商务要求</w:t>
            </w:r>
          </w:p>
        </w:tc>
        <w:tc>
          <w:tcPr>
            <w:tcW w:w="1984" w:type="dxa"/>
            <w:vAlign w:val="center"/>
          </w:tcPr>
          <w:p>
            <w:pPr>
              <w:adjustRightInd w:val="0"/>
              <w:snapToGrid w:val="0"/>
              <w:ind w:right="23"/>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响应文件商务响应</w:t>
            </w:r>
          </w:p>
        </w:tc>
        <w:tc>
          <w:tcPr>
            <w:tcW w:w="993" w:type="dxa"/>
            <w:vAlign w:val="center"/>
          </w:tcPr>
          <w:p>
            <w:pPr>
              <w:adjustRightInd w:val="0"/>
              <w:snapToGrid w:val="0"/>
              <w:ind w:right="23"/>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偏离</w:t>
            </w:r>
          </w:p>
        </w:tc>
        <w:tc>
          <w:tcPr>
            <w:tcW w:w="2234" w:type="dxa"/>
            <w:vAlign w:val="center"/>
          </w:tcPr>
          <w:p>
            <w:pPr>
              <w:adjustRightInd w:val="0"/>
              <w:snapToGrid w:val="0"/>
              <w:ind w:right="23"/>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偏离及其影响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417"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985"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984"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993"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2234"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417"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985"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984"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993"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2234"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417"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985"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984"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993"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2234"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417"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985"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984"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993"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2234"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417"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985"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984"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993"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2234"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417"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985"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984"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993"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2234"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417"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985"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984"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993"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2234"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417"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985"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984"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993"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2234"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417"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985"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984"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993"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2234"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417"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985"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984"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993"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2234"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417"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985"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984"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993"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2234"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417"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985"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1984"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993"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c>
          <w:tcPr>
            <w:tcW w:w="2234" w:type="dxa"/>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pPr>
              <w:adjustRightInd w:val="0"/>
              <w:snapToGrid w:val="0"/>
              <w:spacing w:line="360" w:lineRule="auto"/>
              <w:ind w:right="24"/>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说明</w:t>
            </w:r>
          </w:p>
        </w:tc>
        <w:tc>
          <w:tcPr>
            <w:tcW w:w="8613" w:type="dxa"/>
            <w:gridSpan w:val="5"/>
          </w:tcPr>
          <w:p>
            <w:pPr>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1.本表只填写响应文件中与磋商文件有偏离（包括正偏离和负偏离）的内容，响应文件中商务响应与磋商文件要求完全一致的，不用在此表中列出，但必须提交空白表。</w:t>
            </w:r>
          </w:p>
          <w:p>
            <w:pPr>
              <w:ind w:left="15" w:leftChars="7"/>
              <w:rPr>
                <w:rFonts w:asciiTheme="minorEastAsia" w:hAnsiTheme="minorEastAsia" w:eastAsiaTheme="minorEastAsia"/>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2.供应商必须据实填写，不得虚假响应，否则将取消其磋商或成交资格，并按有关规定进处罚。</w:t>
            </w:r>
          </w:p>
        </w:tc>
      </w:tr>
    </w:tbl>
    <w:p>
      <w:pPr>
        <w:rPr>
          <w:rFonts w:ascii="楷体" w:hAnsi="楷体" w:eastAsia="楷体"/>
          <w:i/>
          <w:color w:val="000000" w:themeColor="text1"/>
          <w:szCs w:val="21"/>
          <w14:textFill>
            <w14:solidFill>
              <w14:schemeClr w14:val="tx1"/>
            </w14:solidFill>
          </w14:textFill>
        </w:rPr>
      </w:pPr>
    </w:p>
    <w:p>
      <w:pPr>
        <w:pStyle w:val="3"/>
        <w:rPr>
          <w:i/>
          <w:color w:val="000000" w:themeColor="text1"/>
          <w14:textFill>
            <w14:solidFill>
              <w14:schemeClr w14:val="tx1"/>
            </w14:solidFill>
          </w14:textFill>
        </w:rPr>
      </w:pPr>
    </w:p>
    <w:p>
      <w:pPr>
        <w:pStyle w:val="3"/>
        <w:rPr>
          <w:i/>
          <w:color w:val="000000" w:themeColor="text1"/>
          <w14:textFill>
            <w14:solidFill>
              <w14:schemeClr w14:val="tx1"/>
            </w14:solidFill>
          </w14:textFill>
        </w:rPr>
      </w:pPr>
    </w:p>
    <w:p>
      <w:pPr>
        <w:adjustRightInd w:val="0"/>
        <w:spacing w:line="400" w:lineRule="exact"/>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供应商名称：</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（盖单位章）</w:t>
      </w:r>
    </w:p>
    <w:p>
      <w:pPr>
        <w:adjustRightInd w:val="0"/>
        <w:spacing w:line="400" w:lineRule="exact"/>
        <w:ind w:firstLine="367" w:firstLineChars="175"/>
        <w:jc w:val="left"/>
        <w:rPr>
          <w:rFonts w:ascii="宋体" w:hAnsi="宋体"/>
          <w:color w:val="000000" w:themeColor="text1"/>
          <w:szCs w:val="21"/>
          <w14:textFill>
            <w14:solidFill>
              <w14:schemeClr w14:val="tx1"/>
            </w14:solidFill>
          </w14:textFill>
        </w:rPr>
      </w:pPr>
    </w:p>
    <w:p>
      <w:pPr>
        <w:adjustRightInd w:val="0"/>
        <w:spacing w:line="400" w:lineRule="exact"/>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法定代表人（单位负责人）或委托代理人：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（签名）</w:t>
      </w:r>
      <w:r>
        <w:rPr>
          <w:rFonts w:hint="eastAsia" w:ascii="宋体" w:hAnsi="宋体"/>
          <w:bCs/>
          <w:color w:val="000000" w:themeColor="text1"/>
          <w:szCs w:val="21"/>
          <w14:textFill>
            <w14:solidFill>
              <w14:schemeClr w14:val="tx1"/>
            </w14:solidFill>
          </w14:textFill>
        </w:rPr>
        <w:t xml:space="preserve">                </w:t>
      </w:r>
    </w:p>
    <w:p>
      <w:pPr>
        <w:adjustRightInd w:val="0"/>
        <w:spacing w:before="240" w:beforeLines="100" w:line="400" w:lineRule="exact"/>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日    期:</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widowControl/>
        <w:jc w:val="left"/>
      </w:pPr>
      <w:r>
        <w:br w:type="page"/>
      </w:r>
    </w:p>
    <w:p>
      <w:pPr>
        <w:spacing w:after="360" w:line="360" w:lineRule="auto"/>
        <w:jc w:val="center"/>
        <w:outlineLvl w:val="1"/>
        <w:rPr>
          <w:rFonts w:ascii="宋体" w:hAnsi="宋体"/>
          <w:b/>
          <w:bCs/>
          <w:sz w:val="32"/>
          <w:szCs w:val="32"/>
        </w:rPr>
      </w:pPr>
      <w:r>
        <w:rPr>
          <w:rFonts w:hint="eastAsia" w:ascii="宋体" w:hAnsi="宋体"/>
          <w:b/>
          <w:bCs/>
          <w:sz w:val="32"/>
          <w:szCs w:val="32"/>
        </w:rPr>
        <w:t>三、承诺文件</w:t>
      </w:r>
    </w:p>
    <w:p>
      <w:pPr>
        <w:pStyle w:val="6"/>
        <w:spacing w:before="0" w:after="120" w:afterLines="50" w:line="360" w:lineRule="auto"/>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1.质量安全责任承诺书</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为保证本采购项目顺利进行，作为供应商，现郑重承诺：</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我方所投产品的生产（包括设计、制造、安装、改造、维修等）、投入使用的材料等均完全符合国家现行质量、安全、环保标准和要求。</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我方将严格按照国家现行相关储存、运输、安装调试技术标准及规范、服务标准及规范、施工标准及规范，在规定的时限内，保质、保量完成项目全部内容，并向采购人交付合格产品。</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对于因产品生产质量以及储存、运输、安装调试、服务、施工等过程中产生的任何安全事故，我方承担全部责任。</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我方提供的货物、工程、服务等符合现行的国家、行业、地区、企业标准及要求，标准不一致的，以更为严格的为准，我方对提供的货物、工程、服务等的质量、安全、环保等承担全部责任。</w:t>
      </w: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adjustRightInd w:val="0"/>
        <w:spacing w:line="360" w:lineRule="auto"/>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承诺人：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（供应商名称，盖单位章）</w:t>
      </w:r>
    </w:p>
    <w:p>
      <w:pPr>
        <w:adjustRightInd w:val="0"/>
        <w:spacing w:line="360" w:lineRule="auto"/>
        <w:ind w:firstLine="420"/>
        <w:jc w:val="left"/>
        <w:rPr>
          <w:rFonts w:ascii="宋体" w:hAnsi="宋体"/>
          <w:color w:val="000000" w:themeColor="text1"/>
          <w:szCs w:val="21"/>
          <w14:textFill>
            <w14:solidFill>
              <w14:schemeClr w14:val="tx1"/>
            </w14:solidFill>
          </w14:textFill>
        </w:rPr>
      </w:pPr>
    </w:p>
    <w:p>
      <w:pPr>
        <w:adjustRightInd w:val="0"/>
        <w:spacing w:line="360" w:lineRule="auto"/>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  期：</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adjustRightInd w:val="0"/>
        <w:spacing w:line="480" w:lineRule="auto"/>
        <w:jc w:val="left"/>
        <w:rPr>
          <w:rFonts w:ascii="宋体" w:hAnsi="宋体"/>
          <w:bCs/>
          <w:color w:val="000000" w:themeColor="text1"/>
          <w:szCs w:val="21"/>
          <w14:textFill>
            <w14:solidFill>
              <w14:schemeClr w14:val="tx1"/>
            </w14:solidFill>
          </w14:textFill>
        </w:rPr>
      </w:pPr>
    </w:p>
    <w:p>
      <w:pPr>
        <w:widowControl/>
        <w:jc w:val="left"/>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br w:type="page"/>
      </w:r>
    </w:p>
    <w:p>
      <w:pPr>
        <w:pStyle w:val="6"/>
        <w:spacing w:before="0" w:after="120" w:afterLines="50" w:line="360" w:lineRule="auto"/>
        <w:jc w:val="center"/>
        <w:rPr>
          <w:rFonts w:ascii="黑体" w:hAnsi="黑体" w:eastAsia="黑体"/>
          <w:b w:val="0"/>
          <w:color w:val="000000" w:themeColor="text1"/>
          <w:sz w:val="30"/>
          <w:szCs w:val="30"/>
          <w14:textFill>
            <w14:solidFill>
              <w14:schemeClr w14:val="tx1"/>
            </w14:solidFill>
          </w14:textFill>
        </w:rPr>
      </w:pPr>
      <w:r>
        <w:rPr>
          <w:rFonts w:hint="eastAsia" w:ascii="黑体" w:hAnsi="黑体" w:eastAsia="黑体"/>
          <w:b w:val="0"/>
          <w:color w:val="000000" w:themeColor="text1"/>
          <w:sz w:val="30"/>
          <w:szCs w:val="30"/>
          <w14:textFill>
            <w14:solidFill>
              <w14:schemeClr w14:val="tx1"/>
            </w14:solidFill>
          </w14:textFill>
        </w:rPr>
        <w:t>2.参加政府采购活动行为自律承诺书</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作为参加本次政府采购项目的供应商，我方郑重承诺在参与政府采购活动中遵纪守法、公平竞争、诚实守信，如有违反愿承担一切责任及后果：</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不与采购人、采购代理机构、政府采购评审专家恶意串通，不向其行贿或提供其他不正当利益；</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不与其他供应商恶意串通，采取“围标、串标、陪标”等商业欺诈手段谋取中标、成交；</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不提供虚假或无效证明文件（包括但不限于资格证明文件、合同及验收文件、检验检测报告、从业人员资格证书、机构或所投产品的各类认证证书等）或虚假材料谋取中标；</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不采取不正当手段诋毁、排挤其他供应商；</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不以不正当理由拒不与采购人签订政府采购合同，或逾期签订政府采购合同，或不按照采购文件确定的事项签订政府采购合同；</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不以不正当理由拒绝履行合同义务，不会擅自变更、中止或者终止政府采购合同或将政府采购合同转包；</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不在提供商品、服务或工程施工过程中提供假冒伪劣产品，损害采购人的合法权益或公共利益；</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不采取捏造事实、提供虚假材料或者以非法手段取得证明材料进行质疑和投诉；</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不发生其他有悖于政府采购公开、公平、公正和诚信原则的行为。</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尊重和接受政府采购监督管理部门的监督和采购人、采购代理机构的政府采购工作要求，愿意承担因违约行为给采购人造成的损失。</w:t>
      </w: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承诺人：</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（供应商名称、加盖单位章）</w:t>
      </w: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日</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期：</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br w:type="page"/>
      </w:r>
    </w:p>
    <w:p>
      <w:pPr>
        <w:pStyle w:val="6"/>
        <w:spacing w:before="0" w:after="120" w:afterLines="50"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3.陕西省政府采购供应商拒绝政府采购领域商业贿赂承诺书</w:t>
      </w:r>
    </w:p>
    <w:p>
      <w:pPr>
        <w:pStyle w:val="3"/>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为响应党中央、国务院关于治理政府采购领域商业贿赂行为的号召，我公司在此庄严承诺：</w:t>
      </w:r>
    </w:p>
    <w:p>
      <w:pPr>
        <w:pStyle w:val="3"/>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1、在参与政府采购活动中遵纪守法、诚信经营、公平竞标。</w:t>
      </w:r>
    </w:p>
    <w:p>
      <w:pPr>
        <w:pStyle w:val="3"/>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2、不向政府采购人、采购代理机构和政府采购评审专家进行任何形式的商业贿赂以谋取交易机会。</w:t>
      </w:r>
    </w:p>
    <w:p>
      <w:pPr>
        <w:pStyle w:val="3"/>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3、不向政府采购代理机构和采购人提供虚假资质证明文件或采用虚假应标方式参与政府采购市场竞争并谋取中标、成交。</w:t>
      </w:r>
    </w:p>
    <w:p>
      <w:pPr>
        <w:pStyle w:val="3"/>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4、不采取“围标、陪标”等商业欺诈手段获得政府采购订单。</w:t>
      </w:r>
    </w:p>
    <w:p>
      <w:pPr>
        <w:pStyle w:val="3"/>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5、不采取不正当手段诋毁、排挤其他供应商。</w:t>
      </w:r>
    </w:p>
    <w:p>
      <w:pPr>
        <w:pStyle w:val="3"/>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6、不在提供商品和服务时“偷梁换柱、以次充好”损害采购人的合法权益。</w:t>
      </w:r>
    </w:p>
    <w:p>
      <w:pPr>
        <w:pStyle w:val="3"/>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7、不与采购人、采购代理机构、政府采购评审专家或其它供应商恶意串通，进行质疑和投诉，维护政府采购市场秩序。</w:t>
      </w:r>
    </w:p>
    <w:p>
      <w:pPr>
        <w:pStyle w:val="3"/>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8、尊重和接受政府采购监督管理部门的监督和政府采购代理机构招标采购要求，承担因违约行为给采购人造成的损失。</w:t>
      </w:r>
    </w:p>
    <w:p>
      <w:pPr>
        <w:pStyle w:val="3"/>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9、不发生其他有悖于政府采购公开、公平、公正和诚信原则的行为。</w:t>
      </w:r>
    </w:p>
    <w:p>
      <w:pPr>
        <w:pStyle w:val="3"/>
        <w:spacing w:line="360" w:lineRule="auto"/>
        <w:rPr>
          <w:color w:val="000000" w:themeColor="text1"/>
          <w14:textFill>
            <w14:solidFill>
              <w14:schemeClr w14:val="tx1"/>
            </w14:solidFill>
          </w14:textFill>
        </w:rPr>
      </w:pPr>
    </w:p>
    <w:p>
      <w:pPr>
        <w:spacing w:line="360" w:lineRule="auto"/>
        <w:ind w:right="84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供应商名称：</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（盖单位章）</w:t>
      </w:r>
    </w:p>
    <w:p>
      <w:pPr>
        <w:spacing w:line="360" w:lineRule="auto"/>
        <w:ind w:right="840"/>
        <w:rPr>
          <w:rFonts w:ascii="宋体" w:hAnsi="宋体"/>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    期:</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pStyle w:val="3"/>
        <w:spacing w:line="360" w:lineRule="auto"/>
        <w:jc w:val="center"/>
        <w:sectPr>
          <w:pgSz w:w="11900" w:h="16840"/>
          <w:pgMar w:top="1213" w:right="1639" w:bottom="1157" w:left="1690" w:header="0" w:footer="0" w:gutter="0"/>
          <w:cols w:space="720" w:num="1"/>
          <w:docGrid w:linePitch="286" w:charSpace="0"/>
        </w:sectPr>
      </w:pPr>
      <w:r>
        <w:rPr>
          <w:rFonts w:hint="eastAsia" w:ascii="宋体" w:hAnsi="宋体"/>
        </w:rPr>
        <w:t xml:space="preserve">                          </w:t>
      </w:r>
    </w:p>
    <w:p>
      <w:pPr>
        <w:pStyle w:val="6"/>
        <w:spacing w:before="0" w:after="120" w:afterLines="50"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.其他承诺</w:t>
      </w:r>
    </w:p>
    <w:p>
      <w:pPr>
        <w:adjustRightInd w:val="0"/>
        <w:spacing w:line="400" w:lineRule="exact"/>
        <w:ind w:firstLine="420" w:firstLineChars="200"/>
        <w:jc w:val="left"/>
        <w:rPr>
          <w:rFonts w:ascii="宋体" w:hAnsi="宋体"/>
          <w:color w:val="000000" w:themeColor="text1"/>
          <w:szCs w:val="21"/>
          <w14:textFill>
            <w14:solidFill>
              <w14:schemeClr w14:val="tx1"/>
            </w14:solidFill>
          </w14:textFill>
        </w:rPr>
      </w:pPr>
    </w:p>
    <w:p>
      <w:pPr>
        <w:pStyle w:val="3"/>
        <w:spacing w:after="0" w:line="360" w:lineRule="auto"/>
      </w:pPr>
      <w:r>
        <w:rPr>
          <w:rFonts w:hint="eastAsia" w:asciiTheme="majorEastAsia" w:hAnsiTheme="majorEastAsia" w:eastAsiaTheme="majorEastAsia"/>
        </w:rPr>
        <w:t>说明：</w:t>
      </w:r>
      <w:r>
        <w:rPr>
          <w:rFonts w:hint="eastAsia" w:ascii="宋体" w:hAnsi="宋体"/>
          <w:color w:val="000000" w:themeColor="text1"/>
          <w:szCs w:val="21"/>
          <w14:textFill>
            <w14:solidFill>
              <w14:schemeClr w14:val="tx1"/>
            </w14:solidFill>
          </w14:textFill>
        </w:rPr>
        <w:t>供应商根据磋商文要求，</w:t>
      </w:r>
      <w:r>
        <w:rPr>
          <w:rFonts w:hint="eastAsia" w:hAnsi="宋体"/>
          <w:color w:val="000000" w:themeColor="text1"/>
          <w14:textFill>
            <w14:solidFill>
              <w14:schemeClr w14:val="tx1"/>
            </w14:solidFill>
          </w14:textFill>
        </w:rPr>
        <w:t>认为有必要做出的其他（包括但不限于</w:t>
      </w:r>
      <w:r>
        <w:rPr>
          <w:rFonts w:hint="eastAsia" w:ascii="宋体" w:hAnsi="宋体"/>
          <w:color w:val="000000" w:themeColor="text1"/>
          <w:szCs w:val="21"/>
          <w14:textFill>
            <w14:solidFill>
              <w14:schemeClr w14:val="tx1"/>
            </w14:solidFill>
          </w14:textFill>
        </w:rPr>
        <w:t>作出质量保证承诺、服务务计划、优惠条件等</w:t>
      </w:r>
      <w:r>
        <w:rPr>
          <w:rFonts w:hint="eastAsia" w:hAnsi="宋体"/>
          <w:color w:val="000000" w:themeColor="text1"/>
          <w14:textFill>
            <w14:solidFill>
              <w14:schemeClr w14:val="tx1"/>
            </w14:solidFill>
          </w14:textFill>
        </w:rPr>
        <w:t>）承诺或说明</w:t>
      </w:r>
      <w:r>
        <w:rPr>
          <w:rFonts w:hint="eastAsia" w:ascii="宋体" w:hAnsi="宋体"/>
          <w:color w:val="000000" w:themeColor="text1"/>
          <w:szCs w:val="21"/>
          <w14:textFill>
            <w14:solidFill>
              <w14:schemeClr w14:val="tx1"/>
            </w14:solidFill>
          </w14:textFill>
        </w:rPr>
        <w:t>承诺，格式自定。</w:t>
      </w:r>
    </w:p>
    <w:p>
      <w:pPr>
        <w:spacing w:line="400" w:lineRule="exact"/>
        <w:rPr>
          <w:rFonts w:asciiTheme="majorEastAsia" w:hAnsiTheme="majorEastAsia" w:eastAsiaTheme="majorEastAsia"/>
        </w:rPr>
        <w:sectPr>
          <w:pgSz w:w="11900" w:h="16840"/>
          <w:pgMar w:top="1213" w:right="1639" w:bottom="1157" w:left="1690" w:header="0" w:footer="0" w:gutter="0"/>
          <w:cols w:space="720" w:num="1"/>
          <w:docGrid w:linePitch="286" w:charSpace="0"/>
        </w:sectPr>
      </w:pPr>
      <w:r>
        <w:rPr>
          <w:rFonts w:hint="eastAsia"/>
          <w:b/>
          <w:sz w:val="36"/>
          <w:szCs w:val="36"/>
        </w:rPr>
        <w:t xml:space="preserve"> </w:t>
      </w:r>
    </w:p>
    <w:p>
      <w:pPr>
        <w:spacing w:after="360" w:line="360" w:lineRule="auto"/>
        <w:jc w:val="center"/>
        <w:outlineLvl w:val="1"/>
        <w:rPr>
          <w:rFonts w:ascii="宋体" w:hAnsi="宋体"/>
          <w:b/>
          <w:bCs/>
          <w:sz w:val="32"/>
          <w:szCs w:val="32"/>
        </w:rPr>
      </w:pPr>
      <w:r>
        <w:rPr>
          <w:rFonts w:hint="eastAsia" w:ascii="宋体" w:hAnsi="宋体"/>
          <w:b/>
          <w:bCs/>
          <w:sz w:val="32"/>
          <w:szCs w:val="32"/>
        </w:rPr>
        <w:t>四、售后服务文件</w:t>
      </w:r>
    </w:p>
    <w:p>
      <w:pPr>
        <w:spacing w:line="360" w:lineRule="auto"/>
        <w:ind w:firstLine="420" w:firstLineChars="200"/>
        <w:rPr>
          <w:rFonts w:ascii="宋体" w:hAnsi="宋体"/>
        </w:rPr>
      </w:pPr>
      <w:r>
        <w:rPr>
          <w:rFonts w:hint="eastAsia" w:ascii="宋体" w:hAnsi="宋体"/>
        </w:rPr>
        <w:t>1. 供应商依据服务特性和需求，按磋商文件要求自拟售后服务商案和培训计划。（如有）</w:t>
      </w:r>
    </w:p>
    <w:p>
      <w:pPr>
        <w:spacing w:line="360" w:lineRule="auto"/>
        <w:ind w:firstLine="420" w:firstLineChars="200"/>
        <w:rPr>
          <w:rFonts w:ascii="宋体" w:hAnsi="宋体"/>
        </w:rPr>
      </w:pPr>
      <w:r>
        <w:rPr>
          <w:rFonts w:hint="eastAsia" w:ascii="宋体" w:hAnsi="宋体"/>
        </w:rPr>
        <w:t>2. 供应商应提供在陕西省境内的售后服务中心证明材料或与合作方的协议书，这些服务中心和特约维修服务点的名称、地址、电话、联系人应在磋商文件中一一列出（参考样式如下）。</w:t>
      </w:r>
    </w:p>
    <w:p>
      <w:pPr>
        <w:spacing w:line="360" w:lineRule="auto"/>
        <w:jc w:val="center"/>
        <w:rPr>
          <w:rFonts w:ascii="宋体" w:hAnsi="宋体"/>
          <w:b/>
          <w:sz w:val="36"/>
          <w:szCs w:val="36"/>
        </w:rPr>
      </w:pPr>
      <w:r>
        <w:rPr>
          <w:rFonts w:hint="eastAsia" w:ascii="宋体" w:hAnsi="宋体"/>
          <w:b/>
          <w:sz w:val="36"/>
          <w:szCs w:val="36"/>
        </w:rPr>
        <w:t>售后服务点联系表</w:t>
      </w:r>
    </w:p>
    <w:tbl>
      <w:tblPr>
        <w:tblStyle w:val="17"/>
        <w:tblW w:w="88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080"/>
        <w:gridCol w:w="1260"/>
        <w:gridCol w:w="1516"/>
        <w:gridCol w:w="25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434" w:type="dxa"/>
            <w:vAlign w:val="center"/>
          </w:tcPr>
          <w:p>
            <w:pPr>
              <w:spacing w:line="480" w:lineRule="exact"/>
              <w:jc w:val="center"/>
              <w:rPr>
                <w:rFonts w:ascii="宋体" w:hAnsi="宋体"/>
                <w:b/>
              </w:rPr>
            </w:pPr>
            <w:r>
              <w:rPr>
                <w:rFonts w:hint="eastAsia" w:ascii="宋体" w:hAnsi="宋体"/>
                <w:b/>
              </w:rPr>
              <w:t>服务机构名称</w:t>
            </w:r>
          </w:p>
        </w:tc>
        <w:tc>
          <w:tcPr>
            <w:tcW w:w="1080" w:type="dxa"/>
            <w:vAlign w:val="center"/>
          </w:tcPr>
          <w:p>
            <w:pPr>
              <w:spacing w:line="480" w:lineRule="exact"/>
              <w:jc w:val="center"/>
              <w:rPr>
                <w:rFonts w:ascii="宋体" w:hAnsi="宋体"/>
                <w:b/>
              </w:rPr>
            </w:pPr>
            <w:r>
              <w:rPr>
                <w:rFonts w:hint="eastAsia" w:ascii="宋体" w:hAnsi="宋体"/>
                <w:b/>
              </w:rPr>
              <w:t>所在地</w:t>
            </w:r>
          </w:p>
        </w:tc>
        <w:tc>
          <w:tcPr>
            <w:tcW w:w="1260" w:type="dxa"/>
            <w:vAlign w:val="center"/>
          </w:tcPr>
          <w:p>
            <w:pPr>
              <w:spacing w:line="480" w:lineRule="exact"/>
              <w:jc w:val="center"/>
              <w:rPr>
                <w:rFonts w:ascii="宋体" w:hAnsi="宋体"/>
                <w:b/>
              </w:rPr>
            </w:pPr>
            <w:r>
              <w:rPr>
                <w:rFonts w:hint="eastAsia" w:ascii="宋体" w:hAnsi="宋体"/>
                <w:b/>
              </w:rPr>
              <w:t>联系人</w:t>
            </w:r>
          </w:p>
        </w:tc>
        <w:tc>
          <w:tcPr>
            <w:tcW w:w="1516" w:type="dxa"/>
            <w:vAlign w:val="center"/>
          </w:tcPr>
          <w:p>
            <w:pPr>
              <w:spacing w:line="480" w:lineRule="exact"/>
              <w:jc w:val="center"/>
              <w:rPr>
                <w:rFonts w:ascii="宋体" w:hAnsi="宋体"/>
                <w:b/>
              </w:rPr>
            </w:pPr>
            <w:r>
              <w:rPr>
                <w:rFonts w:hint="eastAsia" w:ascii="宋体" w:hAnsi="宋体"/>
                <w:b/>
              </w:rPr>
              <w:t>联系电话</w:t>
            </w:r>
          </w:p>
        </w:tc>
        <w:tc>
          <w:tcPr>
            <w:tcW w:w="2548" w:type="dxa"/>
            <w:vAlign w:val="center"/>
          </w:tcPr>
          <w:p>
            <w:pPr>
              <w:spacing w:line="480" w:lineRule="exact"/>
              <w:jc w:val="center"/>
              <w:rPr>
                <w:rFonts w:ascii="宋体" w:hAnsi="宋体"/>
                <w:b/>
              </w:rPr>
            </w:pPr>
            <w:r>
              <w:rPr>
                <w:rFonts w:hint="eastAsia" w:ascii="宋体" w:hAnsi="宋体"/>
                <w:b/>
              </w:rPr>
              <w:t>地 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vAlign w:val="center"/>
          </w:tcPr>
          <w:p>
            <w:pPr>
              <w:spacing w:line="480" w:lineRule="exact"/>
              <w:jc w:val="center"/>
              <w:rPr>
                <w:rFonts w:ascii="宋体" w:hAnsi="宋体"/>
              </w:rPr>
            </w:pPr>
          </w:p>
        </w:tc>
        <w:tc>
          <w:tcPr>
            <w:tcW w:w="1080" w:type="dxa"/>
            <w:vAlign w:val="center"/>
          </w:tcPr>
          <w:p>
            <w:pPr>
              <w:spacing w:line="480" w:lineRule="exact"/>
              <w:jc w:val="center"/>
              <w:rPr>
                <w:rFonts w:ascii="宋体" w:hAnsi="宋体"/>
              </w:rPr>
            </w:pPr>
          </w:p>
        </w:tc>
        <w:tc>
          <w:tcPr>
            <w:tcW w:w="1260" w:type="dxa"/>
            <w:vAlign w:val="center"/>
          </w:tcPr>
          <w:p>
            <w:pPr>
              <w:spacing w:line="480" w:lineRule="exact"/>
              <w:jc w:val="center"/>
              <w:rPr>
                <w:rFonts w:ascii="宋体" w:hAnsi="宋体"/>
              </w:rPr>
            </w:pPr>
          </w:p>
        </w:tc>
        <w:tc>
          <w:tcPr>
            <w:tcW w:w="1516" w:type="dxa"/>
            <w:vAlign w:val="center"/>
          </w:tcPr>
          <w:p>
            <w:pPr>
              <w:spacing w:line="480" w:lineRule="exact"/>
              <w:jc w:val="center"/>
              <w:rPr>
                <w:rFonts w:ascii="宋体" w:hAnsi="宋体"/>
              </w:rPr>
            </w:pPr>
          </w:p>
        </w:tc>
        <w:tc>
          <w:tcPr>
            <w:tcW w:w="2548" w:type="dxa"/>
            <w:vAlign w:val="center"/>
          </w:tcPr>
          <w:p>
            <w:pPr>
              <w:spacing w:line="48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vAlign w:val="center"/>
          </w:tcPr>
          <w:p>
            <w:pPr>
              <w:spacing w:line="480" w:lineRule="exact"/>
              <w:jc w:val="center"/>
              <w:rPr>
                <w:rFonts w:ascii="宋体" w:hAnsi="宋体"/>
              </w:rPr>
            </w:pPr>
          </w:p>
        </w:tc>
        <w:tc>
          <w:tcPr>
            <w:tcW w:w="1080" w:type="dxa"/>
            <w:vAlign w:val="center"/>
          </w:tcPr>
          <w:p>
            <w:pPr>
              <w:spacing w:line="480" w:lineRule="exact"/>
              <w:jc w:val="center"/>
              <w:rPr>
                <w:rFonts w:ascii="宋体" w:hAnsi="宋体"/>
              </w:rPr>
            </w:pPr>
          </w:p>
        </w:tc>
        <w:tc>
          <w:tcPr>
            <w:tcW w:w="1260" w:type="dxa"/>
            <w:vAlign w:val="center"/>
          </w:tcPr>
          <w:p>
            <w:pPr>
              <w:spacing w:line="480" w:lineRule="exact"/>
              <w:jc w:val="center"/>
              <w:rPr>
                <w:rFonts w:ascii="宋体" w:hAnsi="宋体"/>
              </w:rPr>
            </w:pPr>
          </w:p>
        </w:tc>
        <w:tc>
          <w:tcPr>
            <w:tcW w:w="1516" w:type="dxa"/>
            <w:vAlign w:val="center"/>
          </w:tcPr>
          <w:p>
            <w:pPr>
              <w:spacing w:line="480" w:lineRule="exact"/>
              <w:jc w:val="center"/>
              <w:rPr>
                <w:rFonts w:ascii="宋体" w:hAnsi="宋体"/>
              </w:rPr>
            </w:pPr>
          </w:p>
        </w:tc>
        <w:tc>
          <w:tcPr>
            <w:tcW w:w="2548" w:type="dxa"/>
            <w:vAlign w:val="center"/>
          </w:tcPr>
          <w:p>
            <w:pPr>
              <w:spacing w:line="48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ascii="宋体" w:hAnsi="宋体"/>
              </w:rPr>
            </w:pPr>
          </w:p>
        </w:tc>
        <w:tc>
          <w:tcPr>
            <w:tcW w:w="1080" w:type="dxa"/>
            <w:vAlign w:val="center"/>
          </w:tcPr>
          <w:p>
            <w:pPr>
              <w:spacing w:line="480" w:lineRule="exact"/>
              <w:jc w:val="center"/>
              <w:rPr>
                <w:rFonts w:ascii="宋体" w:hAnsi="宋体"/>
              </w:rPr>
            </w:pPr>
          </w:p>
        </w:tc>
        <w:tc>
          <w:tcPr>
            <w:tcW w:w="1260" w:type="dxa"/>
            <w:vAlign w:val="center"/>
          </w:tcPr>
          <w:p>
            <w:pPr>
              <w:spacing w:line="480" w:lineRule="exact"/>
              <w:jc w:val="center"/>
              <w:rPr>
                <w:rFonts w:ascii="宋体" w:hAnsi="宋体"/>
              </w:rPr>
            </w:pPr>
          </w:p>
        </w:tc>
        <w:tc>
          <w:tcPr>
            <w:tcW w:w="1516" w:type="dxa"/>
            <w:vAlign w:val="center"/>
          </w:tcPr>
          <w:p>
            <w:pPr>
              <w:spacing w:line="480" w:lineRule="exact"/>
              <w:jc w:val="center"/>
              <w:rPr>
                <w:rFonts w:ascii="宋体" w:hAnsi="宋体"/>
              </w:rPr>
            </w:pPr>
          </w:p>
        </w:tc>
        <w:tc>
          <w:tcPr>
            <w:tcW w:w="2548" w:type="dxa"/>
            <w:vAlign w:val="center"/>
          </w:tcPr>
          <w:p>
            <w:pPr>
              <w:spacing w:line="48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ascii="宋体" w:hAnsi="宋体"/>
              </w:rPr>
            </w:pPr>
          </w:p>
        </w:tc>
        <w:tc>
          <w:tcPr>
            <w:tcW w:w="1080" w:type="dxa"/>
            <w:vAlign w:val="center"/>
          </w:tcPr>
          <w:p>
            <w:pPr>
              <w:spacing w:line="480" w:lineRule="exact"/>
              <w:jc w:val="center"/>
              <w:rPr>
                <w:rFonts w:ascii="宋体" w:hAnsi="宋体"/>
              </w:rPr>
            </w:pPr>
          </w:p>
        </w:tc>
        <w:tc>
          <w:tcPr>
            <w:tcW w:w="1260" w:type="dxa"/>
            <w:vAlign w:val="center"/>
          </w:tcPr>
          <w:p>
            <w:pPr>
              <w:spacing w:line="480" w:lineRule="exact"/>
              <w:jc w:val="center"/>
              <w:rPr>
                <w:rFonts w:ascii="宋体" w:hAnsi="宋体"/>
              </w:rPr>
            </w:pPr>
          </w:p>
        </w:tc>
        <w:tc>
          <w:tcPr>
            <w:tcW w:w="1516" w:type="dxa"/>
            <w:vAlign w:val="center"/>
          </w:tcPr>
          <w:p>
            <w:pPr>
              <w:spacing w:line="480" w:lineRule="exact"/>
              <w:jc w:val="center"/>
              <w:rPr>
                <w:rFonts w:ascii="宋体" w:hAnsi="宋体"/>
              </w:rPr>
            </w:pPr>
          </w:p>
        </w:tc>
        <w:tc>
          <w:tcPr>
            <w:tcW w:w="2548" w:type="dxa"/>
            <w:vAlign w:val="center"/>
          </w:tcPr>
          <w:p>
            <w:pPr>
              <w:spacing w:line="48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ascii="宋体" w:hAnsi="宋体"/>
              </w:rPr>
            </w:pPr>
          </w:p>
        </w:tc>
        <w:tc>
          <w:tcPr>
            <w:tcW w:w="1080" w:type="dxa"/>
            <w:vAlign w:val="center"/>
          </w:tcPr>
          <w:p>
            <w:pPr>
              <w:spacing w:line="480" w:lineRule="exact"/>
              <w:jc w:val="center"/>
              <w:rPr>
                <w:rFonts w:ascii="宋体" w:hAnsi="宋体"/>
              </w:rPr>
            </w:pPr>
          </w:p>
        </w:tc>
        <w:tc>
          <w:tcPr>
            <w:tcW w:w="1260" w:type="dxa"/>
            <w:vAlign w:val="center"/>
          </w:tcPr>
          <w:p>
            <w:pPr>
              <w:spacing w:line="480" w:lineRule="exact"/>
              <w:jc w:val="center"/>
              <w:rPr>
                <w:rFonts w:ascii="宋体" w:hAnsi="宋体"/>
              </w:rPr>
            </w:pPr>
          </w:p>
        </w:tc>
        <w:tc>
          <w:tcPr>
            <w:tcW w:w="1516" w:type="dxa"/>
            <w:vAlign w:val="center"/>
          </w:tcPr>
          <w:p>
            <w:pPr>
              <w:spacing w:line="480" w:lineRule="exact"/>
              <w:jc w:val="center"/>
              <w:rPr>
                <w:rFonts w:ascii="宋体" w:hAnsi="宋体"/>
              </w:rPr>
            </w:pPr>
          </w:p>
        </w:tc>
        <w:tc>
          <w:tcPr>
            <w:tcW w:w="2548" w:type="dxa"/>
            <w:vAlign w:val="center"/>
          </w:tcPr>
          <w:p>
            <w:pPr>
              <w:spacing w:line="48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ascii="宋体" w:hAnsi="宋体"/>
              </w:rPr>
            </w:pPr>
          </w:p>
        </w:tc>
        <w:tc>
          <w:tcPr>
            <w:tcW w:w="1080" w:type="dxa"/>
            <w:vAlign w:val="center"/>
          </w:tcPr>
          <w:p>
            <w:pPr>
              <w:spacing w:line="480" w:lineRule="exact"/>
              <w:jc w:val="center"/>
              <w:rPr>
                <w:rFonts w:ascii="宋体" w:hAnsi="宋体"/>
              </w:rPr>
            </w:pPr>
          </w:p>
        </w:tc>
        <w:tc>
          <w:tcPr>
            <w:tcW w:w="1260" w:type="dxa"/>
            <w:vAlign w:val="center"/>
          </w:tcPr>
          <w:p>
            <w:pPr>
              <w:spacing w:line="480" w:lineRule="exact"/>
              <w:jc w:val="center"/>
              <w:rPr>
                <w:rFonts w:ascii="宋体" w:hAnsi="宋体"/>
              </w:rPr>
            </w:pPr>
          </w:p>
        </w:tc>
        <w:tc>
          <w:tcPr>
            <w:tcW w:w="1516" w:type="dxa"/>
            <w:vAlign w:val="center"/>
          </w:tcPr>
          <w:p>
            <w:pPr>
              <w:spacing w:line="480" w:lineRule="exact"/>
              <w:jc w:val="center"/>
              <w:rPr>
                <w:rFonts w:ascii="宋体" w:hAnsi="宋体"/>
              </w:rPr>
            </w:pPr>
          </w:p>
        </w:tc>
        <w:tc>
          <w:tcPr>
            <w:tcW w:w="2548" w:type="dxa"/>
            <w:vAlign w:val="center"/>
          </w:tcPr>
          <w:p>
            <w:pPr>
              <w:spacing w:line="48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ascii="宋体" w:hAnsi="宋体"/>
              </w:rPr>
            </w:pPr>
          </w:p>
        </w:tc>
        <w:tc>
          <w:tcPr>
            <w:tcW w:w="1080" w:type="dxa"/>
            <w:vAlign w:val="center"/>
          </w:tcPr>
          <w:p>
            <w:pPr>
              <w:spacing w:line="480" w:lineRule="exact"/>
              <w:jc w:val="center"/>
              <w:rPr>
                <w:rFonts w:ascii="宋体" w:hAnsi="宋体"/>
              </w:rPr>
            </w:pPr>
          </w:p>
        </w:tc>
        <w:tc>
          <w:tcPr>
            <w:tcW w:w="1260" w:type="dxa"/>
            <w:vAlign w:val="center"/>
          </w:tcPr>
          <w:p>
            <w:pPr>
              <w:spacing w:line="480" w:lineRule="exact"/>
              <w:jc w:val="center"/>
              <w:rPr>
                <w:rFonts w:ascii="宋体" w:hAnsi="宋体"/>
              </w:rPr>
            </w:pPr>
          </w:p>
        </w:tc>
        <w:tc>
          <w:tcPr>
            <w:tcW w:w="1516" w:type="dxa"/>
            <w:vAlign w:val="center"/>
          </w:tcPr>
          <w:p>
            <w:pPr>
              <w:spacing w:line="480" w:lineRule="exact"/>
              <w:jc w:val="center"/>
              <w:rPr>
                <w:rFonts w:ascii="宋体" w:hAnsi="宋体"/>
              </w:rPr>
            </w:pPr>
          </w:p>
        </w:tc>
        <w:tc>
          <w:tcPr>
            <w:tcW w:w="2548" w:type="dxa"/>
            <w:vAlign w:val="center"/>
          </w:tcPr>
          <w:p>
            <w:pPr>
              <w:spacing w:line="48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ascii="宋体" w:hAnsi="宋体"/>
              </w:rPr>
            </w:pPr>
          </w:p>
        </w:tc>
        <w:tc>
          <w:tcPr>
            <w:tcW w:w="1080" w:type="dxa"/>
            <w:vAlign w:val="center"/>
          </w:tcPr>
          <w:p>
            <w:pPr>
              <w:spacing w:line="480" w:lineRule="exact"/>
              <w:jc w:val="center"/>
              <w:rPr>
                <w:rFonts w:ascii="宋体" w:hAnsi="宋体"/>
              </w:rPr>
            </w:pPr>
          </w:p>
        </w:tc>
        <w:tc>
          <w:tcPr>
            <w:tcW w:w="1260" w:type="dxa"/>
            <w:vAlign w:val="center"/>
          </w:tcPr>
          <w:p>
            <w:pPr>
              <w:spacing w:line="480" w:lineRule="exact"/>
              <w:jc w:val="center"/>
              <w:rPr>
                <w:rFonts w:ascii="宋体" w:hAnsi="宋体"/>
              </w:rPr>
            </w:pPr>
          </w:p>
        </w:tc>
        <w:tc>
          <w:tcPr>
            <w:tcW w:w="1516" w:type="dxa"/>
            <w:vAlign w:val="center"/>
          </w:tcPr>
          <w:p>
            <w:pPr>
              <w:spacing w:line="480" w:lineRule="exact"/>
              <w:jc w:val="center"/>
              <w:rPr>
                <w:rFonts w:ascii="宋体" w:hAnsi="宋体"/>
              </w:rPr>
            </w:pPr>
          </w:p>
        </w:tc>
        <w:tc>
          <w:tcPr>
            <w:tcW w:w="2548" w:type="dxa"/>
            <w:vAlign w:val="center"/>
          </w:tcPr>
          <w:p>
            <w:pPr>
              <w:spacing w:line="48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ascii="宋体" w:hAnsi="宋体"/>
              </w:rPr>
            </w:pPr>
          </w:p>
        </w:tc>
        <w:tc>
          <w:tcPr>
            <w:tcW w:w="1080" w:type="dxa"/>
            <w:vAlign w:val="center"/>
          </w:tcPr>
          <w:p>
            <w:pPr>
              <w:spacing w:line="480" w:lineRule="exact"/>
              <w:jc w:val="center"/>
              <w:rPr>
                <w:rFonts w:ascii="宋体" w:hAnsi="宋体"/>
              </w:rPr>
            </w:pPr>
          </w:p>
        </w:tc>
        <w:tc>
          <w:tcPr>
            <w:tcW w:w="1260" w:type="dxa"/>
            <w:vAlign w:val="center"/>
          </w:tcPr>
          <w:p>
            <w:pPr>
              <w:spacing w:line="480" w:lineRule="exact"/>
              <w:jc w:val="center"/>
              <w:rPr>
                <w:rFonts w:ascii="宋体" w:hAnsi="宋体"/>
              </w:rPr>
            </w:pPr>
          </w:p>
        </w:tc>
        <w:tc>
          <w:tcPr>
            <w:tcW w:w="1516" w:type="dxa"/>
            <w:vAlign w:val="center"/>
          </w:tcPr>
          <w:p>
            <w:pPr>
              <w:spacing w:line="480" w:lineRule="exact"/>
              <w:jc w:val="center"/>
              <w:rPr>
                <w:rFonts w:ascii="宋体" w:hAnsi="宋体"/>
              </w:rPr>
            </w:pPr>
          </w:p>
        </w:tc>
        <w:tc>
          <w:tcPr>
            <w:tcW w:w="2548" w:type="dxa"/>
            <w:vAlign w:val="center"/>
          </w:tcPr>
          <w:p>
            <w:pPr>
              <w:spacing w:line="48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ascii="宋体" w:hAnsi="宋体"/>
              </w:rPr>
            </w:pPr>
          </w:p>
        </w:tc>
        <w:tc>
          <w:tcPr>
            <w:tcW w:w="1080" w:type="dxa"/>
            <w:vAlign w:val="center"/>
          </w:tcPr>
          <w:p>
            <w:pPr>
              <w:spacing w:line="480" w:lineRule="exact"/>
              <w:jc w:val="center"/>
              <w:rPr>
                <w:rFonts w:ascii="宋体" w:hAnsi="宋体"/>
              </w:rPr>
            </w:pPr>
          </w:p>
        </w:tc>
        <w:tc>
          <w:tcPr>
            <w:tcW w:w="1260" w:type="dxa"/>
            <w:vAlign w:val="center"/>
          </w:tcPr>
          <w:p>
            <w:pPr>
              <w:spacing w:line="480" w:lineRule="exact"/>
              <w:jc w:val="center"/>
              <w:rPr>
                <w:rFonts w:ascii="宋体" w:hAnsi="宋体"/>
              </w:rPr>
            </w:pPr>
          </w:p>
        </w:tc>
        <w:tc>
          <w:tcPr>
            <w:tcW w:w="1516" w:type="dxa"/>
            <w:vAlign w:val="center"/>
          </w:tcPr>
          <w:p>
            <w:pPr>
              <w:spacing w:line="480" w:lineRule="exact"/>
              <w:jc w:val="center"/>
              <w:rPr>
                <w:rFonts w:ascii="宋体" w:hAnsi="宋体"/>
              </w:rPr>
            </w:pPr>
          </w:p>
        </w:tc>
        <w:tc>
          <w:tcPr>
            <w:tcW w:w="2548" w:type="dxa"/>
            <w:vAlign w:val="center"/>
          </w:tcPr>
          <w:p>
            <w:pPr>
              <w:spacing w:line="48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ascii="宋体" w:hAnsi="宋体"/>
              </w:rPr>
            </w:pPr>
          </w:p>
        </w:tc>
        <w:tc>
          <w:tcPr>
            <w:tcW w:w="1080" w:type="dxa"/>
            <w:vAlign w:val="center"/>
          </w:tcPr>
          <w:p>
            <w:pPr>
              <w:spacing w:line="480" w:lineRule="exact"/>
              <w:jc w:val="center"/>
              <w:rPr>
                <w:rFonts w:ascii="宋体" w:hAnsi="宋体"/>
              </w:rPr>
            </w:pPr>
          </w:p>
        </w:tc>
        <w:tc>
          <w:tcPr>
            <w:tcW w:w="1260" w:type="dxa"/>
            <w:vAlign w:val="center"/>
          </w:tcPr>
          <w:p>
            <w:pPr>
              <w:spacing w:line="480" w:lineRule="exact"/>
              <w:jc w:val="center"/>
              <w:rPr>
                <w:rFonts w:ascii="宋体" w:hAnsi="宋体"/>
              </w:rPr>
            </w:pPr>
          </w:p>
        </w:tc>
        <w:tc>
          <w:tcPr>
            <w:tcW w:w="1516" w:type="dxa"/>
            <w:vAlign w:val="center"/>
          </w:tcPr>
          <w:p>
            <w:pPr>
              <w:spacing w:line="480" w:lineRule="exact"/>
              <w:jc w:val="center"/>
              <w:rPr>
                <w:rFonts w:ascii="宋体" w:hAnsi="宋体"/>
              </w:rPr>
            </w:pPr>
          </w:p>
        </w:tc>
        <w:tc>
          <w:tcPr>
            <w:tcW w:w="2548" w:type="dxa"/>
            <w:vAlign w:val="center"/>
          </w:tcPr>
          <w:p>
            <w:pPr>
              <w:spacing w:line="48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pPr>
              <w:spacing w:line="480" w:lineRule="exact"/>
              <w:jc w:val="center"/>
              <w:rPr>
                <w:rFonts w:ascii="宋体" w:hAnsi="宋体"/>
              </w:rPr>
            </w:pPr>
          </w:p>
        </w:tc>
        <w:tc>
          <w:tcPr>
            <w:tcW w:w="1080" w:type="dxa"/>
            <w:vAlign w:val="center"/>
          </w:tcPr>
          <w:p>
            <w:pPr>
              <w:spacing w:line="480" w:lineRule="exact"/>
              <w:jc w:val="center"/>
              <w:rPr>
                <w:rFonts w:ascii="宋体" w:hAnsi="宋体"/>
              </w:rPr>
            </w:pPr>
          </w:p>
        </w:tc>
        <w:tc>
          <w:tcPr>
            <w:tcW w:w="1260" w:type="dxa"/>
            <w:vAlign w:val="center"/>
          </w:tcPr>
          <w:p>
            <w:pPr>
              <w:spacing w:line="480" w:lineRule="exact"/>
              <w:jc w:val="center"/>
              <w:rPr>
                <w:rFonts w:ascii="宋体" w:hAnsi="宋体"/>
              </w:rPr>
            </w:pPr>
          </w:p>
        </w:tc>
        <w:tc>
          <w:tcPr>
            <w:tcW w:w="1516" w:type="dxa"/>
            <w:vAlign w:val="center"/>
          </w:tcPr>
          <w:p>
            <w:pPr>
              <w:spacing w:line="480" w:lineRule="exact"/>
              <w:jc w:val="center"/>
              <w:rPr>
                <w:rFonts w:ascii="宋体" w:hAnsi="宋体"/>
              </w:rPr>
            </w:pPr>
          </w:p>
        </w:tc>
        <w:tc>
          <w:tcPr>
            <w:tcW w:w="2548" w:type="dxa"/>
            <w:vAlign w:val="center"/>
          </w:tcPr>
          <w:p>
            <w:pPr>
              <w:spacing w:line="48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838" w:type="dxa"/>
            <w:gridSpan w:val="5"/>
            <w:vAlign w:val="center"/>
          </w:tcPr>
          <w:p>
            <w:pPr>
              <w:spacing w:before="312" w:beforeLines="100" w:line="360" w:lineRule="auto"/>
              <w:rPr>
                <w:rFonts w:ascii="楷体" w:hAnsi="楷体" w:eastAsia="楷体"/>
                <w:bCs/>
                <w:iCs/>
              </w:rPr>
            </w:pPr>
            <w:r>
              <w:rPr>
                <w:rFonts w:hint="eastAsia" w:ascii="楷体" w:hAnsi="楷体" w:eastAsia="楷体"/>
                <w:bCs/>
                <w:iCs/>
              </w:rPr>
              <w:t>注：采购人将核实成交供应商承诺的售后服务机构，如果不属实，则从扣除合同总额的2％作为违约处罚。</w:t>
            </w:r>
          </w:p>
        </w:tc>
      </w:tr>
    </w:tbl>
    <w:p>
      <w:pPr>
        <w:pStyle w:val="2"/>
        <w:ind w:firstLine="0" w:firstLineChars="0"/>
      </w:pPr>
    </w:p>
    <w:p>
      <w:pPr>
        <w:widowControl/>
        <w:jc w:val="left"/>
      </w:pPr>
      <w:r>
        <w:br w:type="page"/>
      </w:r>
    </w:p>
    <w:p>
      <w:pPr>
        <w:pStyle w:val="22"/>
        <w:spacing w:before="156" w:beforeLines="50" w:after="156" w:afterLines="50" w:line="360" w:lineRule="auto"/>
        <w:ind w:firstLine="640"/>
        <w:jc w:val="center"/>
        <w:rPr>
          <w:rFonts w:ascii="黑体" w:hAnsi="宋体" w:eastAsia="黑体"/>
          <w:b/>
          <w:color w:val="000000" w:themeColor="text1"/>
          <w:sz w:val="32"/>
          <w:szCs w:val="32"/>
          <w14:textFill>
            <w14:solidFill>
              <w14:schemeClr w14:val="tx1"/>
            </w14:solidFill>
          </w14:textFill>
        </w:rPr>
      </w:pPr>
      <w:bookmarkStart w:id="8" w:name="_Toc30015"/>
      <w:r>
        <w:rPr>
          <w:rFonts w:hint="eastAsia" w:ascii="黑体" w:hAnsi="宋体" w:eastAsia="黑体"/>
          <w:color w:val="000000" w:themeColor="text1"/>
          <w:sz w:val="32"/>
          <w:szCs w:val="32"/>
          <w14:textFill>
            <w14:solidFill>
              <w14:schemeClr w14:val="tx1"/>
            </w14:solidFill>
          </w14:textFill>
        </w:rPr>
        <w:t>五、</w:t>
      </w:r>
      <w:r>
        <w:rPr>
          <w:rFonts w:hint="eastAsia" w:ascii="黑体" w:hAnsi="宋体" w:eastAsia="黑体"/>
          <w:b/>
          <w:color w:val="000000" w:themeColor="text1"/>
          <w:sz w:val="32"/>
          <w:szCs w:val="32"/>
          <w14:textFill>
            <w14:solidFill>
              <w14:schemeClr w14:val="tx1"/>
            </w14:solidFill>
          </w14:textFill>
        </w:rPr>
        <w:t>享受政府采购优惠政策的证明材料</w:t>
      </w:r>
      <w:bookmarkEnd w:id="8"/>
    </w:p>
    <w:p>
      <w:pPr>
        <w:adjustRightInd w:val="0"/>
        <w:snapToGrid w:val="0"/>
        <w:spacing w:line="360" w:lineRule="auto"/>
        <w:jc w:val="center"/>
        <w:rPr>
          <w:rFonts w:ascii="黑体" w:hAnsi="黑体" w:eastAsia="黑体"/>
          <w:color w:val="000000" w:themeColor="text1"/>
          <w:sz w:val="30"/>
          <w:szCs w:val="30"/>
          <w14:textFill>
            <w14:solidFill>
              <w14:schemeClr w14:val="tx1"/>
            </w14:solidFill>
          </w14:textFill>
        </w:rPr>
      </w:pPr>
      <w:r>
        <w:rPr>
          <w:rFonts w:hint="eastAsia" w:ascii="黑体" w:hAnsi="楷体" w:eastAsia="黑体"/>
          <w:color w:val="000000" w:themeColor="text1"/>
          <w:sz w:val="30"/>
          <w:szCs w:val="30"/>
          <w14:textFill>
            <w14:solidFill>
              <w14:schemeClr w14:val="tx1"/>
            </w14:solidFill>
          </w14:textFill>
        </w:rPr>
        <w:t>1.</w:t>
      </w:r>
      <w:r>
        <w:rPr>
          <w:rFonts w:hint="eastAsia" w:ascii="黑体" w:hAnsi="黑体" w:eastAsia="黑体"/>
          <w:color w:val="000000" w:themeColor="text1"/>
          <w:sz w:val="30"/>
          <w:szCs w:val="30"/>
          <w14:textFill>
            <w14:solidFill>
              <w14:schemeClr w14:val="tx1"/>
            </w14:solidFill>
          </w14:textFill>
        </w:rPr>
        <w:t>强制采购或者优先采购产品</w:t>
      </w:r>
      <w:r>
        <w:rPr>
          <w:rFonts w:hint="eastAsia" w:ascii="黑体" w:hAnsi="黑体" w:eastAsia="黑体"/>
          <w:bCs/>
          <w:color w:val="000000" w:themeColor="text1"/>
          <w:sz w:val="30"/>
          <w:szCs w:val="30"/>
          <w14:textFill>
            <w14:solidFill>
              <w14:schemeClr w14:val="tx1"/>
            </w14:solidFill>
          </w14:textFill>
        </w:rPr>
        <w:t>的</w:t>
      </w:r>
      <w:r>
        <w:rPr>
          <w:rFonts w:hint="eastAsia" w:ascii="黑体" w:hAnsi="黑体" w:eastAsia="黑体"/>
          <w:color w:val="000000" w:themeColor="text1"/>
          <w:sz w:val="30"/>
          <w:szCs w:val="30"/>
          <w14:textFill>
            <w14:solidFill>
              <w14:schemeClr w14:val="tx1"/>
            </w14:solidFill>
          </w14:textFill>
        </w:rPr>
        <w:t>证明材料</w:t>
      </w:r>
    </w:p>
    <w:p>
      <w:pPr>
        <w:pStyle w:val="10"/>
        <w:adjustRightInd w:val="0"/>
        <w:snapToGrid w:val="0"/>
        <w:spacing w:line="360" w:lineRule="auto"/>
        <w:ind w:firstLine="105" w:firstLineChars="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说明：</w:t>
      </w:r>
    </w:p>
    <w:p>
      <w:pPr>
        <w:pStyle w:val="10"/>
        <w:adjustRightInd w:val="0"/>
        <w:snapToGrid w:val="0"/>
        <w:spacing w:line="360" w:lineRule="auto"/>
        <w:ind w:firstLine="525" w:firstLineChars="250"/>
        <w:rPr>
          <w:rFonts w:hAnsi="宋体"/>
          <w:bCs/>
          <w:color w:val="000000" w:themeColor="text1"/>
          <w14:textFill>
            <w14:solidFill>
              <w14:schemeClr w14:val="tx1"/>
            </w14:solidFill>
          </w14:textFill>
        </w:rPr>
      </w:pPr>
      <w:r>
        <w:rPr>
          <w:rFonts w:hint="eastAsia" w:hAnsi="宋体"/>
          <w:color w:val="000000" w:themeColor="text1"/>
          <w14:textFill>
            <w14:solidFill>
              <w14:schemeClr w14:val="tx1"/>
            </w14:solidFill>
          </w14:textFill>
        </w:rPr>
        <w:t>（1）本项目（采购包）若包含货物的，所供产品属于《节能产品、环境标志产品品目清单》中产品的，供应商应当按照规定提供相关证明材料。</w:t>
      </w:r>
    </w:p>
    <w:p>
      <w:pPr>
        <w:pStyle w:val="10"/>
        <w:adjustRightInd w:val="0"/>
        <w:snapToGrid w:val="0"/>
        <w:spacing w:line="360" w:lineRule="auto"/>
        <w:ind w:firstLine="525" w:firstLineChars="25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（2）属于采购文件</w:t>
      </w:r>
      <w:r>
        <w:rPr>
          <w:rFonts w:hint="eastAsia" w:hAnsi="宋体"/>
          <w:color w:val="000000" w:themeColor="text1"/>
          <w14:textFill>
            <w14:solidFill>
              <w14:schemeClr w14:val="tx1"/>
            </w14:solidFill>
          </w14:textFill>
        </w:rPr>
        <w:t>中</w:t>
      </w:r>
      <w:r>
        <w:rPr>
          <w:rFonts w:hint="eastAsia" w:hAnsi="宋体"/>
          <w:bCs/>
          <w:color w:val="000000" w:themeColor="text1"/>
          <w14:textFill>
            <w14:solidFill>
              <w14:schemeClr w14:val="tx1"/>
            </w14:solidFill>
          </w14:textFill>
        </w:rPr>
        <w:t>规定的强制节能产品的，供应商未按要求提供相应证明材料，按无效响应文件处理。</w:t>
      </w:r>
    </w:p>
    <w:p>
      <w:pPr>
        <w:pStyle w:val="10"/>
        <w:adjustRightInd w:val="0"/>
        <w:snapToGrid w:val="0"/>
        <w:spacing w:line="360" w:lineRule="auto"/>
        <w:ind w:firstLine="525" w:firstLineChars="25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（3）本项目</w:t>
      </w:r>
      <w:r>
        <w:rPr>
          <w:rFonts w:hint="eastAsia" w:hAnsi="宋体"/>
          <w:color w:val="000000" w:themeColor="text1"/>
          <w14:textFill>
            <w14:solidFill>
              <w14:schemeClr w14:val="tx1"/>
            </w14:solidFill>
          </w14:textFill>
        </w:rPr>
        <w:t>（采购包）</w:t>
      </w:r>
      <w:r>
        <w:rPr>
          <w:rFonts w:hint="eastAsia" w:hAnsi="宋体"/>
          <w:bCs/>
          <w:color w:val="000000" w:themeColor="text1"/>
          <w14:textFill>
            <w14:solidFill>
              <w14:schemeClr w14:val="tx1"/>
            </w14:solidFill>
          </w14:textFill>
        </w:rPr>
        <w:t>除强制节能产品外的</w:t>
      </w:r>
      <w:r>
        <w:rPr>
          <w:rFonts w:hint="eastAsia" w:hAnsi="宋体"/>
          <w:color w:val="000000" w:themeColor="text1"/>
          <w14:textFill>
            <w14:solidFill>
              <w14:schemeClr w14:val="tx1"/>
            </w14:solidFill>
          </w14:textFill>
        </w:rPr>
        <w:t>《节能产品、环境标志产品品目清单》中产品，属于优先采购产品，</w:t>
      </w:r>
      <w:r>
        <w:rPr>
          <w:rFonts w:hint="eastAsia" w:hAnsi="宋体"/>
          <w:bCs/>
          <w:color w:val="000000" w:themeColor="text1"/>
          <w14:textFill>
            <w14:solidFill>
              <w14:schemeClr w14:val="tx1"/>
            </w14:solidFill>
          </w14:textFill>
        </w:rPr>
        <w:t>供应商未按要求提供相应证明材料的</w:t>
      </w:r>
      <w:r>
        <w:rPr>
          <w:rFonts w:hint="eastAsia" w:hAnsi="宋体"/>
          <w:color w:val="000000" w:themeColor="text1"/>
          <w14:textFill>
            <w14:solidFill>
              <w14:schemeClr w14:val="tx1"/>
            </w14:solidFill>
          </w14:textFill>
        </w:rPr>
        <w:t>，</w:t>
      </w:r>
      <w:r>
        <w:rPr>
          <w:rFonts w:hint="eastAsia" w:hAnsi="宋体"/>
          <w:bCs/>
          <w:color w:val="000000" w:themeColor="text1"/>
          <w14:textFill>
            <w14:solidFill>
              <w14:schemeClr w14:val="tx1"/>
            </w14:solidFill>
          </w14:textFill>
        </w:rPr>
        <w:t>评审时不予加分。</w:t>
      </w:r>
    </w:p>
    <w:tbl>
      <w:tblPr>
        <w:tblStyle w:val="17"/>
        <w:tblpPr w:leftFromText="180" w:rightFromText="180" w:vertAnchor="text" w:horzAnchor="margin" w:tblpXSpec="center" w:tblpY="38"/>
        <w:tblW w:w="54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574"/>
        <w:gridCol w:w="1297"/>
        <w:gridCol w:w="1666"/>
        <w:gridCol w:w="2575"/>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exact"/>
        </w:trPr>
        <w:tc>
          <w:tcPr>
            <w:tcW w:w="416" w:type="pct"/>
            <w:tcBorders>
              <w:top w:val="single" w:color="auto" w:sz="12" w:space="0"/>
              <w:left w:val="single" w:color="auto" w:sz="12"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序号</w:t>
            </w:r>
          </w:p>
        </w:tc>
        <w:tc>
          <w:tcPr>
            <w:tcW w:w="722" w:type="pct"/>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产品名称</w:t>
            </w:r>
          </w:p>
        </w:tc>
        <w:tc>
          <w:tcPr>
            <w:tcW w:w="595" w:type="pct"/>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品牌</w:t>
            </w:r>
          </w:p>
        </w:tc>
        <w:tc>
          <w:tcPr>
            <w:tcW w:w="764" w:type="pct"/>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型号规格</w:t>
            </w:r>
          </w:p>
        </w:tc>
        <w:tc>
          <w:tcPr>
            <w:tcW w:w="1181" w:type="pct"/>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制造商</w:t>
            </w:r>
          </w:p>
        </w:tc>
        <w:tc>
          <w:tcPr>
            <w:tcW w:w="1322" w:type="pct"/>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节能、环境标志</w:t>
            </w:r>
          </w:p>
          <w:p>
            <w:pPr>
              <w:snapToGrid w:val="0"/>
              <w:jc w:val="center"/>
              <w:rPr>
                <w:rFonts w:ascii="宋体" w:hAnsi="宋体" w:cs="宋体"/>
                <w:b/>
                <w:szCs w:val="21"/>
              </w:rPr>
            </w:pPr>
            <w:r>
              <w:rPr>
                <w:rFonts w:hint="eastAsia" w:ascii="宋体" w:hAnsi="宋体" w:cs="宋体"/>
                <w:b/>
                <w:szCs w:val="21"/>
              </w:rPr>
              <w:t>产品认证证书编号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416" w:type="pct"/>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72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764"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1181"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1322"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416" w:type="pct"/>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72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764"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1181"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1322"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416" w:type="pct"/>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72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764"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1181"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1322"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416" w:type="pct"/>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72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764"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1181"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1322"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416" w:type="pct"/>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72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764"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1181"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1322"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416" w:type="pct"/>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72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59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764"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1181"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1322"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16" w:type="pct"/>
            <w:tcBorders>
              <w:top w:val="single" w:color="auto" w:sz="4" w:space="0"/>
              <w:left w:val="single" w:color="auto" w:sz="12" w:space="0"/>
              <w:bottom w:val="single" w:color="auto" w:sz="12" w:space="0"/>
              <w:right w:val="single" w:color="auto" w:sz="4" w:space="0"/>
            </w:tcBorders>
            <w:vAlign w:val="center"/>
          </w:tcPr>
          <w:p>
            <w:pPr>
              <w:snapToGrid w:val="0"/>
              <w:spacing w:line="400" w:lineRule="exact"/>
              <w:jc w:val="center"/>
              <w:rPr>
                <w:rFonts w:ascii="宋体" w:hAnsi="宋体" w:cs="宋体"/>
                <w:sz w:val="24"/>
              </w:rPr>
            </w:pPr>
          </w:p>
        </w:tc>
        <w:tc>
          <w:tcPr>
            <w:tcW w:w="722" w:type="pct"/>
            <w:tcBorders>
              <w:top w:val="single" w:color="auto" w:sz="4" w:space="0"/>
              <w:left w:val="single" w:color="auto" w:sz="4" w:space="0"/>
              <w:bottom w:val="single" w:color="auto" w:sz="12" w:space="0"/>
              <w:right w:val="single" w:color="auto" w:sz="4" w:space="0"/>
            </w:tcBorders>
            <w:vAlign w:val="center"/>
          </w:tcPr>
          <w:p>
            <w:pPr>
              <w:snapToGrid w:val="0"/>
              <w:spacing w:line="400" w:lineRule="exact"/>
              <w:jc w:val="center"/>
              <w:rPr>
                <w:rFonts w:ascii="宋体" w:hAnsi="宋体" w:cs="宋体"/>
                <w:sz w:val="18"/>
                <w:szCs w:val="18"/>
              </w:rPr>
            </w:pPr>
          </w:p>
        </w:tc>
        <w:tc>
          <w:tcPr>
            <w:tcW w:w="595" w:type="pct"/>
            <w:tcBorders>
              <w:top w:val="single" w:color="auto" w:sz="4" w:space="0"/>
              <w:left w:val="single" w:color="auto" w:sz="4" w:space="0"/>
              <w:bottom w:val="single" w:color="auto" w:sz="12" w:space="0"/>
              <w:right w:val="single" w:color="auto" w:sz="4" w:space="0"/>
            </w:tcBorders>
            <w:vAlign w:val="center"/>
          </w:tcPr>
          <w:p>
            <w:pPr>
              <w:snapToGrid w:val="0"/>
              <w:spacing w:line="400" w:lineRule="exact"/>
              <w:jc w:val="center"/>
              <w:rPr>
                <w:rFonts w:ascii="宋体" w:hAnsi="宋体" w:cs="宋体"/>
                <w:sz w:val="24"/>
              </w:rPr>
            </w:pPr>
          </w:p>
        </w:tc>
        <w:tc>
          <w:tcPr>
            <w:tcW w:w="764" w:type="pct"/>
            <w:tcBorders>
              <w:top w:val="single" w:color="auto" w:sz="4" w:space="0"/>
              <w:left w:val="single" w:color="auto" w:sz="4" w:space="0"/>
              <w:bottom w:val="single" w:color="auto" w:sz="12" w:space="0"/>
              <w:right w:val="single" w:color="auto" w:sz="4" w:space="0"/>
            </w:tcBorders>
          </w:tcPr>
          <w:p>
            <w:pPr>
              <w:snapToGrid w:val="0"/>
              <w:spacing w:line="400" w:lineRule="exact"/>
              <w:jc w:val="center"/>
              <w:rPr>
                <w:rFonts w:ascii="宋体" w:hAnsi="宋体" w:cs="宋体"/>
                <w:sz w:val="24"/>
              </w:rPr>
            </w:pPr>
          </w:p>
        </w:tc>
        <w:tc>
          <w:tcPr>
            <w:tcW w:w="1181" w:type="pct"/>
            <w:tcBorders>
              <w:top w:val="single" w:color="auto" w:sz="4" w:space="0"/>
              <w:left w:val="single" w:color="auto" w:sz="4" w:space="0"/>
              <w:bottom w:val="single" w:color="auto" w:sz="12" w:space="0"/>
              <w:right w:val="single" w:color="auto" w:sz="4" w:space="0"/>
            </w:tcBorders>
          </w:tcPr>
          <w:p>
            <w:pPr>
              <w:snapToGrid w:val="0"/>
              <w:spacing w:line="400" w:lineRule="exact"/>
              <w:jc w:val="center"/>
              <w:rPr>
                <w:rFonts w:ascii="宋体" w:hAnsi="宋体" w:cs="宋体"/>
                <w:sz w:val="24"/>
              </w:rPr>
            </w:pPr>
          </w:p>
        </w:tc>
        <w:tc>
          <w:tcPr>
            <w:tcW w:w="1322" w:type="pct"/>
            <w:tcBorders>
              <w:top w:val="single" w:color="auto" w:sz="4" w:space="0"/>
              <w:left w:val="single" w:color="auto" w:sz="4" w:space="0"/>
              <w:bottom w:val="single" w:color="auto" w:sz="12" w:space="0"/>
              <w:right w:val="single" w:color="auto" w:sz="4" w:space="0"/>
            </w:tcBorders>
          </w:tcPr>
          <w:p>
            <w:pPr>
              <w:snapToGrid w:val="0"/>
              <w:spacing w:line="400" w:lineRule="exact"/>
              <w:jc w:val="center"/>
              <w:rPr>
                <w:rFonts w:ascii="宋体" w:hAnsi="宋体" w:cs="宋体"/>
                <w:sz w:val="24"/>
              </w:rPr>
            </w:pPr>
          </w:p>
        </w:tc>
      </w:tr>
    </w:tbl>
    <w:p/>
    <w:p>
      <w:pPr>
        <w:pStyle w:val="2"/>
        <w:ind w:firstLine="210"/>
      </w:pPr>
      <w:r>
        <w:br w:type="page"/>
      </w:r>
    </w:p>
    <w:p>
      <w:pPr>
        <w:pStyle w:val="22"/>
        <w:spacing w:before="156" w:beforeLines="50" w:after="156" w:afterLines="50" w:line="360" w:lineRule="auto"/>
        <w:ind w:firstLine="640"/>
        <w:jc w:val="center"/>
        <w:rPr>
          <w:rFonts w:ascii="黑体" w:hAnsi="宋体" w:eastAsia="黑体"/>
          <w:color w:val="000000" w:themeColor="text1"/>
          <w:sz w:val="32"/>
          <w:szCs w:val="32"/>
          <w14:textFill>
            <w14:solidFill>
              <w14:schemeClr w14:val="tx1"/>
            </w14:solidFill>
          </w14:textFill>
        </w:rPr>
      </w:pPr>
      <w:bookmarkStart w:id="9" w:name="_Toc9365"/>
      <w:bookmarkStart w:id="10" w:name="_Toc23394"/>
      <w:r>
        <w:rPr>
          <w:rFonts w:hint="eastAsia" w:ascii="黑体" w:hAnsi="宋体" w:eastAsia="黑体"/>
          <w:color w:val="000000" w:themeColor="text1"/>
          <w:sz w:val="32"/>
          <w:szCs w:val="32"/>
          <w14:textFill>
            <w14:solidFill>
              <w14:schemeClr w14:val="tx1"/>
            </w14:solidFill>
          </w14:textFill>
        </w:rPr>
        <w:t>六、</w:t>
      </w:r>
      <w:bookmarkEnd w:id="9"/>
      <w:bookmarkEnd w:id="10"/>
      <w:r>
        <w:rPr>
          <w:rFonts w:hint="eastAsia" w:ascii="黑体" w:hAnsi="宋体" w:eastAsia="黑体"/>
          <w:color w:val="000000" w:themeColor="text1"/>
          <w:sz w:val="32"/>
          <w:szCs w:val="32"/>
          <w14:textFill>
            <w14:solidFill>
              <w14:schemeClr w14:val="tx1"/>
            </w14:solidFill>
          </w14:textFill>
        </w:rPr>
        <w:t>业绩及其他证明材料</w:t>
      </w:r>
    </w:p>
    <w:p>
      <w:pPr>
        <w:pStyle w:val="12"/>
        <w:spacing w:line="360" w:lineRule="auto"/>
        <w:rPr>
          <w:color w:val="000000" w:themeColor="text1"/>
          <w14:textFill>
            <w14:solidFill>
              <w14:schemeClr w14:val="tx1"/>
            </w14:solidFill>
          </w14:textFill>
        </w:rPr>
      </w:pPr>
    </w:p>
    <w:p>
      <w:pPr>
        <w:spacing w:line="360" w:lineRule="auto"/>
        <w:ind w:left="-141" w:leftChars="-67"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说明：1.业绩证明材料；</w:t>
      </w:r>
    </w:p>
    <w:p>
      <w:pPr>
        <w:spacing w:line="360" w:lineRule="auto"/>
        <w:ind w:left="-141" w:leftChars="-67" w:firstLine="1155" w:firstLineChars="5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.其他非必备证明材料。</w:t>
      </w:r>
    </w:p>
    <w:p>
      <w:pPr>
        <w:widowControl/>
        <w:jc w:val="left"/>
      </w:pPr>
      <w:r>
        <w:br w:type="page"/>
      </w:r>
    </w:p>
    <w:p>
      <w:pPr>
        <w:pStyle w:val="6"/>
        <w:spacing w:before="0" w:after="0" w:line="360" w:lineRule="auto"/>
        <w:jc w:val="center"/>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1.业绩证明材料</w:t>
      </w:r>
    </w:p>
    <w:p>
      <w:pPr>
        <w:pStyle w:val="6"/>
        <w:spacing w:before="0" w:after="0" w:line="360" w:lineRule="auto"/>
        <w:jc w:val="center"/>
        <w:rPr>
          <w:rFonts w:ascii="宋体" w:hAnsi="宋体" w:cs="Arial"/>
          <w:bCs w:val="0"/>
          <w:color w:val="000000" w:themeColor="text1"/>
          <w:sz w:val="24"/>
          <w:szCs w:val="24"/>
          <w14:textFill>
            <w14:solidFill>
              <w14:schemeClr w14:val="tx1"/>
            </w14:solidFill>
          </w14:textFill>
        </w:rPr>
      </w:pPr>
      <w:r>
        <w:rPr>
          <w:rFonts w:hint="eastAsia" w:ascii="宋体" w:hAnsi="宋体" w:cs="Arial"/>
          <w:bCs w:val="0"/>
          <w:color w:val="000000" w:themeColor="text1"/>
          <w:sz w:val="24"/>
          <w:szCs w:val="24"/>
          <w14:textFill>
            <w14:solidFill>
              <w14:schemeClr w14:val="tx1"/>
            </w14:solidFill>
          </w14:textFill>
        </w:rPr>
        <w:t>类似项目业绩一览表</w:t>
      </w:r>
    </w:p>
    <w:p>
      <w:pPr>
        <w:pStyle w:val="6"/>
        <w:spacing w:before="0" w:after="0" w:line="360" w:lineRule="auto"/>
        <w:ind w:firstLine="7140" w:firstLineChars="3400"/>
        <w:jc w:val="left"/>
        <w:rPr>
          <w:rFonts w:ascii="黑体" w:hAnsi="宋体" w:eastAsia="黑体"/>
          <w:bCs w:val="0"/>
          <w:color w:val="000000" w:themeColor="text1"/>
          <w:sz w:val="30"/>
          <w:szCs w:val="30"/>
          <w14:textFill>
            <w14:solidFill>
              <w14:schemeClr w14:val="tx1"/>
            </w14:solidFill>
          </w14:textFill>
        </w:rPr>
      </w:pPr>
      <w:r>
        <w:rPr>
          <w:rFonts w:ascii="宋体" w:hAnsi="宋体" w:cs="Arial"/>
          <w:b w:val="0"/>
          <w:bCs w:val="0"/>
          <w:color w:val="000000" w:themeColor="text1"/>
          <w:sz w:val="21"/>
          <w:szCs w:val="21"/>
          <w14:textFill>
            <w14:solidFill>
              <w14:schemeClr w14:val="tx1"/>
            </w14:solidFill>
          </w14:textFill>
        </w:rPr>
        <w:t>单位：万元</w:t>
      </w:r>
      <w:r>
        <w:rPr>
          <w:rFonts w:hint="eastAsia" w:ascii="宋体" w:hAnsi="宋体" w:cs="Arial"/>
          <w:b w:val="0"/>
          <w:bCs w:val="0"/>
          <w:color w:val="000000" w:themeColor="text1"/>
          <w:sz w:val="21"/>
          <w:szCs w:val="21"/>
          <w14:textFill>
            <w14:solidFill>
              <w14:schemeClr w14:val="tx1"/>
            </w14:solidFill>
          </w14:textFill>
        </w:rPr>
        <w:t xml:space="preserve">                                         </w:t>
      </w:r>
      <w:r>
        <w:rPr>
          <w:rFonts w:ascii="宋体" w:hAnsi="宋体" w:cs="Arial"/>
          <w:b w:val="0"/>
          <w:bCs w:val="0"/>
          <w:color w:val="000000" w:themeColor="text1"/>
          <w:sz w:val="21"/>
          <w:szCs w:val="21"/>
          <w14:textFill>
            <w14:solidFill>
              <w14:schemeClr w14:val="tx1"/>
            </w14:solidFill>
          </w14:textFill>
        </w:rPr>
        <w:t xml:space="preserve">               </w:t>
      </w:r>
    </w:p>
    <w:tbl>
      <w:tblPr>
        <w:tblStyle w:val="17"/>
        <w:tblW w:w="94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2126"/>
        <w:gridCol w:w="1701"/>
        <w:gridCol w:w="1560"/>
        <w:gridCol w:w="1559"/>
        <w:gridCol w:w="12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61"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年份</w:t>
            </w:r>
          </w:p>
        </w:tc>
        <w:tc>
          <w:tcPr>
            <w:tcW w:w="2126"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用户名称</w:t>
            </w:r>
          </w:p>
        </w:tc>
        <w:tc>
          <w:tcPr>
            <w:tcW w:w="1701"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项目名称</w:t>
            </w:r>
          </w:p>
        </w:tc>
        <w:tc>
          <w:tcPr>
            <w:tcW w:w="1560"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合同金额</w:t>
            </w:r>
          </w:p>
        </w:tc>
        <w:tc>
          <w:tcPr>
            <w:tcW w:w="1559"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是否通过验收</w:t>
            </w:r>
          </w:p>
        </w:tc>
        <w:tc>
          <w:tcPr>
            <w:tcW w:w="1233"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61" w:type="dxa"/>
          </w:tcPr>
          <w:p>
            <w:pPr>
              <w:rPr>
                <w:color w:val="000000" w:themeColor="text1"/>
                <w:sz w:val="24"/>
                <w14:textFill>
                  <w14:solidFill>
                    <w14:schemeClr w14:val="tx1"/>
                  </w14:solidFill>
                </w14:textFill>
              </w:rPr>
            </w:pPr>
          </w:p>
        </w:tc>
        <w:tc>
          <w:tcPr>
            <w:tcW w:w="2126" w:type="dxa"/>
          </w:tcPr>
          <w:p>
            <w:pPr>
              <w:rPr>
                <w:color w:val="000000" w:themeColor="text1"/>
                <w:sz w:val="24"/>
                <w14:textFill>
                  <w14:solidFill>
                    <w14:schemeClr w14:val="tx1"/>
                  </w14:solidFill>
                </w14:textFill>
              </w:rPr>
            </w:pPr>
          </w:p>
        </w:tc>
        <w:tc>
          <w:tcPr>
            <w:tcW w:w="1701" w:type="dxa"/>
          </w:tcPr>
          <w:p>
            <w:pPr>
              <w:rPr>
                <w:color w:val="000000" w:themeColor="text1"/>
                <w:sz w:val="24"/>
                <w14:textFill>
                  <w14:solidFill>
                    <w14:schemeClr w14:val="tx1"/>
                  </w14:solidFill>
                </w14:textFill>
              </w:rPr>
            </w:pPr>
          </w:p>
        </w:tc>
        <w:tc>
          <w:tcPr>
            <w:tcW w:w="1560" w:type="dxa"/>
          </w:tcPr>
          <w:p>
            <w:pPr>
              <w:rPr>
                <w:color w:val="000000" w:themeColor="text1"/>
                <w:sz w:val="24"/>
                <w14:textFill>
                  <w14:solidFill>
                    <w14:schemeClr w14:val="tx1"/>
                  </w14:solidFill>
                </w14:textFill>
              </w:rPr>
            </w:pPr>
          </w:p>
        </w:tc>
        <w:tc>
          <w:tcPr>
            <w:tcW w:w="1559" w:type="dxa"/>
          </w:tcPr>
          <w:p>
            <w:pPr>
              <w:rPr>
                <w:color w:val="000000" w:themeColor="text1"/>
                <w:sz w:val="24"/>
                <w14:textFill>
                  <w14:solidFill>
                    <w14:schemeClr w14:val="tx1"/>
                  </w14:solidFill>
                </w14:textFill>
              </w:rPr>
            </w:pPr>
          </w:p>
        </w:tc>
        <w:tc>
          <w:tcPr>
            <w:tcW w:w="1233" w:type="dxa"/>
          </w:tcPr>
          <w:p>
            <w:pP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61" w:type="dxa"/>
          </w:tcPr>
          <w:p>
            <w:pPr>
              <w:rPr>
                <w:color w:val="000000" w:themeColor="text1"/>
                <w:sz w:val="24"/>
                <w14:textFill>
                  <w14:solidFill>
                    <w14:schemeClr w14:val="tx1"/>
                  </w14:solidFill>
                </w14:textFill>
              </w:rPr>
            </w:pPr>
          </w:p>
        </w:tc>
        <w:tc>
          <w:tcPr>
            <w:tcW w:w="2126" w:type="dxa"/>
          </w:tcPr>
          <w:p>
            <w:pPr>
              <w:rPr>
                <w:color w:val="000000" w:themeColor="text1"/>
                <w:sz w:val="24"/>
                <w14:textFill>
                  <w14:solidFill>
                    <w14:schemeClr w14:val="tx1"/>
                  </w14:solidFill>
                </w14:textFill>
              </w:rPr>
            </w:pPr>
          </w:p>
        </w:tc>
        <w:tc>
          <w:tcPr>
            <w:tcW w:w="1701" w:type="dxa"/>
          </w:tcPr>
          <w:p>
            <w:pPr>
              <w:rPr>
                <w:color w:val="000000" w:themeColor="text1"/>
                <w:sz w:val="24"/>
                <w14:textFill>
                  <w14:solidFill>
                    <w14:schemeClr w14:val="tx1"/>
                  </w14:solidFill>
                </w14:textFill>
              </w:rPr>
            </w:pPr>
          </w:p>
        </w:tc>
        <w:tc>
          <w:tcPr>
            <w:tcW w:w="1560" w:type="dxa"/>
          </w:tcPr>
          <w:p>
            <w:pPr>
              <w:rPr>
                <w:color w:val="000000" w:themeColor="text1"/>
                <w:sz w:val="24"/>
                <w14:textFill>
                  <w14:solidFill>
                    <w14:schemeClr w14:val="tx1"/>
                  </w14:solidFill>
                </w14:textFill>
              </w:rPr>
            </w:pPr>
          </w:p>
        </w:tc>
        <w:tc>
          <w:tcPr>
            <w:tcW w:w="1559" w:type="dxa"/>
          </w:tcPr>
          <w:p>
            <w:pPr>
              <w:rPr>
                <w:color w:val="000000" w:themeColor="text1"/>
                <w:sz w:val="24"/>
                <w14:textFill>
                  <w14:solidFill>
                    <w14:schemeClr w14:val="tx1"/>
                  </w14:solidFill>
                </w14:textFill>
              </w:rPr>
            </w:pPr>
          </w:p>
        </w:tc>
        <w:tc>
          <w:tcPr>
            <w:tcW w:w="1233" w:type="dxa"/>
          </w:tcPr>
          <w:p>
            <w:pP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61" w:type="dxa"/>
          </w:tcPr>
          <w:p>
            <w:pPr>
              <w:rPr>
                <w:color w:val="000000" w:themeColor="text1"/>
                <w:sz w:val="24"/>
                <w14:textFill>
                  <w14:solidFill>
                    <w14:schemeClr w14:val="tx1"/>
                  </w14:solidFill>
                </w14:textFill>
              </w:rPr>
            </w:pPr>
          </w:p>
        </w:tc>
        <w:tc>
          <w:tcPr>
            <w:tcW w:w="2126" w:type="dxa"/>
          </w:tcPr>
          <w:p>
            <w:pPr>
              <w:rPr>
                <w:color w:val="000000" w:themeColor="text1"/>
                <w:sz w:val="24"/>
                <w14:textFill>
                  <w14:solidFill>
                    <w14:schemeClr w14:val="tx1"/>
                  </w14:solidFill>
                </w14:textFill>
              </w:rPr>
            </w:pPr>
          </w:p>
        </w:tc>
        <w:tc>
          <w:tcPr>
            <w:tcW w:w="1701" w:type="dxa"/>
          </w:tcPr>
          <w:p>
            <w:pPr>
              <w:rPr>
                <w:color w:val="000000" w:themeColor="text1"/>
                <w:sz w:val="24"/>
                <w14:textFill>
                  <w14:solidFill>
                    <w14:schemeClr w14:val="tx1"/>
                  </w14:solidFill>
                </w14:textFill>
              </w:rPr>
            </w:pPr>
          </w:p>
        </w:tc>
        <w:tc>
          <w:tcPr>
            <w:tcW w:w="1560" w:type="dxa"/>
          </w:tcPr>
          <w:p>
            <w:pPr>
              <w:rPr>
                <w:color w:val="000000" w:themeColor="text1"/>
                <w:sz w:val="24"/>
                <w14:textFill>
                  <w14:solidFill>
                    <w14:schemeClr w14:val="tx1"/>
                  </w14:solidFill>
                </w14:textFill>
              </w:rPr>
            </w:pPr>
          </w:p>
        </w:tc>
        <w:tc>
          <w:tcPr>
            <w:tcW w:w="1559" w:type="dxa"/>
          </w:tcPr>
          <w:p>
            <w:pPr>
              <w:rPr>
                <w:color w:val="000000" w:themeColor="text1"/>
                <w:sz w:val="24"/>
                <w14:textFill>
                  <w14:solidFill>
                    <w14:schemeClr w14:val="tx1"/>
                  </w14:solidFill>
                </w14:textFill>
              </w:rPr>
            </w:pPr>
          </w:p>
        </w:tc>
        <w:tc>
          <w:tcPr>
            <w:tcW w:w="1233" w:type="dxa"/>
          </w:tcPr>
          <w:p>
            <w:pP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61" w:type="dxa"/>
          </w:tcPr>
          <w:p>
            <w:pPr>
              <w:rPr>
                <w:color w:val="000000" w:themeColor="text1"/>
                <w:sz w:val="24"/>
                <w14:textFill>
                  <w14:solidFill>
                    <w14:schemeClr w14:val="tx1"/>
                  </w14:solidFill>
                </w14:textFill>
              </w:rPr>
            </w:pPr>
          </w:p>
        </w:tc>
        <w:tc>
          <w:tcPr>
            <w:tcW w:w="2126" w:type="dxa"/>
          </w:tcPr>
          <w:p>
            <w:pPr>
              <w:rPr>
                <w:color w:val="000000" w:themeColor="text1"/>
                <w:sz w:val="24"/>
                <w14:textFill>
                  <w14:solidFill>
                    <w14:schemeClr w14:val="tx1"/>
                  </w14:solidFill>
                </w14:textFill>
              </w:rPr>
            </w:pPr>
          </w:p>
        </w:tc>
        <w:tc>
          <w:tcPr>
            <w:tcW w:w="1701" w:type="dxa"/>
          </w:tcPr>
          <w:p>
            <w:pPr>
              <w:rPr>
                <w:color w:val="000000" w:themeColor="text1"/>
                <w:sz w:val="24"/>
                <w14:textFill>
                  <w14:solidFill>
                    <w14:schemeClr w14:val="tx1"/>
                  </w14:solidFill>
                </w14:textFill>
              </w:rPr>
            </w:pPr>
          </w:p>
        </w:tc>
        <w:tc>
          <w:tcPr>
            <w:tcW w:w="1560" w:type="dxa"/>
          </w:tcPr>
          <w:p>
            <w:pPr>
              <w:rPr>
                <w:color w:val="000000" w:themeColor="text1"/>
                <w:sz w:val="24"/>
                <w14:textFill>
                  <w14:solidFill>
                    <w14:schemeClr w14:val="tx1"/>
                  </w14:solidFill>
                </w14:textFill>
              </w:rPr>
            </w:pPr>
          </w:p>
        </w:tc>
        <w:tc>
          <w:tcPr>
            <w:tcW w:w="1559" w:type="dxa"/>
          </w:tcPr>
          <w:p>
            <w:pPr>
              <w:rPr>
                <w:color w:val="000000" w:themeColor="text1"/>
                <w:sz w:val="24"/>
                <w14:textFill>
                  <w14:solidFill>
                    <w14:schemeClr w14:val="tx1"/>
                  </w14:solidFill>
                </w14:textFill>
              </w:rPr>
            </w:pPr>
          </w:p>
        </w:tc>
        <w:tc>
          <w:tcPr>
            <w:tcW w:w="1233" w:type="dxa"/>
          </w:tcPr>
          <w:p>
            <w:pP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61" w:type="dxa"/>
          </w:tcPr>
          <w:p>
            <w:pPr>
              <w:rPr>
                <w:color w:val="000000" w:themeColor="text1"/>
                <w:sz w:val="24"/>
                <w14:textFill>
                  <w14:solidFill>
                    <w14:schemeClr w14:val="tx1"/>
                  </w14:solidFill>
                </w14:textFill>
              </w:rPr>
            </w:pPr>
          </w:p>
        </w:tc>
        <w:tc>
          <w:tcPr>
            <w:tcW w:w="2126" w:type="dxa"/>
          </w:tcPr>
          <w:p>
            <w:pPr>
              <w:rPr>
                <w:color w:val="000000" w:themeColor="text1"/>
                <w:sz w:val="24"/>
                <w14:textFill>
                  <w14:solidFill>
                    <w14:schemeClr w14:val="tx1"/>
                  </w14:solidFill>
                </w14:textFill>
              </w:rPr>
            </w:pPr>
          </w:p>
        </w:tc>
        <w:tc>
          <w:tcPr>
            <w:tcW w:w="1701" w:type="dxa"/>
          </w:tcPr>
          <w:p>
            <w:pPr>
              <w:rPr>
                <w:color w:val="000000" w:themeColor="text1"/>
                <w:sz w:val="24"/>
                <w14:textFill>
                  <w14:solidFill>
                    <w14:schemeClr w14:val="tx1"/>
                  </w14:solidFill>
                </w14:textFill>
              </w:rPr>
            </w:pPr>
          </w:p>
        </w:tc>
        <w:tc>
          <w:tcPr>
            <w:tcW w:w="1560" w:type="dxa"/>
          </w:tcPr>
          <w:p>
            <w:pPr>
              <w:rPr>
                <w:color w:val="000000" w:themeColor="text1"/>
                <w:sz w:val="24"/>
                <w14:textFill>
                  <w14:solidFill>
                    <w14:schemeClr w14:val="tx1"/>
                  </w14:solidFill>
                </w14:textFill>
              </w:rPr>
            </w:pPr>
          </w:p>
        </w:tc>
        <w:tc>
          <w:tcPr>
            <w:tcW w:w="1559" w:type="dxa"/>
          </w:tcPr>
          <w:p>
            <w:pPr>
              <w:rPr>
                <w:color w:val="000000" w:themeColor="text1"/>
                <w:sz w:val="24"/>
                <w14:textFill>
                  <w14:solidFill>
                    <w14:schemeClr w14:val="tx1"/>
                  </w14:solidFill>
                </w14:textFill>
              </w:rPr>
            </w:pPr>
          </w:p>
        </w:tc>
        <w:tc>
          <w:tcPr>
            <w:tcW w:w="1233" w:type="dxa"/>
          </w:tcPr>
          <w:p>
            <w:pP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61" w:type="dxa"/>
          </w:tcPr>
          <w:p>
            <w:pPr>
              <w:rPr>
                <w:color w:val="000000" w:themeColor="text1"/>
                <w:sz w:val="24"/>
                <w14:textFill>
                  <w14:solidFill>
                    <w14:schemeClr w14:val="tx1"/>
                  </w14:solidFill>
                </w14:textFill>
              </w:rPr>
            </w:pPr>
          </w:p>
        </w:tc>
        <w:tc>
          <w:tcPr>
            <w:tcW w:w="2126" w:type="dxa"/>
          </w:tcPr>
          <w:p>
            <w:pPr>
              <w:rPr>
                <w:color w:val="000000" w:themeColor="text1"/>
                <w:sz w:val="24"/>
                <w14:textFill>
                  <w14:solidFill>
                    <w14:schemeClr w14:val="tx1"/>
                  </w14:solidFill>
                </w14:textFill>
              </w:rPr>
            </w:pPr>
          </w:p>
        </w:tc>
        <w:tc>
          <w:tcPr>
            <w:tcW w:w="1701" w:type="dxa"/>
          </w:tcPr>
          <w:p>
            <w:pPr>
              <w:rPr>
                <w:color w:val="000000" w:themeColor="text1"/>
                <w:sz w:val="24"/>
                <w14:textFill>
                  <w14:solidFill>
                    <w14:schemeClr w14:val="tx1"/>
                  </w14:solidFill>
                </w14:textFill>
              </w:rPr>
            </w:pPr>
          </w:p>
        </w:tc>
        <w:tc>
          <w:tcPr>
            <w:tcW w:w="1560" w:type="dxa"/>
          </w:tcPr>
          <w:p>
            <w:pPr>
              <w:rPr>
                <w:color w:val="000000" w:themeColor="text1"/>
                <w:sz w:val="24"/>
                <w14:textFill>
                  <w14:solidFill>
                    <w14:schemeClr w14:val="tx1"/>
                  </w14:solidFill>
                </w14:textFill>
              </w:rPr>
            </w:pPr>
          </w:p>
        </w:tc>
        <w:tc>
          <w:tcPr>
            <w:tcW w:w="1559" w:type="dxa"/>
          </w:tcPr>
          <w:p>
            <w:pPr>
              <w:rPr>
                <w:color w:val="000000" w:themeColor="text1"/>
                <w:sz w:val="24"/>
                <w14:textFill>
                  <w14:solidFill>
                    <w14:schemeClr w14:val="tx1"/>
                  </w14:solidFill>
                </w14:textFill>
              </w:rPr>
            </w:pPr>
          </w:p>
        </w:tc>
        <w:tc>
          <w:tcPr>
            <w:tcW w:w="1233" w:type="dxa"/>
          </w:tcPr>
          <w:p>
            <w:pP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61" w:type="dxa"/>
          </w:tcPr>
          <w:p>
            <w:pPr>
              <w:rPr>
                <w:color w:val="000000" w:themeColor="text1"/>
                <w:sz w:val="24"/>
                <w14:textFill>
                  <w14:solidFill>
                    <w14:schemeClr w14:val="tx1"/>
                  </w14:solidFill>
                </w14:textFill>
              </w:rPr>
            </w:pPr>
          </w:p>
        </w:tc>
        <w:tc>
          <w:tcPr>
            <w:tcW w:w="2126" w:type="dxa"/>
          </w:tcPr>
          <w:p>
            <w:pPr>
              <w:rPr>
                <w:color w:val="000000" w:themeColor="text1"/>
                <w:sz w:val="24"/>
                <w14:textFill>
                  <w14:solidFill>
                    <w14:schemeClr w14:val="tx1"/>
                  </w14:solidFill>
                </w14:textFill>
              </w:rPr>
            </w:pPr>
          </w:p>
        </w:tc>
        <w:tc>
          <w:tcPr>
            <w:tcW w:w="1701" w:type="dxa"/>
          </w:tcPr>
          <w:p>
            <w:pPr>
              <w:rPr>
                <w:color w:val="000000" w:themeColor="text1"/>
                <w:sz w:val="24"/>
                <w14:textFill>
                  <w14:solidFill>
                    <w14:schemeClr w14:val="tx1"/>
                  </w14:solidFill>
                </w14:textFill>
              </w:rPr>
            </w:pPr>
          </w:p>
        </w:tc>
        <w:tc>
          <w:tcPr>
            <w:tcW w:w="1560" w:type="dxa"/>
          </w:tcPr>
          <w:p>
            <w:pPr>
              <w:rPr>
                <w:color w:val="000000" w:themeColor="text1"/>
                <w:sz w:val="24"/>
                <w14:textFill>
                  <w14:solidFill>
                    <w14:schemeClr w14:val="tx1"/>
                  </w14:solidFill>
                </w14:textFill>
              </w:rPr>
            </w:pPr>
          </w:p>
        </w:tc>
        <w:tc>
          <w:tcPr>
            <w:tcW w:w="1559" w:type="dxa"/>
          </w:tcPr>
          <w:p>
            <w:pPr>
              <w:rPr>
                <w:color w:val="000000" w:themeColor="text1"/>
                <w:sz w:val="24"/>
                <w14:textFill>
                  <w14:solidFill>
                    <w14:schemeClr w14:val="tx1"/>
                  </w14:solidFill>
                </w14:textFill>
              </w:rPr>
            </w:pPr>
          </w:p>
        </w:tc>
        <w:tc>
          <w:tcPr>
            <w:tcW w:w="1233" w:type="dxa"/>
          </w:tcPr>
          <w:p>
            <w:pP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61" w:type="dxa"/>
          </w:tcPr>
          <w:p>
            <w:pPr>
              <w:rPr>
                <w:color w:val="000000" w:themeColor="text1"/>
                <w:sz w:val="24"/>
                <w14:textFill>
                  <w14:solidFill>
                    <w14:schemeClr w14:val="tx1"/>
                  </w14:solidFill>
                </w14:textFill>
              </w:rPr>
            </w:pPr>
          </w:p>
        </w:tc>
        <w:tc>
          <w:tcPr>
            <w:tcW w:w="2126" w:type="dxa"/>
          </w:tcPr>
          <w:p>
            <w:pPr>
              <w:rPr>
                <w:color w:val="000000" w:themeColor="text1"/>
                <w:sz w:val="24"/>
                <w14:textFill>
                  <w14:solidFill>
                    <w14:schemeClr w14:val="tx1"/>
                  </w14:solidFill>
                </w14:textFill>
              </w:rPr>
            </w:pPr>
          </w:p>
        </w:tc>
        <w:tc>
          <w:tcPr>
            <w:tcW w:w="1701" w:type="dxa"/>
          </w:tcPr>
          <w:p>
            <w:pPr>
              <w:rPr>
                <w:color w:val="000000" w:themeColor="text1"/>
                <w:sz w:val="24"/>
                <w14:textFill>
                  <w14:solidFill>
                    <w14:schemeClr w14:val="tx1"/>
                  </w14:solidFill>
                </w14:textFill>
              </w:rPr>
            </w:pPr>
          </w:p>
        </w:tc>
        <w:tc>
          <w:tcPr>
            <w:tcW w:w="1560" w:type="dxa"/>
          </w:tcPr>
          <w:p>
            <w:pPr>
              <w:rPr>
                <w:color w:val="000000" w:themeColor="text1"/>
                <w:sz w:val="24"/>
                <w14:textFill>
                  <w14:solidFill>
                    <w14:schemeClr w14:val="tx1"/>
                  </w14:solidFill>
                </w14:textFill>
              </w:rPr>
            </w:pPr>
          </w:p>
        </w:tc>
        <w:tc>
          <w:tcPr>
            <w:tcW w:w="1559" w:type="dxa"/>
          </w:tcPr>
          <w:p>
            <w:pPr>
              <w:rPr>
                <w:color w:val="000000" w:themeColor="text1"/>
                <w:sz w:val="24"/>
                <w14:textFill>
                  <w14:solidFill>
                    <w14:schemeClr w14:val="tx1"/>
                  </w14:solidFill>
                </w14:textFill>
              </w:rPr>
            </w:pPr>
          </w:p>
        </w:tc>
        <w:tc>
          <w:tcPr>
            <w:tcW w:w="1233" w:type="dxa"/>
          </w:tcPr>
          <w:p>
            <w:pP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61" w:type="dxa"/>
          </w:tcPr>
          <w:p>
            <w:pPr>
              <w:rPr>
                <w:color w:val="000000" w:themeColor="text1"/>
                <w:sz w:val="24"/>
                <w14:textFill>
                  <w14:solidFill>
                    <w14:schemeClr w14:val="tx1"/>
                  </w14:solidFill>
                </w14:textFill>
              </w:rPr>
            </w:pPr>
          </w:p>
        </w:tc>
        <w:tc>
          <w:tcPr>
            <w:tcW w:w="2126" w:type="dxa"/>
          </w:tcPr>
          <w:p>
            <w:pPr>
              <w:rPr>
                <w:color w:val="000000" w:themeColor="text1"/>
                <w:sz w:val="24"/>
                <w14:textFill>
                  <w14:solidFill>
                    <w14:schemeClr w14:val="tx1"/>
                  </w14:solidFill>
                </w14:textFill>
              </w:rPr>
            </w:pPr>
          </w:p>
        </w:tc>
        <w:tc>
          <w:tcPr>
            <w:tcW w:w="1701" w:type="dxa"/>
          </w:tcPr>
          <w:p>
            <w:pPr>
              <w:rPr>
                <w:color w:val="000000" w:themeColor="text1"/>
                <w:sz w:val="24"/>
                <w14:textFill>
                  <w14:solidFill>
                    <w14:schemeClr w14:val="tx1"/>
                  </w14:solidFill>
                </w14:textFill>
              </w:rPr>
            </w:pPr>
          </w:p>
        </w:tc>
        <w:tc>
          <w:tcPr>
            <w:tcW w:w="1560" w:type="dxa"/>
          </w:tcPr>
          <w:p>
            <w:pPr>
              <w:rPr>
                <w:color w:val="000000" w:themeColor="text1"/>
                <w:sz w:val="24"/>
                <w14:textFill>
                  <w14:solidFill>
                    <w14:schemeClr w14:val="tx1"/>
                  </w14:solidFill>
                </w14:textFill>
              </w:rPr>
            </w:pPr>
          </w:p>
        </w:tc>
        <w:tc>
          <w:tcPr>
            <w:tcW w:w="1559" w:type="dxa"/>
          </w:tcPr>
          <w:p>
            <w:pPr>
              <w:rPr>
                <w:color w:val="000000" w:themeColor="text1"/>
                <w:sz w:val="24"/>
                <w14:textFill>
                  <w14:solidFill>
                    <w14:schemeClr w14:val="tx1"/>
                  </w14:solidFill>
                </w14:textFill>
              </w:rPr>
            </w:pPr>
          </w:p>
        </w:tc>
        <w:tc>
          <w:tcPr>
            <w:tcW w:w="1233" w:type="dxa"/>
          </w:tcPr>
          <w:p>
            <w:pP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61" w:type="dxa"/>
          </w:tcPr>
          <w:p>
            <w:pPr>
              <w:rPr>
                <w:color w:val="000000" w:themeColor="text1"/>
                <w:sz w:val="24"/>
                <w14:textFill>
                  <w14:solidFill>
                    <w14:schemeClr w14:val="tx1"/>
                  </w14:solidFill>
                </w14:textFill>
              </w:rPr>
            </w:pPr>
          </w:p>
        </w:tc>
        <w:tc>
          <w:tcPr>
            <w:tcW w:w="2126" w:type="dxa"/>
          </w:tcPr>
          <w:p>
            <w:pPr>
              <w:rPr>
                <w:color w:val="000000" w:themeColor="text1"/>
                <w:sz w:val="24"/>
                <w14:textFill>
                  <w14:solidFill>
                    <w14:schemeClr w14:val="tx1"/>
                  </w14:solidFill>
                </w14:textFill>
              </w:rPr>
            </w:pPr>
          </w:p>
        </w:tc>
        <w:tc>
          <w:tcPr>
            <w:tcW w:w="1701" w:type="dxa"/>
          </w:tcPr>
          <w:p>
            <w:pPr>
              <w:rPr>
                <w:color w:val="000000" w:themeColor="text1"/>
                <w:sz w:val="24"/>
                <w14:textFill>
                  <w14:solidFill>
                    <w14:schemeClr w14:val="tx1"/>
                  </w14:solidFill>
                </w14:textFill>
              </w:rPr>
            </w:pPr>
          </w:p>
        </w:tc>
        <w:tc>
          <w:tcPr>
            <w:tcW w:w="1560" w:type="dxa"/>
          </w:tcPr>
          <w:p>
            <w:pPr>
              <w:rPr>
                <w:color w:val="000000" w:themeColor="text1"/>
                <w:sz w:val="24"/>
                <w14:textFill>
                  <w14:solidFill>
                    <w14:schemeClr w14:val="tx1"/>
                  </w14:solidFill>
                </w14:textFill>
              </w:rPr>
            </w:pPr>
          </w:p>
        </w:tc>
        <w:tc>
          <w:tcPr>
            <w:tcW w:w="1559" w:type="dxa"/>
          </w:tcPr>
          <w:p>
            <w:pPr>
              <w:rPr>
                <w:color w:val="000000" w:themeColor="text1"/>
                <w:sz w:val="24"/>
                <w14:textFill>
                  <w14:solidFill>
                    <w14:schemeClr w14:val="tx1"/>
                  </w14:solidFill>
                </w14:textFill>
              </w:rPr>
            </w:pPr>
          </w:p>
        </w:tc>
        <w:tc>
          <w:tcPr>
            <w:tcW w:w="1233" w:type="dxa"/>
          </w:tcPr>
          <w:p>
            <w:pP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61" w:type="dxa"/>
          </w:tcPr>
          <w:p>
            <w:pPr>
              <w:rPr>
                <w:color w:val="000000" w:themeColor="text1"/>
                <w:sz w:val="24"/>
                <w14:textFill>
                  <w14:solidFill>
                    <w14:schemeClr w14:val="tx1"/>
                  </w14:solidFill>
                </w14:textFill>
              </w:rPr>
            </w:pPr>
          </w:p>
        </w:tc>
        <w:tc>
          <w:tcPr>
            <w:tcW w:w="2126" w:type="dxa"/>
          </w:tcPr>
          <w:p>
            <w:pPr>
              <w:rPr>
                <w:color w:val="000000" w:themeColor="text1"/>
                <w:sz w:val="24"/>
                <w14:textFill>
                  <w14:solidFill>
                    <w14:schemeClr w14:val="tx1"/>
                  </w14:solidFill>
                </w14:textFill>
              </w:rPr>
            </w:pPr>
          </w:p>
        </w:tc>
        <w:tc>
          <w:tcPr>
            <w:tcW w:w="1701" w:type="dxa"/>
          </w:tcPr>
          <w:p>
            <w:pPr>
              <w:rPr>
                <w:color w:val="000000" w:themeColor="text1"/>
                <w:sz w:val="24"/>
                <w14:textFill>
                  <w14:solidFill>
                    <w14:schemeClr w14:val="tx1"/>
                  </w14:solidFill>
                </w14:textFill>
              </w:rPr>
            </w:pPr>
          </w:p>
        </w:tc>
        <w:tc>
          <w:tcPr>
            <w:tcW w:w="1560" w:type="dxa"/>
          </w:tcPr>
          <w:p>
            <w:pPr>
              <w:rPr>
                <w:color w:val="000000" w:themeColor="text1"/>
                <w:sz w:val="24"/>
                <w14:textFill>
                  <w14:solidFill>
                    <w14:schemeClr w14:val="tx1"/>
                  </w14:solidFill>
                </w14:textFill>
              </w:rPr>
            </w:pPr>
          </w:p>
        </w:tc>
        <w:tc>
          <w:tcPr>
            <w:tcW w:w="1559" w:type="dxa"/>
          </w:tcPr>
          <w:p>
            <w:pPr>
              <w:rPr>
                <w:color w:val="000000" w:themeColor="text1"/>
                <w:sz w:val="24"/>
                <w14:textFill>
                  <w14:solidFill>
                    <w14:schemeClr w14:val="tx1"/>
                  </w14:solidFill>
                </w14:textFill>
              </w:rPr>
            </w:pPr>
          </w:p>
        </w:tc>
        <w:tc>
          <w:tcPr>
            <w:tcW w:w="1233" w:type="dxa"/>
          </w:tcPr>
          <w:p>
            <w:pP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61" w:type="dxa"/>
          </w:tcPr>
          <w:p>
            <w:pPr>
              <w:rPr>
                <w:color w:val="000000" w:themeColor="text1"/>
                <w:sz w:val="24"/>
                <w14:textFill>
                  <w14:solidFill>
                    <w14:schemeClr w14:val="tx1"/>
                  </w14:solidFill>
                </w14:textFill>
              </w:rPr>
            </w:pPr>
          </w:p>
        </w:tc>
        <w:tc>
          <w:tcPr>
            <w:tcW w:w="2126" w:type="dxa"/>
          </w:tcPr>
          <w:p>
            <w:pPr>
              <w:rPr>
                <w:color w:val="000000" w:themeColor="text1"/>
                <w:sz w:val="24"/>
                <w14:textFill>
                  <w14:solidFill>
                    <w14:schemeClr w14:val="tx1"/>
                  </w14:solidFill>
                </w14:textFill>
              </w:rPr>
            </w:pPr>
          </w:p>
        </w:tc>
        <w:tc>
          <w:tcPr>
            <w:tcW w:w="1701" w:type="dxa"/>
          </w:tcPr>
          <w:p>
            <w:pPr>
              <w:rPr>
                <w:color w:val="000000" w:themeColor="text1"/>
                <w:sz w:val="24"/>
                <w14:textFill>
                  <w14:solidFill>
                    <w14:schemeClr w14:val="tx1"/>
                  </w14:solidFill>
                </w14:textFill>
              </w:rPr>
            </w:pPr>
          </w:p>
        </w:tc>
        <w:tc>
          <w:tcPr>
            <w:tcW w:w="1560" w:type="dxa"/>
          </w:tcPr>
          <w:p>
            <w:pPr>
              <w:rPr>
                <w:color w:val="000000" w:themeColor="text1"/>
                <w:sz w:val="24"/>
                <w14:textFill>
                  <w14:solidFill>
                    <w14:schemeClr w14:val="tx1"/>
                  </w14:solidFill>
                </w14:textFill>
              </w:rPr>
            </w:pPr>
          </w:p>
        </w:tc>
        <w:tc>
          <w:tcPr>
            <w:tcW w:w="1559" w:type="dxa"/>
          </w:tcPr>
          <w:p>
            <w:pPr>
              <w:rPr>
                <w:color w:val="000000" w:themeColor="text1"/>
                <w:sz w:val="24"/>
                <w14:textFill>
                  <w14:solidFill>
                    <w14:schemeClr w14:val="tx1"/>
                  </w14:solidFill>
                </w14:textFill>
              </w:rPr>
            </w:pPr>
          </w:p>
        </w:tc>
        <w:tc>
          <w:tcPr>
            <w:tcW w:w="1233" w:type="dxa"/>
          </w:tcPr>
          <w:p>
            <w:pP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61" w:type="dxa"/>
          </w:tcPr>
          <w:p>
            <w:pPr>
              <w:rPr>
                <w:color w:val="000000" w:themeColor="text1"/>
                <w:sz w:val="24"/>
                <w14:textFill>
                  <w14:solidFill>
                    <w14:schemeClr w14:val="tx1"/>
                  </w14:solidFill>
                </w14:textFill>
              </w:rPr>
            </w:pPr>
          </w:p>
        </w:tc>
        <w:tc>
          <w:tcPr>
            <w:tcW w:w="2126" w:type="dxa"/>
          </w:tcPr>
          <w:p>
            <w:pPr>
              <w:rPr>
                <w:color w:val="000000" w:themeColor="text1"/>
                <w:sz w:val="24"/>
                <w14:textFill>
                  <w14:solidFill>
                    <w14:schemeClr w14:val="tx1"/>
                  </w14:solidFill>
                </w14:textFill>
              </w:rPr>
            </w:pPr>
          </w:p>
        </w:tc>
        <w:tc>
          <w:tcPr>
            <w:tcW w:w="1701" w:type="dxa"/>
          </w:tcPr>
          <w:p>
            <w:pPr>
              <w:rPr>
                <w:color w:val="000000" w:themeColor="text1"/>
                <w:sz w:val="24"/>
                <w14:textFill>
                  <w14:solidFill>
                    <w14:schemeClr w14:val="tx1"/>
                  </w14:solidFill>
                </w14:textFill>
              </w:rPr>
            </w:pPr>
          </w:p>
        </w:tc>
        <w:tc>
          <w:tcPr>
            <w:tcW w:w="1560" w:type="dxa"/>
          </w:tcPr>
          <w:p>
            <w:pPr>
              <w:rPr>
                <w:color w:val="000000" w:themeColor="text1"/>
                <w:sz w:val="24"/>
                <w14:textFill>
                  <w14:solidFill>
                    <w14:schemeClr w14:val="tx1"/>
                  </w14:solidFill>
                </w14:textFill>
              </w:rPr>
            </w:pPr>
          </w:p>
        </w:tc>
        <w:tc>
          <w:tcPr>
            <w:tcW w:w="1559" w:type="dxa"/>
          </w:tcPr>
          <w:p>
            <w:pPr>
              <w:rPr>
                <w:color w:val="000000" w:themeColor="text1"/>
                <w:sz w:val="24"/>
                <w14:textFill>
                  <w14:solidFill>
                    <w14:schemeClr w14:val="tx1"/>
                  </w14:solidFill>
                </w14:textFill>
              </w:rPr>
            </w:pPr>
          </w:p>
        </w:tc>
        <w:tc>
          <w:tcPr>
            <w:tcW w:w="1233" w:type="dxa"/>
          </w:tcPr>
          <w:p>
            <w:pP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61" w:type="dxa"/>
          </w:tcPr>
          <w:p>
            <w:pPr>
              <w:rPr>
                <w:color w:val="000000" w:themeColor="text1"/>
                <w:sz w:val="24"/>
                <w14:textFill>
                  <w14:solidFill>
                    <w14:schemeClr w14:val="tx1"/>
                  </w14:solidFill>
                </w14:textFill>
              </w:rPr>
            </w:pPr>
          </w:p>
        </w:tc>
        <w:tc>
          <w:tcPr>
            <w:tcW w:w="2126" w:type="dxa"/>
          </w:tcPr>
          <w:p>
            <w:pPr>
              <w:rPr>
                <w:color w:val="000000" w:themeColor="text1"/>
                <w:sz w:val="24"/>
                <w14:textFill>
                  <w14:solidFill>
                    <w14:schemeClr w14:val="tx1"/>
                  </w14:solidFill>
                </w14:textFill>
              </w:rPr>
            </w:pPr>
          </w:p>
        </w:tc>
        <w:tc>
          <w:tcPr>
            <w:tcW w:w="1701" w:type="dxa"/>
          </w:tcPr>
          <w:p>
            <w:pPr>
              <w:rPr>
                <w:color w:val="000000" w:themeColor="text1"/>
                <w:sz w:val="24"/>
                <w14:textFill>
                  <w14:solidFill>
                    <w14:schemeClr w14:val="tx1"/>
                  </w14:solidFill>
                </w14:textFill>
              </w:rPr>
            </w:pPr>
          </w:p>
        </w:tc>
        <w:tc>
          <w:tcPr>
            <w:tcW w:w="1560" w:type="dxa"/>
          </w:tcPr>
          <w:p>
            <w:pPr>
              <w:rPr>
                <w:color w:val="000000" w:themeColor="text1"/>
                <w:sz w:val="24"/>
                <w14:textFill>
                  <w14:solidFill>
                    <w14:schemeClr w14:val="tx1"/>
                  </w14:solidFill>
                </w14:textFill>
              </w:rPr>
            </w:pPr>
          </w:p>
        </w:tc>
        <w:tc>
          <w:tcPr>
            <w:tcW w:w="1559" w:type="dxa"/>
          </w:tcPr>
          <w:p>
            <w:pPr>
              <w:rPr>
                <w:color w:val="000000" w:themeColor="text1"/>
                <w:sz w:val="24"/>
                <w14:textFill>
                  <w14:solidFill>
                    <w14:schemeClr w14:val="tx1"/>
                  </w14:solidFill>
                </w14:textFill>
              </w:rPr>
            </w:pPr>
          </w:p>
        </w:tc>
        <w:tc>
          <w:tcPr>
            <w:tcW w:w="1233" w:type="dxa"/>
          </w:tcPr>
          <w:p>
            <w:pP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61" w:type="dxa"/>
          </w:tcPr>
          <w:p>
            <w:pPr>
              <w:rPr>
                <w:color w:val="000000" w:themeColor="text1"/>
                <w:sz w:val="24"/>
                <w14:textFill>
                  <w14:solidFill>
                    <w14:schemeClr w14:val="tx1"/>
                  </w14:solidFill>
                </w14:textFill>
              </w:rPr>
            </w:pPr>
          </w:p>
        </w:tc>
        <w:tc>
          <w:tcPr>
            <w:tcW w:w="2126" w:type="dxa"/>
          </w:tcPr>
          <w:p>
            <w:pPr>
              <w:rPr>
                <w:color w:val="000000" w:themeColor="text1"/>
                <w:sz w:val="24"/>
                <w14:textFill>
                  <w14:solidFill>
                    <w14:schemeClr w14:val="tx1"/>
                  </w14:solidFill>
                </w14:textFill>
              </w:rPr>
            </w:pPr>
          </w:p>
        </w:tc>
        <w:tc>
          <w:tcPr>
            <w:tcW w:w="1701" w:type="dxa"/>
          </w:tcPr>
          <w:p>
            <w:pPr>
              <w:rPr>
                <w:color w:val="000000" w:themeColor="text1"/>
                <w:sz w:val="24"/>
                <w14:textFill>
                  <w14:solidFill>
                    <w14:schemeClr w14:val="tx1"/>
                  </w14:solidFill>
                </w14:textFill>
              </w:rPr>
            </w:pPr>
          </w:p>
        </w:tc>
        <w:tc>
          <w:tcPr>
            <w:tcW w:w="1560" w:type="dxa"/>
          </w:tcPr>
          <w:p>
            <w:pPr>
              <w:rPr>
                <w:color w:val="000000" w:themeColor="text1"/>
                <w:sz w:val="24"/>
                <w14:textFill>
                  <w14:solidFill>
                    <w14:schemeClr w14:val="tx1"/>
                  </w14:solidFill>
                </w14:textFill>
              </w:rPr>
            </w:pPr>
          </w:p>
        </w:tc>
        <w:tc>
          <w:tcPr>
            <w:tcW w:w="1559" w:type="dxa"/>
          </w:tcPr>
          <w:p>
            <w:pPr>
              <w:rPr>
                <w:color w:val="000000" w:themeColor="text1"/>
                <w:sz w:val="24"/>
                <w14:textFill>
                  <w14:solidFill>
                    <w14:schemeClr w14:val="tx1"/>
                  </w14:solidFill>
                </w14:textFill>
              </w:rPr>
            </w:pPr>
          </w:p>
        </w:tc>
        <w:tc>
          <w:tcPr>
            <w:tcW w:w="1233" w:type="dxa"/>
          </w:tcPr>
          <w:p>
            <w:pP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61" w:type="dxa"/>
          </w:tcPr>
          <w:p>
            <w:pPr>
              <w:rPr>
                <w:color w:val="000000" w:themeColor="text1"/>
                <w:sz w:val="24"/>
                <w14:textFill>
                  <w14:solidFill>
                    <w14:schemeClr w14:val="tx1"/>
                  </w14:solidFill>
                </w14:textFill>
              </w:rPr>
            </w:pPr>
          </w:p>
        </w:tc>
        <w:tc>
          <w:tcPr>
            <w:tcW w:w="2126" w:type="dxa"/>
          </w:tcPr>
          <w:p>
            <w:pPr>
              <w:rPr>
                <w:color w:val="000000" w:themeColor="text1"/>
                <w:sz w:val="24"/>
                <w14:textFill>
                  <w14:solidFill>
                    <w14:schemeClr w14:val="tx1"/>
                  </w14:solidFill>
                </w14:textFill>
              </w:rPr>
            </w:pPr>
          </w:p>
        </w:tc>
        <w:tc>
          <w:tcPr>
            <w:tcW w:w="1701" w:type="dxa"/>
          </w:tcPr>
          <w:p>
            <w:pPr>
              <w:rPr>
                <w:color w:val="000000" w:themeColor="text1"/>
                <w:sz w:val="24"/>
                <w14:textFill>
                  <w14:solidFill>
                    <w14:schemeClr w14:val="tx1"/>
                  </w14:solidFill>
                </w14:textFill>
              </w:rPr>
            </w:pPr>
          </w:p>
        </w:tc>
        <w:tc>
          <w:tcPr>
            <w:tcW w:w="1560" w:type="dxa"/>
          </w:tcPr>
          <w:p>
            <w:pPr>
              <w:rPr>
                <w:color w:val="000000" w:themeColor="text1"/>
                <w:sz w:val="24"/>
                <w14:textFill>
                  <w14:solidFill>
                    <w14:schemeClr w14:val="tx1"/>
                  </w14:solidFill>
                </w14:textFill>
              </w:rPr>
            </w:pPr>
          </w:p>
        </w:tc>
        <w:tc>
          <w:tcPr>
            <w:tcW w:w="1559" w:type="dxa"/>
          </w:tcPr>
          <w:p>
            <w:pPr>
              <w:rPr>
                <w:color w:val="000000" w:themeColor="text1"/>
                <w:sz w:val="24"/>
                <w14:textFill>
                  <w14:solidFill>
                    <w14:schemeClr w14:val="tx1"/>
                  </w14:solidFill>
                </w14:textFill>
              </w:rPr>
            </w:pPr>
          </w:p>
        </w:tc>
        <w:tc>
          <w:tcPr>
            <w:tcW w:w="1233" w:type="dxa"/>
          </w:tcPr>
          <w:p>
            <w:pP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61" w:type="dxa"/>
          </w:tcPr>
          <w:p>
            <w:pPr>
              <w:rPr>
                <w:color w:val="000000" w:themeColor="text1"/>
                <w:sz w:val="24"/>
                <w14:textFill>
                  <w14:solidFill>
                    <w14:schemeClr w14:val="tx1"/>
                  </w14:solidFill>
                </w14:textFill>
              </w:rPr>
            </w:pPr>
          </w:p>
        </w:tc>
        <w:tc>
          <w:tcPr>
            <w:tcW w:w="2126" w:type="dxa"/>
          </w:tcPr>
          <w:p>
            <w:pPr>
              <w:rPr>
                <w:color w:val="000000" w:themeColor="text1"/>
                <w:sz w:val="24"/>
                <w14:textFill>
                  <w14:solidFill>
                    <w14:schemeClr w14:val="tx1"/>
                  </w14:solidFill>
                </w14:textFill>
              </w:rPr>
            </w:pPr>
          </w:p>
        </w:tc>
        <w:tc>
          <w:tcPr>
            <w:tcW w:w="1701" w:type="dxa"/>
          </w:tcPr>
          <w:p>
            <w:pPr>
              <w:rPr>
                <w:color w:val="000000" w:themeColor="text1"/>
                <w:sz w:val="24"/>
                <w14:textFill>
                  <w14:solidFill>
                    <w14:schemeClr w14:val="tx1"/>
                  </w14:solidFill>
                </w14:textFill>
              </w:rPr>
            </w:pPr>
          </w:p>
        </w:tc>
        <w:tc>
          <w:tcPr>
            <w:tcW w:w="1560" w:type="dxa"/>
          </w:tcPr>
          <w:p>
            <w:pPr>
              <w:rPr>
                <w:color w:val="000000" w:themeColor="text1"/>
                <w:sz w:val="24"/>
                <w14:textFill>
                  <w14:solidFill>
                    <w14:schemeClr w14:val="tx1"/>
                  </w14:solidFill>
                </w14:textFill>
              </w:rPr>
            </w:pPr>
          </w:p>
        </w:tc>
        <w:tc>
          <w:tcPr>
            <w:tcW w:w="1559" w:type="dxa"/>
          </w:tcPr>
          <w:p>
            <w:pPr>
              <w:rPr>
                <w:color w:val="000000" w:themeColor="text1"/>
                <w:sz w:val="24"/>
                <w14:textFill>
                  <w14:solidFill>
                    <w14:schemeClr w14:val="tx1"/>
                  </w14:solidFill>
                </w14:textFill>
              </w:rPr>
            </w:pPr>
          </w:p>
        </w:tc>
        <w:tc>
          <w:tcPr>
            <w:tcW w:w="1233" w:type="dxa"/>
          </w:tcPr>
          <w:p>
            <w:pP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261"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说明</w:t>
            </w:r>
          </w:p>
        </w:tc>
        <w:tc>
          <w:tcPr>
            <w:tcW w:w="8179" w:type="dxa"/>
            <w:gridSpan w:val="5"/>
          </w:tcPr>
          <w:p>
            <w:pPr>
              <w:autoSpaceDE w:val="0"/>
              <w:autoSpaceDN w:val="0"/>
              <w:rPr>
                <w:rFonts w:ascii="楷体" w:hAnsi="楷体" w:eastAsia="楷体"/>
                <w:bCs/>
                <w:color w:val="000000" w:themeColor="text1"/>
                <w:szCs w:val="21"/>
                <w14:textFill>
                  <w14:solidFill>
                    <w14:schemeClr w14:val="tx1"/>
                  </w14:solidFill>
                </w14:textFill>
              </w:rPr>
            </w:pPr>
            <w:r>
              <w:rPr>
                <w:rFonts w:hint="eastAsia" w:ascii="楷体" w:hAnsi="楷体" w:eastAsia="楷体" w:cs="宋体"/>
                <w:color w:val="000000" w:themeColor="text1"/>
                <w:kern w:val="0"/>
                <w:lang w:val="zh-CN"/>
                <w14:textFill>
                  <w14:solidFill>
                    <w14:schemeClr w14:val="tx1"/>
                  </w14:solidFill>
                </w14:textFill>
              </w:rPr>
              <w:t>1</w:t>
            </w:r>
            <w:r>
              <w:rPr>
                <w:rFonts w:ascii="楷体" w:hAnsi="楷体" w:eastAsia="楷体" w:cs="宋体"/>
                <w:color w:val="000000" w:themeColor="text1"/>
                <w:kern w:val="0"/>
                <w:lang w:val="zh-CN"/>
                <w14:textFill>
                  <w14:solidFill>
                    <w14:schemeClr w14:val="tx1"/>
                  </w14:solidFill>
                </w14:textFill>
              </w:rPr>
              <w:t>.</w:t>
            </w:r>
            <w:r>
              <w:rPr>
                <w:rFonts w:hint="eastAsia" w:ascii="楷体" w:hAnsi="楷体" w:eastAsia="楷体" w:cs="宋体"/>
                <w:color w:val="000000" w:themeColor="text1"/>
                <w:kern w:val="0"/>
                <w:lang w:val="zh-CN"/>
                <w14:textFill>
                  <w14:solidFill>
                    <w14:schemeClr w14:val="tx1"/>
                  </w14:solidFill>
                </w14:textFill>
              </w:rPr>
              <w:t>类似业绩是指与采购项目在服务或类型、使用功能等方面相同或相近的项目；2</w:t>
            </w:r>
            <w:r>
              <w:rPr>
                <w:rFonts w:ascii="楷体" w:hAnsi="楷体" w:eastAsia="楷体" w:cs="宋体"/>
                <w:color w:val="000000" w:themeColor="text1"/>
                <w:kern w:val="0"/>
                <w:lang w:val="zh-CN"/>
                <w14:textFill>
                  <w14:solidFill>
                    <w14:schemeClr w14:val="tx1"/>
                  </w14:solidFill>
                </w14:textFill>
              </w:rPr>
              <w:t>.</w:t>
            </w:r>
            <w:r>
              <w:rPr>
                <w:rFonts w:hint="eastAsia" w:ascii="楷体" w:hAnsi="楷体" w:eastAsia="楷体" w:cs="宋体"/>
                <w:color w:val="000000" w:themeColor="text1"/>
                <w:kern w:val="0"/>
                <w:lang w:val="zh-CN"/>
                <w14:textFill>
                  <w14:solidFill>
                    <w14:schemeClr w14:val="tx1"/>
                  </w14:solidFill>
                </w14:textFill>
              </w:rPr>
              <w:t>提供合同复印件，“合同标的”“日期”“签字盖章”等信息应在合同复印件中有体现；3</w:t>
            </w:r>
            <w:r>
              <w:rPr>
                <w:rFonts w:ascii="楷体" w:hAnsi="楷体" w:eastAsia="楷体" w:cs="宋体"/>
                <w:color w:val="000000" w:themeColor="text1"/>
                <w:kern w:val="0"/>
                <w:lang w:val="zh-CN"/>
                <w14:textFill>
                  <w14:solidFill>
                    <w14:schemeClr w14:val="tx1"/>
                  </w14:solidFill>
                </w14:textFill>
              </w:rPr>
              <w:t>.未按要求提供类似业绩证明材料或提供的</w:t>
            </w:r>
            <w:r>
              <w:rPr>
                <w:rFonts w:hint="eastAsia" w:ascii="楷体" w:hAnsi="楷体" w:eastAsia="楷体" w:cs="宋体"/>
                <w:color w:val="000000" w:themeColor="text1"/>
                <w:kern w:val="0"/>
                <w:lang w:val="zh-CN"/>
                <w14:textFill>
                  <w14:solidFill>
                    <w14:schemeClr w14:val="tx1"/>
                  </w14:solidFill>
                </w14:textFill>
              </w:rPr>
              <w:t>证明</w:t>
            </w:r>
            <w:r>
              <w:rPr>
                <w:rFonts w:ascii="楷体" w:hAnsi="楷体" w:eastAsia="楷体" w:cs="宋体"/>
                <w:color w:val="000000" w:themeColor="text1"/>
                <w:kern w:val="0"/>
                <w:lang w:val="zh-CN"/>
                <w14:textFill>
                  <w14:solidFill>
                    <w14:schemeClr w14:val="tx1"/>
                  </w14:solidFill>
                </w14:textFill>
              </w:rPr>
              <w:t>材料不符合要求，</w:t>
            </w:r>
            <w:r>
              <w:rPr>
                <w:rFonts w:hint="eastAsia" w:ascii="楷体" w:hAnsi="楷体" w:eastAsia="楷体" w:cs="宋体"/>
                <w:color w:val="000000" w:themeColor="text1"/>
                <w:kern w:val="0"/>
                <w:lang w:val="zh-CN"/>
                <w14:textFill>
                  <w14:solidFill>
                    <w14:schemeClr w14:val="tx1"/>
                  </w14:solidFill>
                </w14:textFill>
              </w:rPr>
              <w:t>评审时不予加分。</w:t>
            </w:r>
          </w:p>
        </w:tc>
      </w:tr>
    </w:tbl>
    <w:p>
      <w:pPr>
        <w:pStyle w:val="5"/>
        <w:rPr>
          <w:color w:val="000000" w:themeColor="text1"/>
          <w14:textFill>
            <w14:solidFill>
              <w14:schemeClr w14:val="tx1"/>
            </w14:solidFill>
          </w14:textFill>
        </w:rPr>
      </w:pPr>
    </w:p>
    <w:p>
      <w:pPr>
        <w:widowControl/>
        <w:jc w:val="left"/>
        <w:rPr>
          <w:rFonts w:asciiTheme="minorEastAsia" w:hAnsiTheme="minorEastAsia" w:eastAsiaTheme="minorEastAsia"/>
          <w:b/>
          <w:bCs/>
          <w:color w:val="000000" w:themeColor="text1"/>
          <w:sz w:val="32"/>
          <w:szCs w:val="32"/>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6"/>
        <w:spacing w:before="0" w:after="156" w:afterLines="50" w:line="360" w:lineRule="auto"/>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2. 其他非必备证明材料</w:t>
      </w:r>
    </w:p>
    <w:p>
      <w:pPr>
        <w:adjustRightInd w:val="0"/>
        <w:spacing w:line="400" w:lineRule="exact"/>
        <w:jc w:val="center"/>
        <w:rPr>
          <w:rFonts w:ascii="宋体" w:hAnsi="宋体"/>
          <w:b/>
          <w:bCs/>
          <w:color w:val="000000" w:themeColor="text1"/>
          <w:sz w:val="36"/>
          <w:szCs w:val="36"/>
          <w14:textFill>
            <w14:solidFill>
              <w14:schemeClr w14:val="tx1"/>
            </w14:solidFill>
          </w14:textFill>
        </w:rPr>
      </w:pPr>
    </w:p>
    <w:p>
      <w:pPr>
        <w:pStyle w:val="10"/>
        <w:adjustRightInd w:val="0"/>
        <w:snapToGrid w:val="0"/>
        <w:spacing w:line="360" w:lineRule="auto"/>
        <w:rPr>
          <w:rFonts w:hAnsi="宋体"/>
          <w:color w:val="000000" w:themeColor="text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说明：其他证明材料包括但不限于质量管理体系认证证书、环境管理体系认证证书等</w:t>
      </w:r>
      <w:r>
        <w:rPr>
          <w:rFonts w:hint="eastAsia" w:hAnsi="宋体"/>
          <w:color w:val="000000" w:themeColor="text1"/>
          <w14:textFill>
            <w14:solidFill>
              <w14:schemeClr w14:val="tx1"/>
            </w14:solidFill>
          </w14:textFill>
        </w:rPr>
        <w:t>荣誉或信誉认证证书，</w:t>
      </w:r>
      <w:r>
        <w:rPr>
          <w:rFonts w:hint="eastAsia" w:ascii="宋体" w:hAnsi="宋体"/>
          <w:color w:val="000000" w:themeColor="text1"/>
          <w:szCs w:val="21"/>
          <w14:textFill>
            <w14:solidFill>
              <w14:schemeClr w14:val="tx1"/>
            </w14:solidFill>
          </w14:textFill>
        </w:rPr>
        <w:t>非必备证明材料，有需要时仅作为评审参考。</w:t>
      </w:r>
    </w:p>
    <w:p>
      <w:pPr>
        <w:widowControl/>
        <w:jc w:val="left"/>
      </w:pPr>
      <w:r>
        <w:br w:type="page"/>
      </w:r>
    </w:p>
    <w:p>
      <w:pPr>
        <w:pStyle w:val="22"/>
        <w:spacing w:before="156" w:beforeLines="50" w:after="156" w:afterLines="50" w:line="360" w:lineRule="auto"/>
        <w:ind w:firstLine="640"/>
        <w:jc w:val="center"/>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七、服务要求偏离表</w:t>
      </w:r>
    </w:p>
    <w:p>
      <w:pPr>
        <w:pStyle w:val="22"/>
        <w:spacing w:after="156" w:afterLines="50"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项目编号：</w:t>
      </w:r>
      <w:r>
        <w:rPr>
          <w:rFonts w:hint="eastAsia" w:asciiTheme="minorEastAsia" w:hAnsiTheme="minorEastAsia" w:eastAsiaTheme="minorEastAsia"/>
          <w:color w:val="000000" w:themeColor="text1"/>
          <w14:textFill>
            <w14:solidFill>
              <w14:schemeClr w14:val="tx1"/>
            </w14:solidFill>
          </w14:textFill>
        </w:rPr>
        <w:t xml:space="preserve"> </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lang w:val="en-US" w:eastAsia="zh-CN"/>
          <w14:textFill>
            <w14:solidFill>
              <w14:schemeClr w14:val="tx1"/>
            </w14:solidFill>
          </w14:textFill>
        </w:rPr>
        <w:t xml:space="preserve">          </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采购包号：</w:t>
      </w:r>
    </w:p>
    <w:tbl>
      <w:tblPr>
        <w:tblStyle w:val="17"/>
        <w:tblW w:w="93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134"/>
        <w:gridCol w:w="1985"/>
        <w:gridCol w:w="1701"/>
        <w:gridCol w:w="1417"/>
        <w:gridCol w:w="24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94" w:type="dxa"/>
            <w:vAlign w:val="center"/>
          </w:tcPr>
          <w:p>
            <w:pPr>
              <w:adjustRightInd w:val="0"/>
              <w:snapToGrid w:val="0"/>
              <w:ind w:right="23"/>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序号</w:t>
            </w:r>
          </w:p>
        </w:tc>
        <w:tc>
          <w:tcPr>
            <w:tcW w:w="1134" w:type="dxa"/>
            <w:vAlign w:val="center"/>
          </w:tcPr>
          <w:p>
            <w:pPr>
              <w:adjustRightInd w:val="0"/>
              <w:snapToGrid w:val="0"/>
              <w:ind w:right="23"/>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文件</w:t>
            </w:r>
          </w:p>
          <w:p>
            <w:pPr>
              <w:adjustRightInd w:val="0"/>
              <w:snapToGrid w:val="0"/>
              <w:ind w:right="23"/>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条目号</w:t>
            </w:r>
          </w:p>
        </w:tc>
        <w:tc>
          <w:tcPr>
            <w:tcW w:w="1985" w:type="dxa"/>
            <w:vAlign w:val="center"/>
          </w:tcPr>
          <w:p>
            <w:pPr>
              <w:adjustRightInd w:val="0"/>
              <w:snapToGrid w:val="0"/>
              <w:ind w:right="23"/>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磋商文件服务</w:t>
            </w:r>
          </w:p>
          <w:p>
            <w:pPr>
              <w:adjustRightInd w:val="0"/>
              <w:snapToGrid w:val="0"/>
              <w:ind w:right="23"/>
              <w:jc w:val="center"/>
              <w:rPr>
                <w:rFonts w:ascii="宋体" w:hAnsi="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（技术）</w:t>
            </w:r>
            <w:r>
              <w:rPr>
                <w:rFonts w:hint="eastAsia" w:ascii="宋体" w:hAnsi="宋体"/>
                <w:b/>
                <w:bCs/>
                <w:color w:val="000000" w:themeColor="text1"/>
                <w:szCs w:val="21"/>
                <w14:textFill>
                  <w14:solidFill>
                    <w14:schemeClr w14:val="tx1"/>
                  </w14:solidFill>
                </w14:textFill>
              </w:rPr>
              <w:t>要求</w:t>
            </w:r>
          </w:p>
        </w:tc>
        <w:tc>
          <w:tcPr>
            <w:tcW w:w="1701" w:type="dxa"/>
            <w:vAlign w:val="center"/>
          </w:tcPr>
          <w:p>
            <w:pPr>
              <w:adjustRightInd w:val="0"/>
              <w:snapToGrid w:val="0"/>
              <w:ind w:right="23"/>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响应文件服务</w:t>
            </w:r>
          </w:p>
          <w:p>
            <w:pPr>
              <w:adjustRightInd w:val="0"/>
              <w:snapToGrid w:val="0"/>
              <w:ind w:right="23"/>
              <w:jc w:val="center"/>
              <w:rPr>
                <w:rFonts w:ascii="宋体" w:hAnsi="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（技术）响应</w:t>
            </w:r>
          </w:p>
        </w:tc>
        <w:tc>
          <w:tcPr>
            <w:tcW w:w="1417" w:type="dxa"/>
            <w:vAlign w:val="center"/>
          </w:tcPr>
          <w:p>
            <w:pPr>
              <w:adjustRightInd w:val="0"/>
              <w:snapToGrid w:val="0"/>
              <w:ind w:right="23"/>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偏离</w:t>
            </w:r>
          </w:p>
        </w:tc>
        <w:tc>
          <w:tcPr>
            <w:tcW w:w="2427" w:type="dxa"/>
            <w:vAlign w:val="center"/>
          </w:tcPr>
          <w:p>
            <w:pPr>
              <w:adjustRightInd w:val="0"/>
              <w:snapToGrid w:val="0"/>
              <w:ind w:right="23"/>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偏离及其影响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13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985"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701"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41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242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13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985"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701"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41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242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13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985"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701"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41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242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13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985"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701"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41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242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13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985"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701"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41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242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13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985"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701"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41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242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13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985"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701"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41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242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13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985"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701"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41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242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13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985"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701"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41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242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13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985"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701"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41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242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13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985"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701"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41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242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13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985"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701"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41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242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13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985"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701"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41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242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134"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985"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701"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141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c>
          <w:tcPr>
            <w:tcW w:w="2427" w:type="dxa"/>
          </w:tcPr>
          <w:p>
            <w:pPr>
              <w:adjustRightInd w:val="0"/>
              <w:snapToGrid w:val="0"/>
              <w:spacing w:line="360" w:lineRule="auto"/>
              <w:ind w:right="24"/>
              <w:rPr>
                <w:rFonts w:ascii="宋体" w:hAnsi="宋体"/>
                <w:b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4" w:type="dxa"/>
            <w:vAlign w:val="center"/>
          </w:tcPr>
          <w:p>
            <w:pPr>
              <w:adjustRightInd w:val="0"/>
              <w:snapToGrid w:val="0"/>
              <w:ind w:right="23"/>
              <w:jc w:val="center"/>
              <w:rPr>
                <w:rFonts w:ascii="宋体" w:hAnsi="宋体"/>
                <w:bCs/>
                <w:color w:val="000000" w:themeColor="text1"/>
                <w:sz w:val="24"/>
                <w14:textFill>
                  <w14:solidFill>
                    <w14:schemeClr w14:val="tx1"/>
                  </w14:solidFill>
                </w14:textFill>
              </w:rPr>
            </w:pPr>
            <w:r>
              <w:rPr>
                <w:rFonts w:hint="eastAsia" w:ascii="宋体" w:hAnsi="宋体"/>
                <w:b/>
                <w:bCs/>
                <w:color w:val="000000" w:themeColor="text1"/>
                <w:szCs w:val="21"/>
                <w14:textFill>
                  <w14:solidFill>
                    <w14:schemeClr w14:val="tx1"/>
                  </w14:solidFill>
                </w14:textFill>
              </w:rPr>
              <w:t>说明</w:t>
            </w:r>
          </w:p>
        </w:tc>
        <w:tc>
          <w:tcPr>
            <w:tcW w:w="8664" w:type="dxa"/>
            <w:gridSpan w:val="5"/>
          </w:tcPr>
          <w:p>
            <w:pPr>
              <w:rPr>
                <w:rFonts w:ascii="楷体" w:hAnsi="楷体" w:eastAsia="楷体"/>
                <w:color w:val="000000"/>
                <w:szCs w:val="21"/>
              </w:rPr>
            </w:pPr>
            <w:r>
              <w:rPr>
                <w:rFonts w:hint="eastAsia" w:ascii="楷体" w:hAnsi="楷体" w:eastAsia="楷体"/>
                <w:color w:val="000000"/>
                <w:szCs w:val="21"/>
              </w:rPr>
              <w:t>1.偏离应按照磋商文件第二章第1.11条款定义理解，本表只填写有偏离的情况。</w:t>
            </w:r>
          </w:p>
          <w:p>
            <w:pPr>
              <w:spacing w:line="400" w:lineRule="exact"/>
              <w:ind w:left="-141" w:leftChars="-67"/>
              <w:rPr>
                <w:rFonts w:ascii="楷体" w:hAnsi="楷体" w:eastAsia="楷体"/>
              </w:rPr>
            </w:pPr>
            <w:r>
              <w:rPr>
                <w:rFonts w:hint="eastAsia" w:ascii="楷体" w:hAnsi="楷体" w:eastAsia="楷体"/>
                <w:color w:val="000000"/>
                <w:szCs w:val="21"/>
              </w:rPr>
              <w:t>2.对技术条款中所有要求，除本表所列出偏离外，均视为供应商响应其余全部技术条款要求；如供应商响应磋商文件所有技术条款要求的，必须提交空白表，如不提供此表，则视为供应商不满足采购文件的技术要求。3</w:t>
            </w:r>
            <w:r>
              <w:rPr>
                <w:rFonts w:ascii="楷体" w:hAnsi="楷体" w:eastAsia="楷体"/>
                <w:color w:val="000000"/>
                <w:szCs w:val="21"/>
              </w:rPr>
              <w:t>.</w:t>
            </w:r>
            <w:r>
              <w:rPr>
                <w:rFonts w:hint="eastAsia" w:ascii="楷体" w:hAnsi="楷体" w:eastAsia="楷体"/>
                <w:color w:val="000000"/>
                <w:szCs w:val="21"/>
              </w:rPr>
              <w:t>供应商必须据实填写，不得虚假响应，否则按无效响应处理</w:t>
            </w:r>
          </w:p>
        </w:tc>
      </w:tr>
    </w:tbl>
    <w:p>
      <w:pPr>
        <w:adjustRightInd w:val="0"/>
        <w:spacing w:after="312" w:afterLines="100"/>
        <w:jc w:val="left"/>
        <w:rPr>
          <w:rFonts w:ascii="宋体" w:hAnsi="宋体"/>
          <w:bCs/>
          <w:color w:val="000000" w:themeColor="text1"/>
          <w:szCs w:val="21"/>
          <w14:textFill>
            <w14:solidFill>
              <w14:schemeClr w14:val="tx1"/>
            </w14:solidFill>
          </w14:textFill>
        </w:rPr>
      </w:pPr>
    </w:p>
    <w:p>
      <w:pPr>
        <w:adjustRightInd w:val="0"/>
        <w:spacing w:line="400" w:lineRule="exact"/>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供应商名称：</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（盖单位章）</w:t>
      </w:r>
    </w:p>
    <w:p>
      <w:pPr>
        <w:adjustRightInd w:val="0"/>
        <w:spacing w:line="400" w:lineRule="exact"/>
        <w:ind w:firstLine="367" w:firstLineChars="175"/>
        <w:jc w:val="left"/>
        <w:rPr>
          <w:rFonts w:ascii="宋体" w:hAnsi="宋体"/>
          <w:color w:val="000000" w:themeColor="text1"/>
          <w:szCs w:val="21"/>
          <w14:textFill>
            <w14:solidFill>
              <w14:schemeClr w14:val="tx1"/>
            </w14:solidFill>
          </w14:textFill>
        </w:rPr>
      </w:pPr>
    </w:p>
    <w:p>
      <w:pPr>
        <w:pStyle w:val="8"/>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法定代表人（单位负责人）或委托代理人：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（签名）</w:t>
      </w:r>
      <w:r>
        <w:rPr>
          <w:rFonts w:hint="eastAsia" w:ascii="宋体" w:hAnsi="宋体"/>
          <w:bCs/>
          <w:color w:val="000000" w:themeColor="text1"/>
          <w:szCs w:val="21"/>
          <w14:textFill>
            <w14:solidFill>
              <w14:schemeClr w14:val="tx1"/>
            </w14:solidFill>
          </w14:textFill>
        </w:rPr>
        <w:t xml:space="preserve">                </w:t>
      </w:r>
    </w:p>
    <w:p>
      <w:pPr>
        <w:adjustRightInd w:val="0"/>
        <w:spacing w:before="312" w:beforeLines="100" w:line="400" w:lineRule="exact"/>
        <w:jc w:val="left"/>
        <w:rPr>
          <w:rFonts w:ascii="黑体" w:hAnsi="宋体" w:eastAsia="黑体"/>
          <w:color w:val="000000" w:themeColor="text1"/>
          <w:sz w:val="32"/>
          <w:szCs w:val="32"/>
          <w14:textFill>
            <w14:solidFill>
              <w14:schemeClr w14:val="tx1"/>
            </w14:solidFill>
          </w14:textFill>
        </w:rPr>
      </w:pPr>
      <w:r>
        <w:rPr>
          <w:rFonts w:hint="eastAsia" w:ascii="宋体" w:hAnsi="宋体"/>
          <w:bCs/>
          <w:color w:val="000000" w:themeColor="text1"/>
          <w:szCs w:val="21"/>
          <w14:textFill>
            <w14:solidFill>
              <w14:schemeClr w14:val="tx1"/>
            </w14:solidFill>
          </w14:textFill>
        </w:rPr>
        <w:t>日    期:</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年</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月</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日</w:t>
      </w:r>
    </w:p>
    <w:p>
      <w:pPr>
        <w:widowControl/>
        <w:jc w:val="left"/>
        <w:rPr>
          <w:rFonts w:ascii="黑体" w:hAnsi="宋体" w:eastAsia="黑体"/>
          <w:color w:val="000000" w:themeColor="text1"/>
          <w:sz w:val="32"/>
          <w:szCs w:val="32"/>
          <w14:textFill>
            <w14:solidFill>
              <w14:schemeClr w14:val="tx1"/>
            </w14:solidFill>
          </w14:textFill>
        </w:rPr>
      </w:pPr>
      <w:r>
        <w:rPr>
          <w:rFonts w:ascii="黑体" w:hAnsi="宋体" w:eastAsia="黑体"/>
          <w:color w:val="000000" w:themeColor="text1"/>
          <w:sz w:val="32"/>
          <w:szCs w:val="32"/>
          <w14:textFill>
            <w14:solidFill>
              <w14:schemeClr w14:val="tx1"/>
            </w14:solidFill>
          </w14:textFill>
        </w:rPr>
        <w:br w:type="page"/>
      </w:r>
    </w:p>
    <w:p>
      <w:pPr>
        <w:pStyle w:val="22"/>
        <w:spacing w:before="156" w:beforeLines="50" w:after="156" w:afterLines="50" w:line="360" w:lineRule="auto"/>
        <w:ind w:firstLine="640"/>
        <w:jc w:val="center"/>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八、技术文件（响应方案）</w:t>
      </w:r>
    </w:p>
    <w:p>
      <w:pPr>
        <w:pStyle w:val="22"/>
        <w:spacing w:before="156" w:beforeLines="50" w:after="156" w:afterLines="50" w:line="360" w:lineRule="auto"/>
        <w:ind w:firstLine="640"/>
        <w:jc w:val="center"/>
        <w:rPr>
          <w:rFonts w:ascii="黑体" w:hAnsi="宋体" w:eastAsia="黑体"/>
          <w:color w:val="000000" w:themeColor="text1"/>
          <w:sz w:val="32"/>
          <w:szCs w:val="32"/>
          <w14:textFill>
            <w14:solidFill>
              <w14:schemeClr w14:val="tx1"/>
            </w14:solidFill>
          </w14:textFill>
        </w:rPr>
      </w:pPr>
    </w:p>
    <w:p>
      <w:pPr>
        <w:pStyle w:val="22"/>
        <w:spacing w:before="156" w:beforeLines="50" w:after="156" w:afterLines="50" w:line="360" w:lineRule="auto"/>
        <w:ind w:firstLine="640"/>
        <w:jc w:val="center"/>
        <w:rPr>
          <w:rFonts w:ascii="黑体" w:hAnsi="宋体" w:eastAsia="黑体"/>
          <w:color w:val="000000" w:themeColor="text1"/>
          <w:sz w:val="32"/>
          <w:szCs w:val="32"/>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说明：包括（但不限于）磋商文件中规定的全部技术要求内容，格式自定。</w:t>
      </w:r>
    </w:p>
    <w:p>
      <w:pPr>
        <w:widowControl/>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pStyle w:val="22"/>
        <w:spacing w:before="156" w:beforeLines="50" w:after="156" w:afterLines="50" w:line="360" w:lineRule="auto"/>
        <w:ind w:firstLine="640"/>
        <w:jc w:val="center"/>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九、供应商认为有必要补充说明的事项</w:t>
      </w:r>
    </w:p>
    <w:p>
      <w:pPr>
        <w:pStyle w:val="22"/>
        <w:spacing w:line="400" w:lineRule="exact"/>
        <w:ind w:firstLine="480"/>
        <w:rPr>
          <w:color w:val="000000" w:themeColor="text1"/>
          <w14:textFill>
            <w14:solidFill>
              <w14:schemeClr w14:val="tx1"/>
            </w14:solidFill>
          </w14:textFill>
        </w:rPr>
      </w:pPr>
    </w:p>
    <w:p>
      <w:pPr>
        <w:pStyle w:val="22"/>
        <w:spacing w:line="400" w:lineRule="exact"/>
        <w:ind w:firstLine="480"/>
        <w:rPr>
          <w:color w:val="000000" w:themeColor="text1"/>
          <w14:textFill>
            <w14:solidFill>
              <w14:schemeClr w14:val="tx1"/>
            </w14:solidFill>
          </w14:textFill>
        </w:rPr>
      </w:pPr>
    </w:p>
    <w:p>
      <w:pPr>
        <w:pStyle w:val="22"/>
        <w:spacing w:line="400" w:lineRule="exact"/>
        <w:ind w:firstLine="21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说明：包含但不限于磋商文件要求，供应商认为有必要补充说明的其他事项，格式自定。</w:t>
      </w:r>
    </w:p>
    <w:p>
      <w:pPr>
        <w:rPr>
          <w:color w:val="000000" w:themeColor="text1"/>
          <w14:textFill>
            <w14:solidFill>
              <w14:schemeClr w14:val="tx1"/>
            </w14:solidFill>
          </w14:textFill>
        </w:rPr>
      </w:pPr>
    </w:p>
    <w:p>
      <w:pPr>
        <w:pStyle w:val="25"/>
        <w:rPr>
          <w:rFonts w:hint="eastAsia" w:eastAsiaTheme="minorEastAsia"/>
          <w:lang w:eastAsia="zh-CN"/>
        </w:rPr>
      </w:pPr>
      <w:r>
        <w:t xml:space="preserve"> </w:t>
      </w:r>
    </w:p>
    <w:p>
      <w:pPr>
        <w:pStyle w:val="25"/>
      </w:pPr>
      <w:r>
        <w:br w:type="page"/>
      </w:r>
    </w:p>
    <w:p>
      <w:pPr>
        <w:spacing w:before="58" w:line="220" w:lineRule="auto"/>
        <w:jc w:val="center"/>
        <w:outlineLvl w:val="0"/>
        <w:rPr>
          <w:rFonts w:hint="default" w:ascii="宋体" w:hAnsi="宋体" w:eastAsia="宋体" w:cs="宋体"/>
          <w:spacing w:val="6"/>
          <w:sz w:val="32"/>
          <w:szCs w:val="32"/>
          <w:highlight w:val="none"/>
          <w:lang w:val="en-US" w:eastAsia="zh-CN"/>
        </w:rPr>
      </w:pPr>
      <w:r>
        <w:rPr>
          <w:rFonts w:hint="eastAsia" w:ascii="宋体" w:hAnsi="宋体" w:eastAsia="宋体" w:cs="宋体"/>
          <w:spacing w:val="6"/>
          <w:sz w:val="32"/>
          <w:szCs w:val="32"/>
          <w:highlight w:val="none"/>
          <w:lang w:eastAsia="zh-CN"/>
        </w:rPr>
        <w:t>第八章</w:t>
      </w:r>
      <w:r>
        <w:rPr>
          <w:rFonts w:hint="eastAsia" w:ascii="宋体" w:hAnsi="宋体" w:eastAsia="宋体" w:cs="宋体"/>
          <w:spacing w:val="6"/>
          <w:sz w:val="32"/>
          <w:szCs w:val="32"/>
          <w:highlight w:val="none"/>
          <w:lang w:val="en-US" w:eastAsia="zh-CN"/>
        </w:rPr>
        <w:t xml:space="preserve"> 拟签订采购合同文本</w:t>
      </w:r>
    </w:p>
    <w:p>
      <w:pPr>
        <w:pStyle w:val="3"/>
        <w:spacing w:line="343" w:lineRule="auto"/>
        <w:rPr>
          <w:rFonts w:hint="eastAsia" w:ascii="宋体" w:hAnsi="宋体" w:eastAsia="宋体" w:cs="宋体"/>
          <w:highlight w:val="none"/>
        </w:rPr>
      </w:pPr>
    </w:p>
    <w:p>
      <w:pPr>
        <w:pStyle w:val="23"/>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合同编号： </w:t>
      </w:r>
    </w:p>
    <w:p>
      <w:pPr>
        <w:pStyle w:val="23"/>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签订地点： </w:t>
      </w:r>
    </w:p>
    <w:p>
      <w:pPr>
        <w:pStyle w:val="23"/>
        <w:spacing w:line="360" w:lineRule="auto"/>
        <w:ind w:firstLine="420"/>
        <w:rPr>
          <w:rFonts w:hint="eastAsia" w:ascii="宋体" w:hAnsi="宋体" w:eastAsia="宋体" w:cs="宋体"/>
          <w:sz w:val="24"/>
          <w:szCs w:val="24"/>
        </w:rPr>
      </w:pPr>
      <w:r>
        <w:rPr>
          <w:rFonts w:hint="eastAsia" w:ascii="宋体" w:hAnsi="宋体" w:eastAsia="宋体" w:cs="宋体"/>
          <w:sz w:val="24"/>
          <w:szCs w:val="24"/>
        </w:rPr>
        <w:t>签订时间:</w:t>
      </w:r>
    </w:p>
    <w:p>
      <w:pPr>
        <w:pStyle w:val="23"/>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eastAsia="zh-CN"/>
        </w:rPr>
        <w:t>是否</w:t>
      </w:r>
      <w:r>
        <w:rPr>
          <w:rFonts w:hint="eastAsia" w:ascii="宋体" w:hAnsi="宋体" w:eastAsia="宋体" w:cs="宋体"/>
          <w:sz w:val="24"/>
          <w:szCs w:val="24"/>
        </w:rPr>
        <w:t>为中小企业预留份额合同</w:t>
      </w:r>
      <w:r>
        <w:rPr>
          <w:rFonts w:hint="eastAsia" w:ascii="宋体" w:hAnsi="宋体" w:eastAsia="宋体" w:cs="宋体"/>
          <w:sz w:val="24"/>
          <w:szCs w:val="24"/>
          <w:lang w:val="en-US" w:eastAsia="zh-CN"/>
        </w:rPr>
        <w:t xml:space="preserve">       □是       </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lang w:val="en-US" w:eastAsia="zh-CN"/>
        </w:rPr>
        <w:t xml:space="preserve"> 否</w:t>
      </w:r>
    </w:p>
    <w:p>
      <w:pPr>
        <w:pStyle w:val="23"/>
        <w:spacing w:line="360" w:lineRule="auto"/>
        <w:ind w:firstLine="420"/>
        <w:rPr>
          <w:rFonts w:hint="eastAsia" w:ascii="宋体" w:hAnsi="宋体" w:eastAsia="宋体" w:cs="宋体"/>
          <w:sz w:val="24"/>
          <w:szCs w:val="24"/>
        </w:rPr>
      </w:pPr>
      <w:r>
        <w:rPr>
          <w:rFonts w:hint="eastAsia" w:ascii="宋体" w:hAnsi="宋体" w:eastAsia="宋体" w:cs="宋体"/>
          <w:sz w:val="24"/>
          <w:szCs w:val="24"/>
        </w:rPr>
        <w:t>采购人（甲方）：</w:t>
      </w:r>
    </w:p>
    <w:p>
      <w:pPr>
        <w:pStyle w:val="23"/>
        <w:spacing w:line="360" w:lineRule="auto"/>
        <w:ind w:firstLine="420"/>
        <w:rPr>
          <w:rFonts w:hint="eastAsia" w:ascii="宋体" w:hAnsi="宋体" w:eastAsia="宋体" w:cs="宋体"/>
          <w:sz w:val="24"/>
          <w:szCs w:val="24"/>
        </w:rPr>
      </w:pPr>
      <w:r>
        <w:rPr>
          <w:rFonts w:hint="eastAsia" w:ascii="宋体" w:hAnsi="宋体" w:eastAsia="宋体" w:cs="宋体"/>
          <w:sz w:val="24"/>
          <w:szCs w:val="24"/>
        </w:rPr>
        <w:t>供应商（乙方）：</w:t>
      </w:r>
    </w:p>
    <w:p>
      <w:pPr>
        <w:pStyle w:val="23"/>
        <w:ind w:firstLine="562"/>
        <w:rPr>
          <w:rFonts w:hint="eastAsia" w:ascii="仿宋_GB2312" w:hAnsi="宋体" w:eastAsia="仿宋_GB2312"/>
          <w:b/>
          <w:sz w:val="28"/>
          <w:szCs w:val="28"/>
        </w:rPr>
      </w:pPr>
    </w:p>
    <w:p>
      <w:pPr>
        <w:pStyle w:val="23"/>
        <w:spacing w:before="120" w:beforeLines="50" w:line="360" w:lineRule="auto"/>
        <w:ind w:firstLine="420"/>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根据《中华人民共和国政府采购法》及实施条例、《中华人民共和国民法典》和甲方</w:t>
      </w:r>
      <w:r>
        <w:rPr>
          <w:rFonts w:hint="eastAsia" w:ascii="宋体" w:hAnsi="宋体" w:eastAsia="宋体" w:cs="宋体"/>
          <w:color w:val="auto"/>
          <w:sz w:val="24"/>
          <w:szCs w:val="21"/>
          <w:highlight w:val="none"/>
          <w:u w:val="single"/>
          <w:lang w:val="en-US" w:eastAsia="zh-CN" w:bidi="ar-SA"/>
        </w:rPr>
        <w:t>智慧城管服务项目</w:t>
      </w:r>
      <w:r>
        <w:rPr>
          <w:rFonts w:hint="eastAsia" w:ascii="宋体" w:hAnsi="宋体" w:eastAsia="宋体" w:cs="宋体"/>
          <w:color w:val="auto"/>
          <w:sz w:val="24"/>
          <w:szCs w:val="21"/>
          <w:highlight w:val="none"/>
          <w:lang w:val="en-US" w:eastAsia="zh-CN" w:bidi="ar-SA"/>
        </w:rPr>
        <w:t>（采购项目编号：SXLX24-01-024Z(F)）的磋商文件、响应文件等有关规定，为确保甲方采购项目的顺利实施，甲、乙双方在平等自愿原则下签订本合同，并共同遵守如下条款：</w:t>
      </w:r>
    </w:p>
    <w:p>
      <w:pPr>
        <w:numPr>
          <w:ilvl w:val="0"/>
          <w:numId w:val="6"/>
        </w:numPr>
        <w:tabs>
          <w:tab w:val="left" w:pos="1379"/>
          <w:tab w:val="clear" w:pos="1521"/>
        </w:tabs>
        <w:spacing w:before="120" w:beforeLines="50" w:after="120" w:afterLines="50" w:line="360" w:lineRule="auto"/>
        <w:ind w:left="1724" w:leftChars="0" w:hanging="1094" w:firstLineChars="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项目基本情况</w:t>
      </w:r>
    </w:p>
    <w:p>
      <w:pPr>
        <w:spacing w:line="360" w:lineRule="auto"/>
        <w:ind w:firstLine="720" w:firstLineChars="300"/>
        <w:rPr>
          <w:rFonts w:hint="eastAsia" w:ascii="宋体" w:hAnsi="宋体" w:eastAsia="宋体" w:cs="宋体"/>
          <w:snapToGrid w:val="0"/>
          <w:color w:val="auto"/>
          <w:kern w:val="0"/>
          <w:sz w:val="24"/>
          <w:szCs w:val="21"/>
          <w:highlight w:val="none"/>
          <w:u w:val="none"/>
          <w:lang w:val="zh-CN" w:eastAsia="zh-CN" w:bidi="ar-SA"/>
        </w:rPr>
      </w:pPr>
      <w:r>
        <w:rPr>
          <w:rFonts w:hint="eastAsia" w:ascii="宋体" w:hAnsi="宋体" w:eastAsia="宋体" w:cs="宋体"/>
          <w:snapToGrid w:val="0"/>
          <w:color w:val="auto"/>
          <w:kern w:val="0"/>
          <w:sz w:val="24"/>
          <w:szCs w:val="21"/>
          <w:highlight w:val="none"/>
          <w:u w:val="none"/>
          <w:lang w:val="zh-CN" w:eastAsia="zh-CN" w:bidi="ar-SA"/>
        </w:rPr>
        <w:t>智慧城管服务项目</w:t>
      </w:r>
    </w:p>
    <w:p>
      <w:pPr>
        <w:numPr>
          <w:ilvl w:val="0"/>
          <w:numId w:val="6"/>
        </w:numPr>
        <w:tabs>
          <w:tab w:val="left" w:pos="1379"/>
          <w:tab w:val="clear" w:pos="1521"/>
        </w:tabs>
        <w:spacing w:before="120" w:beforeLines="50" w:after="120" w:afterLines="50" w:line="360" w:lineRule="auto"/>
        <w:ind w:left="1724" w:leftChars="0" w:hanging="1094" w:firstLineChars="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合同期限</w:t>
      </w:r>
    </w:p>
    <w:p>
      <w:pPr>
        <w:spacing w:line="360" w:lineRule="auto"/>
        <w:ind w:firstLine="720" w:firstLineChars="300"/>
        <w:rPr>
          <w:rFonts w:hint="eastAsia" w:ascii="宋体" w:hAnsi="宋体" w:eastAsia="宋体" w:cs="宋体"/>
          <w:snapToGrid w:val="0"/>
          <w:color w:val="auto"/>
          <w:kern w:val="0"/>
          <w:sz w:val="24"/>
          <w:szCs w:val="21"/>
          <w:highlight w:val="none"/>
          <w:u w:val="none"/>
          <w:lang w:val="en-US" w:eastAsia="zh-CN" w:bidi="ar-SA"/>
        </w:rPr>
      </w:pPr>
      <w:bookmarkStart w:id="11" w:name="_Toc237145406"/>
      <w:bookmarkStart w:id="12" w:name="_Toc283019214"/>
      <w:bookmarkStart w:id="13" w:name="_Toc238984975"/>
      <w:bookmarkStart w:id="14" w:name="_Toc239233914"/>
      <w:bookmarkStart w:id="15" w:name="_Toc282696226"/>
      <w:bookmarkStart w:id="16" w:name="_Toc225670751"/>
      <w:bookmarkStart w:id="17" w:name="_Toc225654644"/>
      <w:bookmarkStart w:id="18" w:name="_Toc232492928"/>
      <w:bookmarkStart w:id="19" w:name="_Toc241833903"/>
      <w:bookmarkStart w:id="20" w:name="_Toc239568418"/>
      <w:bookmarkStart w:id="21" w:name="_Toc247334841"/>
      <w:bookmarkStart w:id="22" w:name="_Toc211854449"/>
      <w:bookmarkStart w:id="23" w:name="_Toc212019594"/>
      <w:bookmarkStart w:id="24" w:name="_Toc211911348"/>
      <w:bookmarkStart w:id="25" w:name="_Toc251768862"/>
      <w:bookmarkStart w:id="26" w:name="_Toc286993786"/>
      <w:bookmarkStart w:id="27" w:name="_Toc225244852"/>
      <w:bookmarkStart w:id="28" w:name="_Toc185395249"/>
      <w:r>
        <w:rPr>
          <w:rFonts w:hint="eastAsia" w:ascii="宋体" w:hAnsi="宋体" w:eastAsia="宋体" w:cs="宋体"/>
          <w:snapToGrid w:val="0"/>
          <w:color w:val="auto"/>
          <w:kern w:val="0"/>
          <w:sz w:val="24"/>
          <w:szCs w:val="21"/>
          <w:highlight w:val="none"/>
          <w:u w:val="none"/>
          <w:lang w:val="zh-CN" w:eastAsia="zh-CN" w:bidi="ar-SA"/>
        </w:rPr>
        <w:t>合同签订后两年</w:t>
      </w:r>
    </w:p>
    <w:p>
      <w:pPr>
        <w:numPr>
          <w:ilvl w:val="0"/>
          <w:numId w:val="6"/>
        </w:numPr>
        <w:tabs>
          <w:tab w:val="left" w:pos="1379"/>
          <w:tab w:val="clear" w:pos="1521"/>
        </w:tabs>
        <w:spacing w:before="120" w:beforeLines="50" w:after="120" w:afterLines="50" w:line="360" w:lineRule="auto"/>
        <w:ind w:left="1724" w:leftChars="0" w:hanging="1094" w:firstLineChars="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服务内容</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质量标准</w:t>
      </w:r>
      <w:r>
        <w:rPr>
          <w:rFonts w:hint="eastAsia" w:ascii="宋体" w:hAnsi="宋体" w:eastAsia="宋体" w:cs="宋体"/>
          <w:b/>
          <w:color w:val="auto"/>
          <w:sz w:val="30"/>
          <w:szCs w:val="30"/>
          <w:highlight w:val="none"/>
          <w:lang w:val="en-US" w:eastAsia="zh-CN"/>
        </w:rPr>
        <w:t>及检查验收</w:t>
      </w:r>
    </w:p>
    <w:p>
      <w:pPr>
        <w:spacing w:line="360" w:lineRule="auto"/>
        <w:ind w:firstLine="720" w:firstLineChars="300"/>
        <w:rPr>
          <w:rFonts w:hint="eastAsia" w:ascii="宋体" w:hAnsi="宋体" w:eastAsia="宋体" w:cs="宋体"/>
          <w:snapToGrid w:val="0"/>
          <w:color w:val="auto"/>
          <w:kern w:val="0"/>
          <w:sz w:val="24"/>
          <w:szCs w:val="21"/>
          <w:highlight w:val="none"/>
          <w:u w:val="none"/>
          <w:lang w:val="zh-CN" w:eastAsia="zh-CN" w:bidi="ar-SA"/>
        </w:rPr>
      </w:pPr>
      <w:r>
        <w:rPr>
          <w:rFonts w:hint="eastAsia" w:ascii="宋体" w:hAnsi="宋体" w:eastAsia="宋体" w:cs="宋体"/>
          <w:snapToGrid w:val="0"/>
          <w:color w:val="auto"/>
          <w:kern w:val="0"/>
          <w:sz w:val="24"/>
          <w:szCs w:val="21"/>
          <w:highlight w:val="none"/>
          <w:u w:val="none"/>
          <w:lang w:val="zh-CN" w:eastAsia="zh-CN" w:bidi="ar-SA"/>
        </w:rPr>
        <w:t>服务内容：智慧城管服务项目</w:t>
      </w:r>
      <w:r>
        <w:rPr>
          <w:rFonts w:hint="eastAsia" w:ascii="宋体" w:hAnsi="宋体" w:eastAsia="宋体" w:cs="宋体"/>
          <w:snapToGrid w:val="0"/>
          <w:color w:val="auto"/>
          <w:kern w:val="0"/>
          <w:sz w:val="24"/>
          <w:szCs w:val="21"/>
          <w:highlight w:val="none"/>
          <w:u w:val="none"/>
          <w:lang w:val="en-US" w:eastAsia="zh-CN" w:bidi="ar-SA"/>
        </w:rPr>
        <w:t>，本项目需对“城管通”配套100个移动执法终端，并保证其运行环境的稳定性。</w:t>
      </w:r>
    </w:p>
    <w:p>
      <w:pPr>
        <w:spacing w:line="360" w:lineRule="auto"/>
        <w:ind w:firstLine="720" w:firstLineChars="300"/>
        <w:rPr>
          <w:rFonts w:hint="eastAsia" w:ascii="宋体" w:hAnsi="宋体" w:eastAsia="宋体" w:cs="宋体"/>
          <w:snapToGrid w:val="0"/>
          <w:color w:val="auto"/>
          <w:kern w:val="0"/>
          <w:sz w:val="24"/>
          <w:szCs w:val="21"/>
          <w:highlight w:val="none"/>
          <w:u w:val="none"/>
          <w:lang w:val="zh-CN" w:eastAsia="zh-CN" w:bidi="ar-SA"/>
        </w:rPr>
      </w:pPr>
      <w:r>
        <w:rPr>
          <w:rFonts w:hint="eastAsia" w:ascii="宋体" w:hAnsi="宋体" w:eastAsia="宋体" w:cs="宋体"/>
          <w:snapToGrid w:val="0"/>
          <w:color w:val="auto"/>
          <w:kern w:val="0"/>
          <w:sz w:val="24"/>
          <w:szCs w:val="21"/>
          <w:highlight w:val="none"/>
          <w:u w:val="none"/>
          <w:lang w:val="zh-CN" w:eastAsia="zh-CN" w:bidi="ar-SA"/>
        </w:rPr>
        <w:t>质量标准：执行国家标准及地方标准（如有）。</w:t>
      </w:r>
    </w:p>
    <w:p>
      <w:pPr>
        <w:spacing w:line="360" w:lineRule="auto"/>
        <w:ind w:firstLine="720" w:firstLineChars="300"/>
        <w:rPr>
          <w:rFonts w:hint="eastAsia" w:ascii="宋体" w:hAnsi="宋体" w:eastAsia="宋体" w:cs="宋体"/>
          <w:snapToGrid w:val="0"/>
          <w:color w:val="auto"/>
          <w:kern w:val="0"/>
          <w:sz w:val="24"/>
          <w:szCs w:val="21"/>
          <w:highlight w:val="none"/>
          <w:u w:val="none"/>
          <w:lang w:val="zh-CN" w:eastAsia="zh-CN" w:bidi="ar-SA"/>
        </w:rPr>
      </w:pPr>
      <w:r>
        <w:rPr>
          <w:rFonts w:hint="eastAsia" w:ascii="宋体" w:hAnsi="宋体" w:eastAsia="宋体" w:cs="宋体"/>
          <w:snapToGrid w:val="0"/>
          <w:color w:val="auto"/>
          <w:kern w:val="0"/>
          <w:sz w:val="24"/>
          <w:szCs w:val="21"/>
          <w:highlight w:val="none"/>
          <w:u w:val="none"/>
          <w:lang w:val="zh-CN" w:eastAsia="zh-CN" w:bidi="ar-SA"/>
        </w:rPr>
        <w:t>采购人单位根据有关服务规范规定，不定期对服务方的服务进行检查，承包人须无条件的接受采购人的各类检查；若审查不通过或质量不合格，承包人应在一定期限进行整改完善，以采购人要求的标准提供合格服务；若承包人在接受检查整改后，仍不能提供符合采购要求的合格服务，采购人有权按违约予以撤项。</w:t>
      </w:r>
    </w:p>
    <w:p>
      <w:pPr>
        <w:numPr>
          <w:ilvl w:val="0"/>
          <w:numId w:val="6"/>
        </w:numPr>
        <w:tabs>
          <w:tab w:val="left" w:pos="1379"/>
          <w:tab w:val="clear" w:pos="1521"/>
        </w:tabs>
        <w:spacing w:before="120" w:beforeLines="50" w:after="120" w:afterLines="50" w:line="360" w:lineRule="auto"/>
        <w:ind w:left="1724" w:leftChars="0" w:hanging="1094" w:firstLineChars="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签约合同价</w:t>
      </w:r>
    </w:p>
    <w:p>
      <w:pPr>
        <w:spacing w:line="360" w:lineRule="auto"/>
        <w:ind w:firstLine="720" w:firstLineChars="300"/>
        <w:rPr>
          <w:rFonts w:hint="eastAsia" w:ascii="宋体" w:hAnsi="宋体" w:eastAsia="宋体" w:cs="宋体"/>
          <w:snapToGrid w:val="0"/>
          <w:color w:val="auto"/>
          <w:kern w:val="0"/>
          <w:sz w:val="24"/>
          <w:szCs w:val="21"/>
          <w:highlight w:val="none"/>
          <w:u w:val="none"/>
          <w:lang w:val="en-US" w:eastAsia="zh-CN" w:bidi="ar-SA"/>
        </w:rPr>
      </w:pPr>
      <w:r>
        <w:rPr>
          <w:rFonts w:hint="eastAsia" w:ascii="宋体" w:hAnsi="宋体" w:eastAsia="宋体" w:cs="宋体"/>
          <w:snapToGrid w:val="0"/>
          <w:color w:val="auto"/>
          <w:kern w:val="0"/>
          <w:sz w:val="24"/>
          <w:szCs w:val="21"/>
          <w:highlight w:val="none"/>
          <w:u w:val="none"/>
          <w:lang w:val="en-US" w:eastAsia="zh-CN" w:bidi="ar-SA"/>
        </w:rPr>
        <w:t>1.签约合同价为人民币（大写）：</w:t>
      </w:r>
      <w:r>
        <w:rPr>
          <w:rFonts w:hint="eastAsia" w:ascii="宋体" w:hAnsi="宋体" w:eastAsia="宋体" w:cs="宋体"/>
          <w:snapToGrid w:val="0"/>
          <w:color w:val="auto"/>
          <w:kern w:val="0"/>
          <w:sz w:val="24"/>
          <w:szCs w:val="21"/>
          <w:highlight w:val="none"/>
          <w:u w:val="single"/>
          <w:lang w:val="en-US" w:eastAsia="zh-CN" w:bidi="ar-SA"/>
        </w:rPr>
        <w:t xml:space="preserve">             </w:t>
      </w:r>
      <w:r>
        <w:rPr>
          <w:rFonts w:hint="eastAsia" w:ascii="宋体" w:hAnsi="宋体" w:eastAsia="宋体" w:cs="宋体"/>
          <w:snapToGrid w:val="0"/>
          <w:color w:val="auto"/>
          <w:kern w:val="0"/>
          <w:sz w:val="24"/>
          <w:szCs w:val="21"/>
          <w:highlight w:val="none"/>
          <w:u w:val="none"/>
          <w:lang w:val="en-US" w:eastAsia="zh-CN" w:bidi="ar-SA"/>
        </w:rPr>
        <w:t>元，￥</w:t>
      </w:r>
      <w:r>
        <w:rPr>
          <w:rFonts w:hint="eastAsia" w:ascii="宋体" w:hAnsi="宋体" w:eastAsia="宋体" w:cs="宋体"/>
          <w:snapToGrid w:val="0"/>
          <w:color w:val="auto"/>
          <w:kern w:val="0"/>
          <w:sz w:val="24"/>
          <w:szCs w:val="21"/>
          <w:highlight w:val="none"/>
          <w:u w:val="single"/>
          <w:lang w:val="en-US" w:eastAsia="zh-CN" w:bidi="ar-SA"/>
        </w:rPr>
        <w:t xml:space="preserve">           </w:t>
      </w:r>
      <w:r>
        <w:rPr>
          <w:rFonts w:hint="eastAsia" w:ascii="宋体" w:hAnsi="宋体" w:eastAsia="宋体" w:cs="宋体"/>
          <w:snapToGrid w:val="0"/>
          <w:color w:val="auto"/>
          <w:kern w:val="0"/>
          <w:sz w:val="24"/>
          <w:szCs w:val="21"/>
          <w:highlight w:val="none"/>
          <w:u w:val="none"/>
          <w:lang w:val="en-US" w:eastAsia="zh-CN" w:bidi="ar-SA"/>
        </w:rPr>
        <w:t>。</w:t>
      </w:r>
    </w:p>
    <w:p>
      <w:pPr>
        <w:spacing w:line="360" w:lineRule="auto"/>
        <w:ind w:firstLine="720" w:firstLineChars="300"/>
        <w:rPr>
          <w:rFonts w:hint="eastAsia" w:ascii="宋体" w:hAnsi="宋体" w:eastAsia="宋体" w:cs="宋体"/>
          <w:snapToGrid w:val="0"/>
          <w:color w:val="auto"/>
          <w:kern w:val="0"/>
          <w:sz w:val="24"/>
          <w:szCs w:val="21"/>
          <w:highlight w:val="none"/>
          <w:u w:val="none"/>
          <w:lang w:val="zh-CN" w:eastAsia="zh-CN" w:bidi="ar-SA"/>
        </w:rPr>
      </w:pPr>
      <w:r>
        <w:rPr>
          <w:rFonts w:hint="eastAsia" w:ascii="宋体" w:hAnsi="宋体" w:eastAsia="宋体" w:cs="宋体"/>
          <w:snapToGrid w:val="0"/>
          <w:color w:val="auto"/>
          <w:kern w:val="0"/>
          <w:sz w:val="24"/>
          <w:szCs w:val="21"/>
          <w:highlight w:val="none"/>
          <w:u w:val="none"/>
          <w:lang w:val="zh-CN" w:eastAsia="zh-CN" w:bidi="ar-SA"/>
        </w:rPr>
        <w:t>2.本合同执行期间服务总费用不变，甲方无须另向乙方支付本合同规定之外的其他任何费用。</w:t>
      </w:r>
    </w:p>
    <w:p>
      <w:pPr>
        <w:numPr>
          <w:ilvl w:val="0"/>
          <w:numId w:val="6"/>
        </w:numPr>
        <w:tabs>
          <w:tab w:val="left" w:pos="1379"/>
          <w:tab w:val="clear" w:pos="1521"/>
        </w:tabs>
        <w:spacing w:before="120" w:beforeLines="50" w:after="120" w:afterLines="50" w:line="360" w:lineRule="auto"/>
        <w:ind w:left="1724" w:leftChars="0" w:hanging="1094" w:firstLineChars="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服务费支付方式</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合同签订后10个工作日内，甲方向乙方支付合同金额的70%；</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服务期限满1年后，甲方向乙方支付合同金额的25%；</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服务期限结束后，甲方向乙方支付合同金额的5%；</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（4）乙方须向甲方出具合法有效的完税发票，甲方进行支付结算。</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（5）结算方式：银行转账。</w:t>
      </w:r>
    </w:p>
    <w:p>
      <w:pPr>
        <w:spacing w:before="120" w:beforeLines="50" w:after="120" w:afterLines="50" w:line="360" w:lineRule="auto"/>
        <w:ind w:left="425"/>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第六条</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知识产权</w:t>
      </w:r>
    </w:p>
    <w:p>
      <w:pPr>
        <w:tabs>
          <w:tab w:val="left" w:pos="14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乙方应保证所提供的服务或其任何一部分均不会侵犯任何第三方的专利权、商标权或著作权。</w:t>
      </w:r>
    </w:p>
    <w:p>
      <w:pPr>
        <w:spacing w:before="120" w:beforeLines="50" w:after="120" w:afterLines="50" w:line="360" w:lineRule="auto"/>
        <w:ind w:left="425"/>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第七条  无产权瑕疵条款</w:t>
      </w:r>
    </w:p>
    <w:p>
      <w:pPr>
        <w:tabs>
          <w:tab w:val="left" w:pos="14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乙方保证所提供的服务的所有权完全属于乙方且无任何抵押、查封等产权瑕疵。如有产权瑕疵的，视为乙方违约。乙方应负担由此而产生的一切损失。</w:t>
      </w:r>
    </w:p>
    <w:p>
      <w:pPr>
        <w:spacing w:before="120" w:beforeLines="50" w:after="120" w:afterLines="50" w:line="360" w:lineRule="auto"/>
        <w:ind w:left="425"/>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w:t>
      </w:r>
      <w:r>
        <w:rPr>
          <w:rFonts w:hint="eastAsia" w:ascii="宋体" w:hAnsi="宋体" w:eastAsia="宋体" w:cs="宋体"/>
          <w:b/>
          <w:color w:val="auto"/>
          <w:sz w:val="30"/>
          <w:szCs w:val="30"/>
          <w:highlight w:val="none"/>
          <w:lang w:eastAsia="zh-CN"/>
        </w:rPr>
        <w:t>八</w:t>
      </w:r>
      <w:r>
        <w:rPr>
          <w:rFonts w:hint="eastAsia" w:ascii="宋体" w:hAnsi="宋体" w:eastAsia="宋体" w:cs="宋体"/>
          <w:b/>
          <w:color w:val="auto"/>
          <w:sz w:val="30"/>
          <w:szCs w:val="30"/>
          <w:highlight w:val="none"/>
        </w:rPr>
        <w:t>条 甲方的权利和义务</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甲方应授权一名工作人员作为联系人，负责甲乙双方信息传递、服务实现、业务受理等方面的组织协调工作。甲方联系人应给乙方提供所需的身份确认资料。甲方联系人如发生变更，须以书面形式及时通知乙方</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甲方应妥善保管使用相应软硬件，若发生丢失、人为损坏由甲方自行购置、乙方予以协助。</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根据本合同规定，按时向乙方支付应付费用。</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国家法律、法规所规定由甲方承担的其它责任。</w:t>
      </w:r>
    </w:p>
    <w:p>
      <w:pPr>
        <w:spacing w:before="120" w:beforeLines="50" w:after="120" w:afterLines="50" w:line="360" w:lineRule="auto"/>
        <w:ind w:left="425"/>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w:t>
      </w:r>
      <w:r>
        <w:rPr>
          <w:rFonts w:hint="eastAsia" w:ascii="宋体" w:hAnsi="宋体" w:eastAsia="宋体" w:cs="宋体"/>
          <w:b/>
          <w:color w:val="auto"/>
          <w:sz w:val="30"/>
          <w:szCs w:val="30"/>
          <w:highlight w:val="none"/>
          <w:lang w:val="en-US" w:eastAsia="zh-CN"/>
        </w:rPr>
        <w:t>九</w:t>
      </w:r>
      <w:r>
        <w:rPr>
          <w:rFonts w:hint="eastAsia" w:ascii="宋体" w:hAnsi="宋体" w:eastAsia="宋体" w:cs="宋体"/>
          <w:b/>
          <w:color w:val="auto"/>
          <w:sz w:val="30"/>
          <w:szCs w:val="30"/>
          <w:highlight w:val="none"/>
        </w:rPr>
        <w:t>条  乙方的权利和义务</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乙方负责提供履行本协议涉及服务所需的基础网络支持，并确保本协议内各项服务的正常运行。</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对于列入本协议中的各项移动通信业务服务，乙方有义务向甲方提供优质的网络服务和客户服务。</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由于甲方原因造成的任何数据丢失和机密外泄，乙方不承担责任。</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乙方有权因甲方欠费、从事本协议禁止的或其他为法律和社会公德所不允许的活动而暂停或终止为甲方提供服务。</w:t>
      </w:r>
    </w:p>
    <w:p>
      <w:pPr>
        <w:spacing w:before="120" w:beforeLines="50" w:after="120" w:afterLines="50" w:line="360" w:lineRule="auto"/>
        <w:ind w:left="425"/>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w:t>
      </w:r>
      <w:r>
        <w:rPr>
          <w:rFonts w:hint="eastAsia" w:ascii="宋体" w:hAnsi="宋体" w:eastAsia="宋体" w:cs="宋体"/>
          <w:b/>
          <w:color w:val="auto"/>
          <w:sz w:val="30"/>
          <w:szCs w:val="30"/>
          <w:highlight w:val="none"/>
          <w:lang w:val="en-US" w:eastAsia="zh-CN"/>
        </w:rPr>
        <w:t>十</w:t>
      </w:r>
      <w:r>
        <w:rPr>
          <w:rFonts w:hint="eastAsia" w:ascii="宋体" w:hAnsi="宋体" w:eastAsia="宋体" w:cs="宋体"/>
          <w:b/>
          <w:color w:val="auto"/>
          <w:sz w:val="30"/>
          <w:szCs w:val="30"/>
          <w:highlight w:val="none"/>
        </w:rPr>
        <w:t>条  违约责任</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违约责任按《中华人民共和国民法典》处理中的相关条款执行。</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乙方履约延误</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如乙方事先未征得甲方同意并得到甲方的谅解而单方面延迟提供服务或交货，将按违约终止合同。</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由于乙方原因，延误了成果文件交付时间，每延误一天，应减收该项目设计费的千分之五，延误超过10日，甲方有权解除合同，合同解除前乙方应退还甲方已付款项并向甲方支付合同总价款10%的违约金。</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违约终止合同：未按合同要求提供服务和货物或成果不能满足技术要求，甲方会同监督机构有权终止合同，对乙方违约行为进行追究，同时按政府采购法的有关规定进行相应的处罚。</w:t>
      </w:r>
    </w:p>
    <w:p>
      <w:pPr>
        <w:adjustRightInd w:val="0"/>
        <w:spacing w:line="360" w:lineRule="auto"/>
        <w:ind w:firstLine="602" w:firstLineChars="200"/>
        <w:jc w:val="left"/>
        <w:textAlignment w:val="baselin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第十</w:t>
      </w:r>
      <w:r>
        <w:rPr>
          <w:rFonts w:hint="eastAsia" w:ascii="宋体" w:hAnsi="宋体" w:eastAsia="宋体" w:cs="宋体"/>
          <w:b/>
          <w:color w:val="auto"/>
          <w:sz w:val="30"/>
          <w:szCs w:val="30"/>
          <w:highlight w:val="none"/>
          <w:lang w:eastAsia="zh-CN"/>
        </w:rPr>
        <w:t>一</w:t>
      </w:r>
      <w:r>
        <w:rPr>
          <w:rFonts w:hint="eastAsia" w:ascii="宋体" w:hAnsi="宋体" w:eastAsia="宋体" w:cs="宋体"/>
          <w:b/>
          <w:color w:val="auto"/>
          <w:sz w:val="30"/>
          <w:szCs w:val="30"/>
          <w:highlight w:val="none"/>
        </w:rPr>
        <w:t>条  不可抗力事件处理</w:t>
      </w: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bookmarkStart w:id="29" w:name="_Toc237145411"/>
      <w:bookmarkStart w:id="30" w:name="_Toc251768867"/>
      <w:bookmarkStart w:id="31" w:name="_Toc239568423"/>
      <w:bookmarkStart w:id="32" w:name="_Toc239233919"/>
      <w:bookmarkStart w:id="33" w:name="_Toc212019599"/>
      <w:bookmarkStart w:id="34" w:name="_Toc211854454"/>
      <w:bookmarkStart w:id="35" w:name="_Toc185395254"/>
      <w:bookmarkStart w:id="36" w:name="_Toc211911353"/>
      <w:bookmarkStart w:id="37" w:name="_Toc238984980"/>
      <w:bookmarkStart w:id="38" w:name="_Toc247334846"/>
      <w:bookmarkStart w:id="39" w:name="_Toc241833908"/>
      <w:bookmarkStart w:id="40" w:name="_Toc225670756"/>
      <w:bookmarkStart w:id="41" w:name="_Toc286993792"/>
      <w:bookmarkStart w:id="42" w:name="_Toc225654649"/>
      <w:bookmarkStart w:id="43" w:name="_Toc232492933"/>
      <w:bookmarkStart w:id="44" w:name="_Toc225244857"/>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本合同中的不可抗力指不能预见、不能避免并不能克服的客观情况。包括但不限于：自然灾害如地震、台风、洪水、火灾；政府行为、法律规定或其适用的变化或者其他任何无法预见、避免或者控制的事件。</w:t>
      </w:r>
    </w:p>
    <w:p>
      <w:pPr>
        <w:widowControl/>
        <w:spacing w:before="120" w:beforeLines="50" w:after="120" w:afterLines="50" w:line="360" w:lineRule="auto"/>
        <w:jc w:val="left"/>
        <w:rPr>
          <w:rFonts w:hint="eastAsia" w:ascii="宋体" w:hAnsi="宋体" w:eastAsia="宋体" w:cs="宋体"/>
          <w:color w:val="auto"/>
          <w:kern w:val="0"/>
          <w:sz w:val="30"/>
          <w:szCs w:val="30"/>
          <w:highlight w:val="none"/>
        </w:rPr>
      </w:pPr>
      <w:r>
        <w:rPr>
          <w:rFonts w:hint="eastAsia" w:ascii="宋体" w:hAnsi="宋体" w:eastAsia="宋体" w:cs="宋体"/>
          <w:b/>
          <w:color w:val="auto"/>
          <w:sz w:val="30"/>
          <w:szCs w:val="30"/>
          <w:highlight w:val="none"/>
        </w:rPr>
        <w:t xml:space="preserve">   第十</w:t>
      </w:r>
      <w:r>
        <w:rPr>
          <w:rFonts w:hint="eastAsia" w:ascii="宋体" w:hAnsi="宋体" w:eastAsia="宋体" w:cs="宋体"/>
          <w:b/>
          <w:color w:val="auto"/>
          <w:sz w:val="30"/>
          <w:szCs w:val="30"/>
          <w:highlight w:val="none"/>
          <w:lang w:val="en-US" w:eastAsia="zh-CN"/>
        </w:rPr>
        <w:t>二</w:t>
      </w:r>
      <w:r>
        <w:rPr>
          <w:rFonts w:hint="eastAsia" w:ascii="宋体" w:hAnsi="宋体" w:eastAsia="宋体" w:cs="宋体"/>
          <w:b/>
          <w:color w:val="auto"/>
          <w:sz w:val="30"/>
          <w:szCs w:val="30"/>
          <w:highlight w:val="none"/>
        </w:rPr>
        <w:t xml:space="preserve">条  </w:t>
      </w:r>
      <w:r>
        <w:rPr>
          <w:rFonts w:hint="eastAsia" w:ascii="宋体" w:hAnsi="宋体" w:eastAsia="宋体" w:cs="宋体"/>
          <w:b/>
          <w:color w:val="auto"/>
          <w:kern w:val="0"/>
          <w:sz w:val="30"/>
          <w:szCs w:val="30"/>
          <w:highlight w:val="none"/>
        </w:rPr>
        <w:t>合同的变更和终止</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除《中华人民共和国政府采购法》第49条、第50条第二款规定的情形外，本合同一经签订，甲乙双方不得擅自变更、中止或终止合同。</w:t>
      </w:r>
    </w:p>
    <w:p>
      <w:pPr>
        <w:spacing w:before="120" w:beforeLines="50" w:after="120" w:afterLines="50" w:line="360" w:lineRule="auto"/>
        <w:ind w:left="425"/>
        <w:rPr>
          <w:rFonts w:hint="eastAsia" w:ascii="宋体" w:hAnsi="宋体" w:eastAsia="宋体" w:cs="宋体"/>
          <w:b/>
          <w:color w:val="auto"/>
          <w:szCs w:val="21"/>
          <w:highlight w:val="none"/>
        </w:rPr>
      </w:pPr>
      <w:r>
        <w:rPr>
          <w:rFonts w:hint="eastAsia" w:ascii="宋体" w:hAnsi="宋体" w:eastAsia="宋体" w:cs="宋体"/>
          <w:b/>
          <w:color w:val="auto"/>
          <w:sz w:val="30"/>
          <w:szCs w:val="30"/>
          <w:highlight w:val="none"/>
        </w:rPr>
        <w:t>第十</w:t>
      </w:r>
      <w:r>
        <w:rPr>
          <w:rFonts w:hint="eastAsia" w:ascii="宋体" w:hAnsi="宋体" w:eastAsia="宋体" w:cs="宋体"/>
          <w:b/>
          <w:color w:val="auto"/>
          <w:sz w:val="30"/>
          <w:szCs w:val="30"/>
          <w:highlight w:val="none"/>
          <w:lang w:val="en-US" w:eastAsia="zh-CN"/>
        </w:rPr>
        <w:t>三</w:t>
      </w:r>
      <w:r>
        <w:rPr>
          <w:rFonts w:hint="eastAsia" w:ascii="宋体" w:hAnsi="宋体" w:eastAsia="宋体" w:cs="宋体"/>
          <w:b/>
          <w:color w:val="auto"/>
          <w:sz w:val="30"/>
          <w:szCs w:val="30"/>
          <w:highlight w:val="none"/>
        </w:rPr>
        <w:t>条  解决合同纠纷的方式</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pStyle w:val="23"/>
        <w:spacing w:line="360" w:lineRule="auto"/>
        <w:ind w:firstLine="420"/>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1.在执行本合同中发生的或与本合同有关的争端，双方应通过友好协商解决，经协商在30天内不能达成协议时，则采取以下第__2__种方式解决争议：</w:t>
      </w:r>
    </w:p>
    <w:p>
      <w:pPr>
        <w:pStyle w:val="23"/>
        <w:spacing w:line="360" w:lineRule="auto"/>
        <w:ind w:firstLine="420"/>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（1）向甲方所在地有管辖权的人民法院提起诉讼；</w:t>
      </w:r>
    </w:p>
    <w:p>
      <w:pPr>
        <w:pStyle w:val="23"/>
        <w:spacing w:line="360" w:lineRule="auto"/>
        <w:ind w:firstLine="420"/>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（2）向西安仲裁委员会按其仲裁规则申请仲裁。</w:t>
      </w:r>
    </w:p>
    <w:p>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2.在仲裁期间，本合同应继续履行。</w:t>
      </w:r>
    </w:p>
    <w:p>
      <w:pPr>
        <w:spacing w:before="120" w:beforeLines="50" w:after="120" w:afterLines="50" w:line="360" w:lineRule="auto"/>
        <w:ind w:left="425"/>
        <w:rPr>
          <w:rFonts w:hint="eastAsia" w:ascii="宋体" w:hAnsi="宋体" w:eastAsia="宋体" w:cs="宋体"/>
          <w:b/>
          <w:color w:val="auto"/>
          <w:sz w:val="30"/>
          <w:szCs w:val="30"/>
          <w:highlight w:val="none"/>
        </w:rPr>
      </w:pPr>
      <w:bookmarkStart w:id="45" w:name="_Toc225670757"/>
      <w:bookmarkStart w:id="46" w:name="_Toc283019219"/>
      <w:bookmarkStart w:id="47" w:name="_Toc282696231"/>
      <w:bookmarkStart w:id="48" w:name="_Toc286993793"/>
      <w:bookmarkStart w:id="49" w:name="_Toc225654650"/>
      <w:bookmarkStart w:id="50" w:name="_Toc212019600"/>
      <w:bookmarkStart w:id="51" w:name="_Toc237145412"/>
      <w:bookmarkStart w:id="52" w:name="_Toc238984981"/>
      <w:bookmarkStart w:id="53" w:name="_Toc185395255"/>
      <w:bookmarkStart w:id="54" w:name="_Toc239568424"/>
      <w:bookmarkStart w:id="55" w:name="_Toc225244858"/>
      <w:bookmarkStart w:id="56" w:name="_Toc232492934"/>
      <w:bookmarkStart w:id="57" w:name="_Toc211854455"/>
      <w:bookmarkStart w:id="58" w:name="_Toc239233920"/>
      <w:bookmarkStart w:id="59" w:name="_Toc247334847"/>
      <w:bookmarkStart w:id="60" w:name="_Toc241833909"/>
      <w:bookmarkStart w:id="61" w:name="_Toc251768868"/>
      <w:bookmarkStart w:id="62" w:name="_Toc211911354"/>
      <w:r>
        <w:rPr>
          <w:rFonts w:hint="eastAsia" w:ascii="宋体" w:hAnsi="宋体" w:eastAsia="宋体" w:cs="宋体"/>
          <w:b/>
          <w:color w:val="auto"/>
          <w:sz w:val="30"/>
          <w:szCs w:val="30"/>
          <w:highlight w:val="none"/>
        </w:rPr>
        <w:t>第十</w:t>
      </w:r>
      <w:r>
        <w:rPr>
          <w:rFonts w:hint="eastAsia" w:ascii="宋体" w:hAnsi="宋体" w:eastAsia="宋体" w:cs="宋体"/>
          <w:b/>
          <w:color w:val="auto"/>
          <w:sz w:val="30"/>
          <w:szCs w:val="30"/>
          <w:highlight w:val="none"/>
          <w:lang w:val="en-US" w:eastAsia="zh-CN"/>
        </w:rPr>
        <w:t>四</w:t>
      </w:r>
      <w:r>
        <w:rPr>
          <w:rFonts w:hint="eastAsia" w:ascii="宋体" w:hAnsi="宋体" w:eastAsia="宋体" w:cs="宋体"/>
          <w:b/>
          <w:color w:val="auto"/>
          <w:sz w:val="30"/>
          <w:szCs w:val="30"/>
          <w:highlight w:val="none"/>
        </w:rPr>
        <w:t>条  合同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hint="eastAsia" w:ascii="宋体" w:hAnsi="宋体" w:eastAsia="宋体" w:cs="宋体"/>
          <w:b/>
          <w:color w:val="auto"/>
          <w:sz w:val="30"/>
          <w:szCs w:val="30"/>
          <w:highlight w:val="none"/>
        </w:rPr>
        <w:t>生效及其他</w:t>
      </w:r>
    </w:p>
    <w:p>
      <w:pPr>
        <w:pStyle w:val="24"/>
        <w:spacing w:line="360" w:lineRule="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1.合同经双方法定代表人或委托代理人签名并加盖单位章后生效。</w:t>
      </w:r>
    </w:p>
    <w:p>
      <w:pPr>
        <w:pStyle w:val="24"/>
        <w:spacing w:line="360" w:lineRule="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2.合同执行中涉及采购资金和采购内容修改或补充的，须经政府采购监管部门审批，并签书面补充协议报政府采购监督管理部门备案，方可作为主合同不可分割的一部分。</w:t>
      </w:r>
    </w:p>
    <w:p>
      <w:pPr>
        <w:pStyle w:val="24"/>
        <w:spacing w:line="360" w:lineRule="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 xml:space="preserve">3.本合同一式 </w:t>
      </w:r>
      <w:r>
        <w:rPr>
          <w:rFonts w:hint="eastAsia" w:ascii="宋体" w:hAnsi="宋体" w:eastAsia="宋体" w:cs="宋体"/>
          <w:color w:val="auto"/>
          <w:kern w:val="0"/>
          <w:sz w:val="24"/>
          <w:szCs w:val="21"/>
          <w:highlight w:val="none"/>
          <w:u w:val="single"/>
          <w:lang w:val="en-US" w:eastAsia="zh-CN" w:bidi="ar-SA"/>
        </w:rPr>
        <w:t xml:space="preserve">   </w:t>
      </w:r>
      <w:r>
        <w:rPr>
          <w:rFonts w:hint="eastAsia" w:ascii="宋体" w:hAnsi="宋体" w:eastAsia="宋体" w:cs="宋体"/>
          <w:color w:val="auto"/>
          <w:kern w:val="0"/>
          <w:sz w:val="24"/>
          <w:szCs w:val="21"/>
          <w:highlight w:val="none"/>
          <w:u w:val="none"/>
          <w:lang w:val="en-US" w:eastAsia="zh-CN" w:bidi="ar-SA"/>
        </w:rPr>
        <w:t xml:space="preserve"> </w:t>
      </w:r>
      <w:r>
        <w:rPr>
          <w:rFonts w:hint="eastAsia" w:ascii="宋体" w:hAnsi="宋体" w:eastAsia="宋体" w:cs="宋体"/>
          <w:color w:val="auto"/>
          <w:kern w:val="0"/>
          <w:sz w:val="24"/>
          <w:szCs w:val="21"/>
          <w:highlight w:val="none"/>
          <w:lang w:val="en-US" w:eastAsia="zh-CN" w:bidi="ar-SA"/>
        </w:rPr>
        <w:t xml:space="preserve">份，自双方签章之日起起效。甲方 </w:t>
      </w:r>
      <w:r>
        <w:rPr>
          <w:rFonts w:hint="eastAsia" w:ascii="宋体" w:hAnsi="宋体" w:eastAsia="宋体" w:cs="宋体"/>
          <w:color w:val="auto"/>
          <w:kern w:val="0"/>
          <w:sz w:val="24"/>
          <w:szCs w:val="21"/>
          <w:highlight w:val="none"/>
          <w:u w:val="single"/>
          <w:lang w:val="en-US" w:eastAsia="zh-CN" w:bidi="ar-SA"/>
        </w:rPr>
        <w:t xml:space="preserve">  </w:t>
      </w:r>
      <w:r>
        <w:rPr>
          <w:rFonts w:hint="eastAsia" w:ascii="宋体" w:hAnsi="宋体" w:eastAsia="宋体" w:cs="宋体"/>
          <w:color w:val="auto"/>
          <w:kern w:val="0"/>
          <w:sz w:val="24"/>
          <w:szCs w:val="21"/>
          <w:highlight w:val="none"/>
          <w:lang w:val="en-US" w:eastAsia="zh-CN" w:bidi="ar-SA"/>
        </w:rPr>
        <w:t xml:space="preserve"> 份，乙方</w:t>
      </w:r>
      <w:r>
        <w:rPr>
          <w:rFonts w:hint="eastAsia" w:ascii="宋体" w:hAnsi="宋体" w:eastAsia="宋体" w:cs="宋体"/>
          <w:color w:val="auto"/>
          <w:kern w:val="0"/>
          <w:sz w:val="24"/>
          <w:szCs w:val="21"/>
          <w:highlight w:val="none"/>
          <w:u w:val="single"/>
          <w:lang w:val="en-US" w:eastAsia="zh-CN" w:bidi="ar-SA"/>
        </w:rPr>
        <w:t xml:space="preserve">  </w:t>
      </w:r>
      <w:r>
        <w:rPr>
          <w:rFonts w:hint="eastAsia" w:ascii="宋体" w:hAnsi="宋体" w:eastAsia="宋体" w:cs="宋体"/>
          <w:color w:val="auto"/>
          <w:kern w:val="0"/>
          <w:sz w:val="24"/>
          <w:szCs w:val="21"/>
          <w:highlight w:val="none"/>
          <w:lang w:val="en-US" w:eastAsia="zh-CN" w:bidi="ar-SA"/>
        </w:rPr>
        <w:t xml:space="preserve"> 份，政府采购代理机构 </w:t>
      </w:r>
      <w:r>
        <w:rPr>
          <w:rFonts w:hint="eastAsia" w:ascii="宋体" w:hAnsi="宋体" w:eastAsia="宋体" w:cs="宋体"/>
          <w:color w:val="auto"/>
          <w:kern w:val="0"/>
          <w:sz w:val="24"/>
          <w:szCs w:val="21"/>
          <w:highlight w:val="none"/>
          <w:u w:val="single"/>
          <w:lang w:val="en-US" w:eastAsia="zh-CN" w:bidi="ar-SA"/>
        </w:rPr>
        <w:t xml:space="preserve"> 一 </w:t>
      </w:r>
      <w:r>
        <w:rPr>
          <w:rFonts w:hint="eastAsia" w:ascii="宋体" w:hAnsi="宋体" w:eastAsia="宋体" w:cs="宋体"/>
          <w:color w:val="auto"/>
          <w:kern w:val="0"/>
          <w:sz w:val="24"/>
          <w:szCs w:val="21"/>
          <w:highlight w:val="none"/>
          <w:lang w:val="en-US" w:eastAsia="zh-CN" w:bidi="ar-SA"/>
        </w:rPr>
        <w:t xml:space="preserve"> 份，同级财政部门备案 </w:t>
      </w:r>
      <w:r>
        <w:rPr>
          <w:rFonts w:hint="eastAsia" w:ascii="宋体" w:hAnsi="宋体" w:eastAsia="宋体" w:cs="宋体"/>
          <w:color w:val="auto"/>
          <w:kern w:val="0"/>
          <w:sz w:val="24"/>
          <w:szCs w:val="21"/>
          <w:highlight w:val="none"/>
          <w:u w:val="single"/>
          <w:lang w:val="en-US" w:eastAsia="zh-CN" w:bidi="ar-SA"/>
        </w:rPr>
        <w:t xml:space="preserve"> 一 </w:t>
      </w:r>
      <w:r>
        <w:rPr>
          <w:rFonts w:hint="eastAsia" w:ascii="宋体" w:hAnsi="宋体" w:eastAsia="宋体" w:cs="宋体"/>
          <w:color w:val="auto"/>
          <w:kern w:val="0"/>
          <w:sz w:val="24"/>
          <w:szCs w:val="21"/>
          <w:highlight w:val="none"/>
          <w:lang w:val="en-US" w:eastAsia="zh-CN" w:bidi="ar-SA"/>
        </w:rPr>
        <w:t>份，具有同等法律效力。</w:t>
      </w:r>
    </w:p>
    <w:p>
      <w:pPr>
        <w:spacing w:after="120" w:afterLines="50" w:line="360" w:lineRule="auto"/>
        <w:ind w:left="425"/>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第十五条  附件</w:t>
      </w:r>
    </w:p>
    <w:p>
      <w:pPr>
        <w:pStyle w:val="24"/>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1.项目磋商文件</w:t>
      </w:r>
    </w:p>
    <w:p>
      <w:pPr>
        <w:pStyle w:val="24"/>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2.项目修改澄清文件</w:t>
      </w:r>
    </w:p>
    <w:p>
      <w:pPr>
        <w:pStyle w:val="24"/>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3.项目响应文件</w:t>
      </w:r>
    </w:p>
    <w:p>
      <w:pPr>
        <w:pStyle w:val="24"/>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4.成交通知书</w:t>
      </w:r>
    </w:p>
    <w:p>
      <w:pPr>
        <w:pStyle w:val="24"/>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5.其他</w:t>
      </w:r>
    </w:p>
    <w:p>
      <w:pPr>
        <w:spacing w:line="360" w:lineRule="auto"/>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（盖章）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乙方：   （盖章）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法定代表人（委托代理人）：              法定代表人（委托代理人）：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                                 账号：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传    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签约日期：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见证方：陕西隆信项目管理有限公司  （盖章）</w:t>
      </w:r>
    </w:p>
    <w:p>
      <w:pPr>
        <w:spacing w:line="360" w:lineRule="auto"/>
        <w:ind w:firstLine="480" w:firstLineChars="200"/>
        <w:rPr>
          <w:rFonts w:hint="eastAsia" w:ascii="黑体" w:hAnsi="宋体" w:eastAsia="黑体"/>
          <w:sz w:val="28"/>
          <w:szCs w:val="28"/>
        </w:rPr>
      </w:pPr>
      <w:r>
        <w:rPr>
          <w:rFonts w:hint="eastAsia" w:ascii="宋体" w:hAnsi="宋体" w:eastAsia="宋体" w:cs="宋体"/>
          <w:color w:val="auto"/>
          <w:kern w:val="0"/>
          <w:sz w:val="24"/>
          <w:szCs w:val="24"/>
          <w:highlight w:val="none"/>
          <w:lang w:val="en-US" w:eastAsia="zh-CN" w:bidi="ar-SA"/>
        </w:rPr>
        <w:t>地址：西安市莲湖区丰登南路9号怡景花园酒店裙楼（A座）二层</w:t>
      </w:r>
      <w:r>
        <w:rPr>
          <w:sz w:val="24"/>
          <w:szCs w:val="24"/>
        </w:rPr>
        <w:t xml:space="preserve"> </w:t>
      </w:r>
    </w:p>
    <w:p>
      <w:pPr>
        <w:rPr>
          <w:rFonts w:hint="eastAsia" w:ascii="黑体" w:hAnsi="宋体" w:eastAsia="黑体"/>
          <w:sz w:val="28"/>
          <w:szCs w:val="28"/>
        </w:rPr>
      </w:pPr>
    </w:p>
    <w:p>
      <w:pPr>
        <w:rPr>
          <w:rFonts w:ascii="黑体" w:hAnsi="宋体" w:eastAsia="黑体"/>
          <w:sz w:val="28"/>
          <w:szCs w:val="28"/>
        </w:rPr>
      </w:pPr>
      <w:r>
        <w:rPr>
          <w:rFonts w:hint="eastAsia" w:ascii="黑体" w:hAnsi="宋体" w:eastAsia="黑体"/>
          <w:sz w:val="28"/>
          <w:szCs w:val="28"/>
        </w:rPr>
        <w:t>附件1：</w:t>
      </w: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政府采购履约担保函</w:t>
      </w:r>
    </w:p>
    <w:p>
      <w:r>
        <w:rPr>
          <w:rFonts w:hint="eastAsia"/>
        </w:rPr>
        <w:t xml:space="preserve">                                                            </w:t>
      </w:r>
    </w:p>
    <w:p>
      <w:pPr>
        <w:ind w:firstLine="6615" w:firstLineChars="3150"/>
        <w:rPr>
          <w:szCs w:val="21"/>
        </w:rPr>
      </w:pPr>
      <w:r>
        <w:rPr>
          <w:rFonts w:hint="eastAsia"/>
        </w:rPr>
        <w:t xml:space="preserve"> </w:t>
      </w:r>
      <w:r>
        <w:rPr>
          <w:rFonts w:hint="eastAsia"/>
          <w:szCs w:val="21"/>
        </w:rPr>
        <w:t>编号：</w:t>
      </w:r>
    </w:p>
    <w:p>
      <w:pPr>
        <w:rPr>
          <w:szCs w:val="21"/>
        </w:rPr>
      </w:pPr>
    </w:p>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（采购人）：</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鉴于你方与</w:t>
      </w:r>
      <w:r>
        <w:rPr>
          <w:rFonts w:hint="eastAsia" w:ascii="宋体" w:hAnsi="宋体"/>
          <w:szCs w:val="21"/>
          <w:u w:val="single"/>
        </w:rPr>
        <w:t xml:space="preserve">                    </w:t>
      </w:r>
      <w:r>
        <w:rPr>
          <w:rFonts w:hint="eastAsia" w:ascii="宋体" w:hAnsi="宋体"/>
          <w:szCs w:val="21"/>
        </w:rPr>
        <w:t>（以下简称中标人）于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日签定编号为   的《</w:t>
      </w:r>
      <w:r>
        <w:rPr>
          <w:rFonts w:hint="eastAsia" w:ascii="宋体" w:hAnsi="宋体"/>
          <w:szCs w:val="21"/>
          <w:u w:val="single"/>
        </w:rPr>
        <w:t xml:space="preserve">           </w:t>
      </w:r>
      <w:r>
        <w:rPr>
          <w:rFonts w:hint="eastAsia" w:ascii="宋体" w:hAnsi="宋体"/>
          <w:szCs w:val="21"/>
        </w:rPr>
        <w:t>政府采购合同》（以下简称主合同），且依据该合同的约定，中标人应在</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日前向你方交纳履约保证金，且可以履约担保函的形式交纳履约保证金。应中标人商的申请，我方以保证的方式向你方提供如下履约保证金担保：</w:t>
      </w:r>
    </w:p>
    <w:p>
      <w:pPr>
        <w:spacing w:beforeLines="50" w:afterLines="50" w:line="360" w:lineRule="auto"/>
        <w:ind w:firstLine="450" w:firstLineChars="150"/>
        <w:rPr>
          <w:rFonts w:ascii="黑体" w:hAnsi="宋体" w:eastAsia="黑体"/>
          <w:sz w:val="30"/>
          <w:szCs w:val="30"/>
        </w:rPr>
      </w:pPr>
      <w:r>
        <w:rPr>
          <w:rFonts w:hint="eastAsia" w:ascii="黑体" w:hAnsi="宋体" w:eastAsia="黑体"/>
          <w:sz w:val="30"/>
          <w:szCs w:val="30"/>
        </w:rPr>
        <w:t>一、保证责任的情形及保证金额</w:t>
      </w:r>
    </w:p>
    <w:p>
      <w:pPr>
        <w:spacing w:line="360" w:lineRule="auto"/>
        <w:ind w:firstLine="420" w:firstLineChars="200"/>
        <w:rPr>
          <w:rFonts w:ascii="宋体" w:hAnsi="宋体"/>
          <w:szCs w:val="21"/>
        </w:rPr>
      </w:pPr>
      <w:r>
        <w:rPr>
          <w:rFonts w:hint="eastAsia" w:ascii="宋体" w:hAnsi="宋体"/>
          <w:szCs w:val="21"/>
        </w:rPr>
        <w:t>（一）在中标人出现下列情形之一时，我方承担保证责任：</w:t>
      </w:r>
    </w:p>
    <w:p>
      <w:pPr>
        <w:spacing w:line="360" w:lineRule="auto"/>
        <w:ind w:firstLine="420" w:firstLineChars="200"/>
        <w:rPr>
          <w:rFonts w:ascii="宋体" w:hAnsi="宋体"/>
          <w:szCs w:val="21"/>
        </w:rPr>
      </w:pPr>
      <w:r>
        <w:rPr>
          <w:rFonts w:hint="eastAsia" w:ascii="宋体" w:hAnsi="宋体"/>
          <w:szCs w:val="21"/>
        </w:rPr>
        <w:t>1．将中标项目转让给他人，或者在投标文件中未说明，且未经采购招标机构人同意，将中标项目分包给他人的；</w:t>
      </w:r>
    </w:p>
    <w:p>
      <w:pPr>
        <w:spacing w:line="360" w:lineRule="auto"/>
        <w:rPr>
          <w:rFonts w:ascii="宋体" w:hAnsi="宋体"/>
          <w:szCs w:val="21"/>
        </w:rPr>
      </w:pPr>
      <w:r>
        <w:rPr>
          <w:rFonts w:hint="eastAsia" w:ascii="宋体" w:hAnsi="宋体"/>
          <w:szCs w:val="21"/>
        </w:rPr>
        <w:t xml:space="preserve">　　2．主合同约定的应当缴纳履约保证金的情形: </w:t>
      </w:r>
    </w:p>
    <w:p>
      <w:pPr>
        <w:spacing w:line="360" w:lineRule="auto"/>
        <w:ind w:firstLine="420" w:firstLineChars="200"/>
        <w:rPr>
          <w:rFonts w:ascii="宋体" w:hAnsi="宋体"/>
          <w:szCs w:val="21"/>
        </w:rPr>
      </w:pPr>
      <w:r>
        <w:rPr>
          <w:rFonts w:hint="eastAsia" w:ascii="宋体" w:hAnsi="宋体"/>
          <w:szCs w:val="21"/>
        </w:rPr>
        <w:t>（1）未按主合同约定的质量、数量和期限供应货物/提供服务/完成工程的；</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（二）我方的保证范围是主合同约定的合同价款总额的</w:t>
      </w:r>
      <w:r>
        <w:rPr>
          <w:rFonts w:hint="eastAsia" w:ascii="宋体" w:hAnsi="宋体"/>
          <w:szCs w:val="21"/>
          <w:u w:val="single"/>
        </w:rPr>
        <w:t xml:space="preserve">        </w:t>
      </w:r>
      <w:r>
        <w:rPr>
          <w:rFonts w:hint="eastAsia" w:ascii="宋体" w:hAnsi="宋体"/>
          <w:szCs w:val="21"/>
        </w:rPr>
        <w:t>%数额为</w:t>
      </w:r>
      <w:r>
        <w:rPr>
          <w:rFonts w:hint="eastAsia" w:ascii="宋体" w:hAnsi="宋体"/>
          <w:szCs w:val="21"/>
          <w:u w:val="single"/>
        </w:rPr>
        <w:t xml:space="preserve">         </w:t>
      </w:r>
      <w:r>
        <w:rPr>
          <w:rFonts w:hint="eastAsia" w:ascii="宋体" w:hAnsi="宋体"/>
          <w:szCs w:val="21"/>
        </w:rPr>
        <w:t>元（大写</w:t>
      </w:r>
      <w:r>
        <w:rPr>
          <w:rFonts w:hint="eastAsia" w:ascii="宋体" w:hAnsi="宋体"/>
          <w:szCs w:val="21"/>
          <w:u w:val="single"/>
        </w:rPr>
        <w:t xml:space="preserve">           </w:t>
      </w:r>
      <w:r>
        <w:rPr>
          <w:rFonts w:hint="eastAsia" w:ascii="宋体" w:hAnsi="宋体"/>
          <w:szCs w:val="21"/>
        </w:rPr>
        <w:t>），币种为</w:t>
      </w:r>
      <w:r>
        <w:rPr>
          <w:rFonts w:hint="eastAsia" w:ascii="宋体" w:hAnsi="宋体"/>
          <w:szCs w:val="21"/>
          <w:u w:val="single"/>
        </w:rPr>
        <w:t xml:space="preserve">        </w:t>
      </w:r>
      <w:r>
        <w:rPr>
          <w:rFonts w:hint="eastAsia" w:ascii="宋体" w:hAnsi="宋体"/>
          <w:szCs w:val="21"/>
        </w:rPr>
        <w:t>。（即主合同履约保证金金额）</w:t>
      </w:r>
    </w:p>
    <w:p>
      <w:pPr>
        <w:spacing w:beforeLines="50" w:afterLines="50" w:line="360" w:lineRule="auto"/>
        <w:ind w:firstLine="450" w:firstLineChars="150"/>
        <w:rPr>
          <w:rFonts w:ascii="黑体" w:hAnsi="宋体" w:eastAsia="黑体"/>
          <w:sz w:val="30"/>
          <w:szCs w:val="30"/>
        </w:rPr>
      </w:pPr>
      <w:r>
        <w:rPr>
          <w:rFonts w:hint="eastAsia" w:ascii="黑体" w:hAnsi="宋体" w:eastAsia="黑体"/>
          <w:sz w:val="30"/>
          <w:szCs w:val="30"/>
        </w:rPr>
        <w:t>二、保证的方式及保证期间</w:t>
      </w:r>
    </w:p>
    <w:p>
      <w:pPr>
        <w:spacing w:line="360" w:lineRule="auto"/>
        <w:ind w:firstLine="420" w:firstLineChars="200"/>
        <w:rPr>
          <w:rFonts w:ascii="宋体" w:hAnsi="宋体"/>
          <w:szCs w:val="21"/>
        </w:rPr>
      </w:pPr>
      <w:r>
        <w:rPr>
          <w:rFonts w:hint="eastAsia" w:ascii="宋体" w:hAnsi="宋体"/>
          <w:szCs w:val="21"/>
        </w:rPr>
        <w:t>我方保证的方式为：连带责任保证。</w:t>
      </w:r>
    </w:p>
    <w:p>
      <w:pPr>
        <w:spacing w:line="360" w:lineRule="auto"/>
        <w:ind w:firstLine="420" w:firstLineChars="200"/>
        <w:rPr>
          <w:rFonts w:ascii="宋体" w:hAnsi="宋体"/>
          <w:szCs w:val="21"/>
        </w:rPr>
      </w:pPr>
      <w:r>
        <w:rPr>
          <w:rFonts w:hint="eastAsia" w:ascii="宋体" w:hAnsi="宋体"/>
          <w:szCs w:val="21"/>
        </w:rPr>
        <w:t>我方保证的期间为：自本合同生效之日起至中标人按照主合同约定的供货/完工期限届满后</w:t>
      </w:r>
      <w:r>
        <w:rPr>
          <w:rFonts w:hint="eastAsia" w:ascii="宋体" w:hAnsi="宋体"/>
          <w:szCs w:val="21"/>
          <w:u w:val="single"/>
        </w:rPr>
        <w:t xml:space="preserve">     </w:t>
      </w:r>
      <w:r>
        <w:rPr>
          <w:rFonts w:hint="eastAsia" w:ascii="宋体" w:hAnsi="宋体"/>
          <w:szCs w:val="21"/>
        </w:rPr>
        <w:t>日内。</w:t>
      </w:r>
    </w:p>
    <w:p>
      <w:pPr>
        <w:spacing w:line="360" w:lineRule="auto"/>
        <w:ind w:firstLine="420" w:firstLineChars="200"/>
        <w:rPr>
          <w:rFonts w:ascii="宋体" w:hAnsi="宋体"/>
          <w:szCs w:val="21"/>
        </w:rPr>
      </w:pPr>
      <w:r>
        <w:rPr>
          <w:rFonts w:hint="eastAsia" w:ascii="宋体" w:hAnsi="宋体"/>
          <w:szCs w:val="21"/>
        </w:rPr>
        <w:t>如果中标人未按主合同约定向贵方供应货物/提供服务/完成工程的，由我方在保证金额内向你方支付上述款项。</w:t>
      </w:r>
    </w:p>
    <w:p>
      <w:pPr>
        <w:spacing w:beforeLines="50" w:afterLines="50" w:line="360" w:lineRule="auto"/>
        <w:ind w:firstLine="450" w:firstLineChars="150"/>
        <w:rPr>
          <w:rFonts w:ascii="黑体" w:hAnsi="宋体" w:eastAsia="黑体"/>
          <w:sz w:val="30"/>
          <w:szCs w:val="30"/>
        </w:rPr>
      </w:pPr>
      <w:r>
        <w:rPr>
          <w:rFonts w:hint="eastAsia" w:ascii="黑体" w:hAnsi="宋体" w:eastAsia="黑体"/>
          <w:sz w:val="30"/>
          <w:szCs w:val="30"/>
        </w:rPr>
        <w:t>三、承担保证责任的程序</w:t>
      </w:r>
    </w:p>
    <w:p>
      <w:pPr>
        <w:spacing w:line="360" w:lineRule="auto"/>
        <w:ind w:firstLine="420" w:firstLineChars="200"/>
        <w:rPr>
          <w:rFonts w:ascii="宋体" w:hAnsi="宋体"/>
          <w:szCs w:val="21"/>
        </w:rPr>
      </w:pPr>
      <w:r>
        <w:rPr>
          <w:rFonts w:hint="eastAsia" w:ascii="宋体" w:hAnsi="宋体"/>
          <w:szCs w:val="21"/>
        </w:rPr>
        <w:t>1．你方要求我方承担保证责任的，应在本保函保证期间内向我方发出书面索赔通知。索赔通知应写明要求索赔的金额，支付款项应到达的帐号。并附有证明中标人违约事实的证明材料。</w:t>
      </w:r>
    </w:p>
    <w:p>
      <w:pPr>
        <w:spacing w:line="360" w:lineRule="auto"/>
        <w:ind w:firstLine="420" w:firstLineChars="200"/>
        <w:rPr>
          <w:rFonts w:ascii="宋体" w:hAnsi="宋体"/>
          <w:szCs w:val="21"/>
        </w:rPr>
      </w:pPr>
      <w:r>
        <w:rPr>
          <w:rFonts w:hint="eastAsia" w:ascii="宋体" w:hAnsi="宋体"/>
          <w:szCs w:val="21"/>
        </w:rPr>
        <w:t>如果你方与中标人因货物质量问题产生争议，你方还需同时提供</w:t>
      </w:r>
      <w:r>
        <w:rPr>
          <w:rFonts w:hint="eastAsia" w:ascii="宋体" w:hAnsi="宋体"/>
          <w:szCs w:val="21"/>
          <w:u w:val="single"/>
        </w:rPr>
        <w:t xml:space="preserve">        </w:t>
      </w:r>
      <w:r>
        <w:rPr>
          <w:rFonts w:hint="eastAsia" w:ascii="宋体" w:hAnsi="宋体"/>
          <w:szCs w:val="21"/>
        </w:rPr>
        <w:t>部门出具的质量检测报告，或经诉讼（仲裁）程序裁决后的裁决书、调解书，本保证人即按照检测结果或裁决书、调解书决定是否承担保证责任。</w:t>
      </w:r>
    </w:p>
    <w:p>
      <w:pPr>
        <w:spacing w:line="360" w:lineRule="auto"/>
        <w:ind w:firstLine="420" w:firstLineChars="200"/>
        <w:rPr>
          <w:rFonts w:ascii="宋体" w:hAnsi="宋体"/>
          <w:szCs w:val="21"/>
        </w:rPr>
      </w:pPr>
      <w:r>
        <w:rPr>
          <w:rFonts w:hint="eastAsia" w:ascii="宋体" w:hAnsi="宋体"/>
          <w:szCs w:val="21"/>
        </w:rPr>
        <w:t>2．我方收到你方的书面索赔通知及相应证明材料，在</w:t>
      </w:r>
      <w:r>
        <w:rPr>
          <w:rFonts w:hint="eastAsia" w:ascii="宋体" w:hAnsi="宋体"/>
          <w:szCs w:val="21"/>
          <w:u w:val="single"/>
        </w:rPr>
        <w:t xml:space="preserve">     </w:t>
      </w:r>
      <w:r>
        <w:rPr>
          <w:rFonts w:hint="eastAsia" w:ascii="宋体" w:hAnsi="宋体"/>
          <w:szCs w:val="21"/>
        </w:rPr>
        <w:t>工作日内进行核定后按照本保函的承诺承担保证责任。</w:t>
      </w:r>
    </w:p>
    <w:p>
      <w:pPr>
        <w:spacing w:beforeLines="50" w:afterLines="50" w:line="360" w:lineRule="auto"/>
        <w:ind w:firstLine="450" w:firstLineChars="150"/>
        <w:rPr>
          <w:rFonts w:ascii="黑体" w:hAnsi="宋体" w:eastAsia="黑体"/>
          <w:sz w:val="30"/>
          <w:szCs w:val="30"/>
        </w:rPr>
      </w:pPr>
      <w:r>
        <w:rPr>
          <w:rFonts w:hint="eastAsia" w:ascii="黑体" w:hAnsi="宋体" w:eastAsia="黑体"/>
          <w:sz w:val="30"/>
          <w:szCs w:val="30"/>
        </w:rPr>
        <w:t>四、保证责任的终止</w:t>
      </w:r>
    </w:p>
    <w:p>
      <w:pPr>
        <w:spacing w:line="360" w:lineRule="auto"/>
        <w:ind w:firstLine="420" w:firstLineChars="200"/>
        <w:rPr>
          <w:rFonts w:ascii="宋体" w:hAnsi="宋体"/>
          <w:szCs w:val="21"/>
        </w:rPr>
      </w:pPr>
      <w:r>
        <w:rPr>
          <w:rFonts w:hint="eastAsia" w:ascii="宋体" w:hAnsi="宋体"/>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420" w:firstLineChars="200"/>
        <w:rPr>
          <w:rFonts w:ascii="宋体" w:hAnsi="宋体"/>
          <w:szCs w:val="21"/>
        </w:rPr>
      </w:pPr>
      <w:r>
        <w:rPr>
          <w:rFonts w:hint="eastAsia" w:ascii="宋体" w:hAnsi="宋体"/>
          <w:szCs w:val="21"/>
        </w:rPr>
        <w:t>2．我方按照本保函向你方履行了保证责任后，自我方向你方支付款项（支付款项从我方账户划出）之日起，保证责任即终止。</w:t>
      </w:r>
    </w:p>
    <w:p>
      <w:pPr>
        <w:spacing w:line="360" w:lineRule="auto"/>
        <w:ind w:firstLine="420" w:firstLineChars="200"/>
        <w:rPr>
          <w:rFonts w:ascii="宋体" w:hAnsi="宋体"/>
          <w:szCs w:val="21"/>
        </w:rPr>
      </w:pPr>
      <w:r>
        <w:rPr>
          <w:rFonts w:hint="eastAsia" w:ascii="宋体" w:hAnsi="宋体"/>
          <w:szCs w:val="21"/>
        </w:rPr>
        <w:t>3．按照法律法规的规定或出现应终止我方保证责任的其它情形的，我方在本保函项下的保证责任亦终止。</w:t>
      </w:r>
    </w:p>
    <w:p>
      <w:pPr>
        <w:spacing w:line="360" w:lineRule="auto"/>
        <w:ind w:firstLine="420" w:firstLineChars="200"/>
        <w:rPr>
          <w:rFonts w:ascii="宋体" w:hAnsi="宋体"/>
          <w:szCs w:val="21"/>
        </w:rPr>
      </w:pPr>
      <w:r>
        <w:rPr>
          <w:rFonts w:hint="eastAsia" w:ascii="宋体" w:hAnsi="宋体"/>
          <w:szCs w:val="21"/>
        </w:rPr>
        <w:t>4．你方与中标人修改主合同，加重我方保证责任的，我方对加重部分不承担保证责任，但该等修改事先经我方书面同意的除外；你方与中标人修改主合同履行期限，我方保证期间仍依修改前的履行期限计算，但该等修改事先经我方书面同意的除外。</w:t>
      </w:r>
    </w:p>
    <w:p>
      <w:pPr>
        <w:spacing w:beforeLines="50" w:afterLines="50" w:line="360" w:lineRule="auto"/>
        <w:ind w:firstLine="450" w:firstLineChars="150"/>
        <w:rPr>
          <w:rFonts w:ascii="黑体" w:hAnsi="宋体" w:eastAsia="黑体"/>
          <w:sz w:val="30"/>
          <w:szCs w:val="30"/>
        </w:rPr>
      </w:pPr>
      <w:r>
        <w:rPr>
          <w:rFonts w:hint="eastAsia" w:ascii="黑体" w:hAnsi="宋体" w:eastAsia="黑体"/>
          <w:sz w:val="30"/>
          <w:szCs w:val="30"/>
        </w:rPr>
        <w:t>五、免责条款</w:t>
      </w:r>
    </w:p>
    <w:p>
      <w:pPr>
        <w:spacing w:line="360" w:lineRule="auto"/>
        <w:ind w:firstLine="420" w:firstLineChars="200"/>
        <w:rPr>
          <w:rFonts w:ascii="宋体" w:hAnsi="宋体"/>
          <w:szCs w:val="21"/>
        </w:rPr>
      </w:pPr>
      <w:r>
        <w:rPr>
          <w:rFonts w:hint="eastAsia" w:ascii="宋体" w:hAnsi="宋体"/>
          <w:szCs w:val="21"/>
        </w:rPr>
        <w:t>1．因你方违反主合同约定致使中标人不能履行义务的，我方不承担保证责任。</w:t>
      </w:r>
    </w:p>
    <w:p>
      <w:pPr>
        <w:spacing w:line="360" w:lineRule="auto"/>
        <w:ind w:firstLine="420" w:firstLineChars="200"/>
        <w:rPr>
          <w:rFonts w:ascii="宋体" w:hAnsi="宋体"/>
          <w:szCs w:val="21"/>
        </w:rPr>
      </w:pPr>
      <w:r>
        <w:rPr>
          <w:rFonts w:hint="eastAsia" w:ascii="宋体" w:hAnsi="宋体"/>
          <w:szCs w:val="21"/>
        </w:rPr>
        <w:t>2．依照法律法规的规定或你方与中标人的另行约定，全部或者部分免除中标人应缴纳的保证金义务的，我方亦免除相应的保证责任。</w:t>
      </w:r>
    </w:p>
    <w:p>
      <w:pPr>
        <w:spacing w:line="360" w:lineRule="auto"/>
        <w:ind w:firstLine="420" w:firstLineChars="200"/>
        <w:rPr>
          <w:rFonts w:ascii="宋体" w:hAnsi="宋体"/>
          <w:szCs w:val="21"/>
        </w:rPr>
      </w:pPr>
      <w:r>
        <w:rPr>
          <w:rFonts w:hint="eastAsia" w:ascii="宋体" w:hAnsi="宋体"/>
          <w:szCs w:val="21"/>
        </w:rPr>
        <w:t>3．因不可抗力造成中标人不能履行供货义务的，我方不承担保证责任。</w:t>
      </w:r>
    </w:p>
    <w:p>
      <w:pPr>
        <w:spacing w:beforeLines="50" w:afterLines="50" w:line="360" w:lineRule="auto"/>
        <w:ind w:firstLine="450" w:firstLineChars="150"/>
        <w:rPr>
          <w:rFonts w:ascii="黑体" w:hAnsi="宋体" w:eastAsia="黑体"/>
          <w:sz w:val="30"/>
          <w:szCs w:val="30"/>
        </w:rPr>
      </w:pPr>
      <w:r>
        <w:rPr>
          <w:rFonts w:hint="eastAsia" w:ascii="黑体" w:hAnsi="宋体" w:eastAsia="黑体"/>
          <w:sz w:val="30"/>
          <w:szCs w:val="30"/>
        </w:rPr>
        <w:t>六、争议的解决</w:t>
      </w:r>
    </w:p>
    <w:p>
      <w:pPr>
        <w:spacing w:line="360" w:lineRule="auto"/>
        <w:ind w:firstLine="420" w:firstLineChars="200"/>
        <w:rPr>
          <w:rFonts w:ascii="宋体" w:hAnsi="宋体"/>
          <w:szCs w:val="21"/>
        </w:rPr>
      </w:pPr>
      <w:r>
        <w:rPr>
          <w:rFonts w:hint="eastAsia" w:ascii="宋体" w:hAnsi="宋体"/>
          <w:szCs w:val="21"/>
        </w:rPr>
        <w:t>因本保函发生的纠纷，由你我双方协商解决，协商不成的，通过诉讼程序解决，诉讼管辖地法院为</w:t>
      </w:r>
      <w:r>
        <w:rPr>
          <w:rFonts w:hint="eastAsia" w:ascii="宋体" w:hAnsi="宋体"/>
          <w:szCs w:val="21"/>
          <w:u w:val="single"/>
        </w:rPr>
        <w:t xml:space="preserve">        </w:t>
      </w:r>
      <w:r>
        <w:rPr>
          <w:rFonts w:hint="eastAsia" w:ascii="宋体" w:hAnsi="宋体"/>
          <w:szCs w:val="21"/>
        </w:rPr>
        <w:t>法院。</w:t>
      </w:r>
    </w:p>
    <w:p>
      <w:pPr>
        <w:spacing w:beforeLines="50" w:afterLines="50" w:line="360" w:lineRule="auto"/>
        <w:ind w:firstLine="450" w:firstLineChars="150"/>
        <w:rPr>
          <w:rFonts w:ascii="黑体" w:hAnsi="宋体" w:eastAsia="黑体"/>
          <w:sz w:val="30"/>
          <w:szCs w:val="30"/>
        </w:rPr>
      </w:pPr>
      <w:r>
        <w:rPr>
          <w:rFonts w:hint="eastAsia" w:ascii="黑体" w:hAnsi="宋体" w:eastAsia="黑体"/>
          <w:sz w:val="30"/>
          <w:szCs w:val="30"/>
        </w:rPr>
        <w:t>七、保函的生效</w:t>
      </w:r>
    </w:p>
    <w:p>
      <w:pPr>
        <w:spacing w:line="360" w:lineRule="auto"/>
        <w:ind w:firstLine="420" w:firstLineChars="200"/>
        <w:rPr>
          <w:rFonts w:ascii="宋体" w:hAnsi="宋体"/>
          <w:szCs w:val="21"/>
        </w:rPr>
      </w:pPr>
      <w:r>
        <w:rPr>
          <w:rFonts w:hint="eastAsia" w:ascii="宋体" w:hAnsi="宋体"/>
          <w:szCs w:val="21"/>
        </w:rPr>
        <w:t>本保函自我方加盖公章之日起生效。</w:t>
      </w:r>
      <w:r>
        <w:rPr>
          <w:rFonts w:ascii="宋体" w:hAnsi="宋体"/>
          <w:szCs w:val="21"/>
        </w:rPr>
        <w:t xml:space="preserve">                                 </w:t>
      </w:r>
    </w:p>
    <w:p>
      <w:pPr>
        <w:spacing w:line="360" w:lineRule="auto"/>
        <w:rPr>
          <w:rFonts w:ascii="宋体" w:hAnsi="宋体"/>
          <w:szCs w:val="21"/>
        </w:rPr>
      </w:pPr>
    </w:p>
    <w:p>
      <w:pPr>
        <w:spacing w:line="360" w:lineRule="auto"/>
        <w:ind w:firstLine="5250" w:firstLineChars="2500"/>
        <w:rPr>
          <w:rFonts w:ascii="宋体" w:hAnsi="宋体"/>
          <w:szCs w:val="21"/>
        </w:rPr>
      </w:pPr>
      <w:r>
        <w:rPr>
          <w:rFonts w:hint="eastAsia" w:ascii="宋体" w:hAnsi="宋体"/>
          <w:szCs w:val="21"/>
        </w:rPr>
        <w:t>保证人：（公章）</w:t>
      </w:r>
    </w:p>
    <w:p>
      <w:pPr>
        <w:pStyle w:val="2"/>
        <w:rPr>
          <w:rFonts w:hint="eastAsia"/>
        </w:rPr>
      </w:pPr>
      <w:r>
        <w:rPr>
          <w:rFonts w:hint="eastAsia" w:ascii="宋体" w:hAnsi="宋体"/>
          <w:szCs w:val="21"/>
        </w:rPr>
        <w:t xml:space="preserve">                                                     年  月  日</w:t>
      </w:r>
    </w:p>
    <w:sectPr>
      <w:footerReference r:id="rId11" w:type="default"/>
      <w:pgSz w:w="11900" w:h="16840"/>
      <w:pgMar w:top="1440" w:right="1080" w:bottom="1440" w:left="10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Lucida Sans Unicode">
    <w:panose1 w:val="020B0602030504020204"/>
    <w:charset w:val="00"/>
    <w:family w:val="auto"/>
    <w:pitch w:val="default"/>
    <w:sig w:usb0="80001AFF" w:usb1="0000396B" w:usb2="00000000" w:usb3="00000000" w:csb0="200000BF" w:csb1="D7F7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1118C"/>
    <w:multiLevelType w:val="singleLevel"/>
    <w:tmpl w:val="D381118C"/>
    <w:lvl w:ilvl="0" w:tentative="0">
      <w:start w:val="1"/>
      <w:numFmt w:val="decimal"/>
      <w:lvlText w:val="%1."/>
      <w:lvlJc w:val="left"/>
      <w:pPr>
        <w:ind w:left="425" w:hanging="425"/>
      </w:pPr>
      <w:rPr>
        <w:rFonts w:hint="default"/>
      </w:rPr>
    </w:lvl>
  </w:abstractNum>
  <w:abstractNum w:abstractNumId="1">
    <w:nsid w:val="104FE231"/>
    <w:multiLevelType w:val="singleLevel"/>
    <w:tmpl w:val="104FE231"/>
    <w:lvl w:ilvl="0" w:tentative="0">
      <w:start w:val="1"/>
      <w:numFmt w:val="decimal"/>
      <w:lvlText w:val="%1."/>
      <w:lvlJc w:val="left"/>
      <w:pPr>
        <w:ind w:left="425" w:hanging="425"/>
      </w:pPr>
      <w:rPr>
        <w:rFonts w:hint="default"/>
      </w:rPr>
    </w:lvl>
  </w:abstractNum>
  <w:abstractNum w:abstractNumId="2">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3">
    <w:nsid w:val="4061BC12"/>
    <w:multiLevelType w:val="singleLevel"/>
    <w:tmpl w:val="4061BC12"/>
    <w:lvl w:ilvl="0" w:tentative="0">
      <w:start w:val="1"/>
      <w:numFmt w:val="chineseCounting"/>
      <w:suff w:val="nothing"/>
      <w:lvlText w:val="%1、"/>
      <w:lvlJc w:val="left"/>
      <w:rPr>
        <w:rFonts w:hint="eastAsia"/>
      </w:rPr>
    </w:lvl>
  </w:abstractNum>
  <w:abstractNum w:abstractNumId="4">
    <w:nsid w:val="4DDBD859"/>
    <w:multiLevelType w:val="singleLevel"/>
    <w:tmpl w:val="4DDBD859"/>
    <w:lvl w:ilvl="0" w:tentative="0">
      <w:start w:val="1"/>
      <w:numFmt w:val="chineseCounting"/>
      <w:suff w:val="nothing"/>
      <w:lvlText w:val="%1、"/>
      <w:lvlJc w:val="left"/>
      <w:rPr>
        <w:rFonts w:hint="eastAsia"/>
      </w:rPr>
    </w:lvl>
  </w:abstractNum>
  <w:abstractNum w:abstractNumId="5">
    <w:nsid w:val="6D4C1FEF"/>
    <w:multiLevelType w:val="singleLevel"/>
    <w:tmpl w:val="6D4C1FEF"/>
    <w:lvl w:ilvl="0" w:tentative="0">
      <w:start w:val="1"/>
      <w:numFmt w:val="chineseCounting"/>
      <w:suff w:val="nothing"/>
      <w:lvlText w:val="%1、"/>
      <w:lvlJc w:val="left"/>
      <w:rPr>
        <w:rFonts w:hint="eastAsia"/>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50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ExpandShiftReturn/>
    <w:doNotWrapTextWithPunct/>
    <w:doNotUseEastAsianBreakRules/>
    <w:useFELayout/>
    <w:doNotUseIndentAsNumberingTabStop/>
    <w:compatSetting w:name="compatibilityMode" w:uri="http://schemas.microsoft.com/office/word" w:val="14"/>
  </w:compat>
  <w:docVars>
    <w:docVar w:name="commondata" w:val="eyJoZGlkIjoiZjZiZWY5M2FiNzU1ZTJkOWM2OThhZDA4YjM1YzE3NjIifQ=="/>
  </w:docVars>
  <w:rsids>
    <w:rsidRoot w:val="00000000"/>
    <w:rsid w:val="0195764A"/>
    <w:rsid w:val="01E07299"/>
    <w:rsid w:val="01ED6C4B"/>
    <w:rsid w:val="02F565AE"/>
    <w:rsid w:val="039931C3"/>
    <w:rsid w:val="03FD4132"/>
    <w:rsid w:val="042532DE"/>
    <w:rsid w:val="050322E0"/>
    <w:rsid w:val="059960DD"/>
    <w:rsid w:val="05B66C8F"/>
    <w:rsid w:val="05BB5618"/>
    <w:rsid w:val="06D22095"/>
    <w:rsid w:val="079160F7"/>
    <w:rsid w:val="08316AA1"/>
    <w:rsid w:val="09774987"/>
    <w:rsid w:val="0A510FA4"/>
    <w:rsid w:val="0B0C4E07"/>
    <w:rsid w:val="0C6451D2"/>
    <w:rsid w:val="0D2210AE"/>
    <w:rsid w:val="0D460B9B"/>
    <w:rsid w:val="0DCE6B40"/>
    <w:rsid w:val="0F041E04"/>
    <w:rsid w:val="0F114F36"/>
    <w:rsid w:val="0F583FCC"/>
    <w:rsid w:val="0F7301AD"/>
    <w:rsid w:val="11DB182B"/>
    <w:rsid w:val="122E4051"/>
    <w:rsid w:val="12712DC5"/>
    <w:rsid w:val="12DE7274"/>
    <w:rsid w:val="12E52961"/>
    <w:rsid w:val="12F42BA4"/>
    <w:rsid w:val="13187154"/>
    <w:rsid w:val="13DA637D"/>
    <w:rsid w:val="14B468BF"/>
    <w:rsid w:val="155D0ED5"/>
    <w:rsid w:val="15842889"/>
    <w:rsid w:val="15F555B1"/>
    <w:rsid w:val="16450797"/>
    <w:rsid w:val="164812CA"/>
    <w:rsid w:val="16897F26"/>
    <w:rsid w:val="168A13B6"/>
    <w:rsid w:val="16DC407B"/>
    <w:rsid w:val="172E1B66"/>
    <w:rsid w:val="174A7237"/>
    <w:rsid w:val="18701DE2"/>
    <w:rsid w:val="18BA6619"/>
    <w:rsid w:val="19157D18"/>
    <w:rsid w:val="193E2DCB"/>
    <w:rsid w:val="19CE40A7"/>
    <w:rsid w:val="19D454DE"/>
    <w:rsid w:val="1BEA74D5"/>
    <w:rsid w:val="1C60602A"/>
    <w:rsid w:val="1CEB17A5"/>
    <w:rsid w:val="1CF55718"/>
    <w:rsid w:val="1D540E0F"/>
    <w:rsid w:val="1D7F79EF"/>
    <w:rsid w:val="1D9A259A"/>
    <w:rsid w:val="1DE663D2"/>
    <w:rsid w:val="1E89232D"/>
    <w:rsid w:val="1F021EDA"/>
    <w:rsid w:val="21025026"/>
    <w:rsid w:val="21075857"/>
    <w:rsid w:val="21F027F3"/>
    <w:rsid w:val="224C47AB"/>
    <w:rsid w:val="22550BDA"/>
    <w:rsid w:val="23B00D6A"/>
    <w:rsid w:val="243E7697"/>
    <w:rsid w:val="24763D61"/>
    <w:rsid w:val="27027B2E"/>
    <w:rsid w:val="277E31B0"/>
    <w:rsid w:val="27D75F18"/>
    <w:rsid w:val="28421B20"/>
    <w:rsid w:val="285D489A"/>
    <w:rsid w:val="28CE644C"/>
    <w:rsid w:val="28F811E9"/>
    <w:rsid w:val="29170DC4"/>
    <w:rsid w:val="294E7E06"/>
    <w:rsid w:val="29712D49"/>
    <w:rsid w:val="29E3027D"/>
    <w:rsid w:val="2AD05911"/>
    <w:rsid w:val="2B7E174D"/>
    <w:rsid w:val="2C091017"/>
    <w:rsid w:val="2C6C3F80"/>
    <w:rsid w:val="2D0068BE"/>
    <w:rsid w:val="2D2D6F87"/>
    <w:rsid w:val="2E854D74"/>
    <w:rsid w:val="2EA72D69"/>
    <w:rsid w:val="2F1F0B51"/>
    <w:rsid w:val="2FF8551F"/>
    <w:rsid w:val="31BC4D7D"/>
    <w:rsid w:val="32917FB8"/>
    <w:rsid w:val="3307027A"/>
    <w:rsid w:val="33233306"/>
    <w:rsid w:val="33245604"/>
    <w:rsid w:val="332E5807"/>
    <w:rsid w:val="33B84A98"/>
    <w:rsid w:val="34E22D4D"/>
    <w:rsid w:val="361055D9"/>
    <w:rsid w:val="369D13B4"/>
    <w:rsid w:val="372C7136"/>
    <w:rsid w:val="38CA5FD2"/>
    <w:rsid w:val="38E075A3"/>
    <w:rsid w:val="39516B04"/>
    <w:rsid w:val="3A004EDF"/>
    <w:rsid w:val="3A59760D"/>
    <w:rsid w:val="3A9C399E"/>
    <w:rsid w:val="3AAE58B3"/>
    <w:rsid w:val="3AD969A0"/>
    <w:rsid w:val="3B5424B5"/>
    <w:rsid w:val="3C3B10F1"/>
    <w:rsid w:val="3CC35B10"/>
    <w:rsid w:val="3D122796"/>
    <w:rsid w:val="3D246119"/>
    <w:rsid w:val="3D2F0AF9"/>
    <w:rsid w:val="3D9559C0"/>
    <w:rsid w:val="3DA2751D"/>
    <w:rsid w:val="3E0C3B84"/>
    <w:rsid w:val="3ED835C0"/>
    <w:rsid w:val="3F4F0FDF"/>
    <w:rsid w:val="3F8D4B70"/>
    <w:rsid w:val="3F8D5A9A"/>
    <w:rsid w:val="3FE57D53"/>
    <w:rsid w:val="40170381"/>
    <w:rsid w:val="4037219F"/>
    <w:rsid w:val="40703903"/>
    <w:rsid w:val="41040AA3"/>
    <w:rsid w:val="412903DE"/>
    <w:rsid w:val="414172BF"/>
    <w:rsid w:val="42C83582"/>
    <w:rsid w:val="432E2F98"/>
    <w:rsid w:val="436F7EA2"/>
    <w:rsid w:val="43917E43"/>
    <w:rsid w:val="45316955"/>
    <w:rsid w:val="459B6D2C"/>
    <w:rsid w:val="45C20410"/>
    <w:rsid w:val="47504DA7"/>
    <w:rsid w:val="48A56114"/>
    <w:rsid w:val="48A95C04"/>
    <w:rsid w:val="48F84495"/>
    <w:rsid w:val="49064E04"/>
    <w:rsid w:val="493E5472"/>
    <w:rsid w:val="4A57286A"/>
    <w:rsid w:val="4A5D727D"/>
    <w:rsid w:val="4AE92146"/>
    <w:rsid w:val="4D491763"/>
    <w:rsid w:val="4E3221F7"/>
    <w:rsid w:val="50045AFA"/>
    <w:rsid w:val="50243DC2"/>
    <w:rsid w:val="521B67F5"/>
    <w:rsid w:val="53005A6E"/>
    <w:rsid w:val="5330603D"/>
    <w:rsid w:val="53933738"/>
    <w:rsid w:val="53962C9E"/>
    <w:rsid w:val="53D8114B"/>
    <w:rsid w:val="54A92AE8"/>
    <w:rsid w:val="54C664CE"/>
    <w:rsid w:val="55200FFC"/>
    <w:rsid w:val="553F1336"/>
    <w:rsid w:val="55AC288F"/>
    <w:rsid w:val="55B20855"/>
    <w:rsid w:val="55D2437A"/>
    <w:rsid w:val="58816255"/>
    <w:rsid w:val="5890055A"/>
    <w:rsid w:val="58AD704A"/>
    <w:rsid w:val="58EF1411"/>
    <w:rsid w:val="599D70BF"/>
    <w:rsid w:val="5A1412C3"/>
    <w:rsid w:val="5AE17F69"/>
    <w:rsid w:val="5BC52305"/>
    <w:rsid w:val="5C6B12CC"/>
    <w:rsid w:val="5C7912D6"/>
    <w:rsid w:val="5CCB4A8E"/>
    <w:rsid w:val="5D8F2E94"/>
    <w:rsid w:val="5ED74E21"/>
    <w:rsid w:val="5F3A0F0C"/>
    <w:rsid w:val="600E24AE"/>
    <w:rsid w:val="601F1CF2"/>
    <w:rsid w:val="612C0D28"/>
    <w:rsid w:val="61DE64C6"/>
    <w:rsid w:val="6223212B"/>
    <w:rsid w:val="626764BC"/>
    <w:rsid w:val="62E775FD"/>
    <w:rsid w:val="634B4390"/>
    <w:rsid w:val="637662F0"/>
    <w:rsid w:val="63894210"/>
    <w:rsid w:val="638D4142"/>
    <w:rsid w:val="63D455FE"/>
    <w:rsid w:val="645B3DFE"/>
    <w:rsid w:val="64C01EB3"/>
    <w:rsid w:val="657079B3"/>
    <w:rsid w:val="66086357"/>
    <w:rsid w:val="6614022E"/>
    <w:rsid w:val="66177F65"/>
    <w:rsid w:val="67020A40"/>
    <w:rsid w:val="6713087B"/>
    <w:rsid w:val="6B985E9C"/>
    <w:rsid w:val="6C733CAF"/>
    <w:rsid w:val="6D286848"/>
    <w:rsid w:val="6EDC3D8E"/>
    <w:rsid w:val="6EFD5AB2"/>
    <w:rsid w:val="6F0F5F1F"/>
    <w:rsid w:val="70185150"/>
    <w:rsid w:val="744D4DE6"/>
    <w:rsid w:val="74AE7F7A"/>
    <w:rsid w:val="74F61AF8"/>
    <w:rsid w:val="75E579CC"/>
    <w:rsid w:val="760427D7"/>
    <w:rsid w:val="7871376E"/>
    <w:rsid w:val="79333D81"/>
    <w:rsid w:val="794C17CC"/>
    <w:rsid w:val="798A0AC8"/>
    <w:rsid w:val="7ABF6D39"/>
    <w:rsid w:val="7AEA7832"/>
    <w:rsid w:val="7AF37E57"/>
    <w:rsid w:val="7B5C2BD2"/>
    <w:rsid w:val="7B611E27"/>
    <w:rsid w:val="7B71191C"/>
    <w:rsid w:val="7B755AFC"/>
    <w:rsid w:val="7BCD6162"/>
    <w:rsid w:val="7C8B5ABC"/>
    <w:rsid w:val="7E6C1CCD"/>
    <w:rsid w:val="7E883C3C"/>
    <w:rsid w:val="7EEF3669"/>
    <w:rsid w:val="7F313615"/>
    <w:rsid w:val="7FE707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5"/>
    <w:autoRedefine/>
    <w:qFormat/>
    <w:uiPriority w:val="0"/>
    <w:pPr>
      <w:keepNext/>
      <w:keepLines/>
      <w:spacing w:before="260" w:after="260" w:line="500" w:lineRule="exact"/>
      <w:outlineLvl w:val="1"/>
    </w:pPr>
    <w:rPr>
      <w:rFonts w:ascii="Arial" w:hAnsi="Arial" w:eastAsia="黑体"/>
      <w:b/>
      <w:sz w:val="28"/>
      <w:szCs w:val="20"/>
    </w:rPr>
  </w:style>
  <w:style w:type="paragraph" w:styleId="6">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rPr>
      <w:szCs w:val="24"/>
    </w:rPr>
  </w:style>
  <w:style w:type="paragraph" w:styleId="3">
    <w:name w:val="Body Text"/>
    <w:basedOn w:val="1"/>
    <w:autoRedefine/>
    <w:qFormat/>
    <w:uiPriority w:val="0"/>
    <w:rPr>
      <w:rFonts w:ascii="Arial" w:hAnsi="Arial" w:eastAsia="Arial" w:cs="Arial"/>
      <w:sz w:val="21"/>
      <w:szCs w:val="21"/>
      <w:lang w:val="en-US" w:eastAsia="en-US" w:bidi="ar-SA"/>
    </w:rPr>
  </w:style>
  <w:style w:type="paragraph" w:styleId="5">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Indent"/>
    <w:basedOn w:val="1"/>
    <w:autoRedefine/>
    <w:qFormat/>
    <w:uiPriority w:val="0"/>
    <w:pPr>
      <w:ind w:firstLine="630"/>
    </w:pPr>
    <w:rPr>
      <w:sz w:val="32"/>
      <w:szCs w:val="20"/>
    </w:rPr>
  </w:style>
  <w:style w:type="paragraph" w:styleId="10">
    <w:name w:val="Plain Text"/>
    <w:basedOn w:val="1"/>
    <w:autoRedefine/>
    <w:qFormat/>
    <w:uiPriority w:val="0"/>
    <w:rPr>
      <w:rFonts w:ascii="宋体" w:hAnsi="Courier New" w:cs="Courier New"/>
      <w:szCs w:val="21"/>
    </w:rPr>
  </w:style>
  <w:style w:type="paragraph" w:styleId="11">
    <w:name w:val="Date"/>
    <w:basedOn w:val="1"/>
    <w:next w:val="1"/>
    <w:autoRedefine/>
    <w:qFormat/>
    <w:uiPriority w:val="0"/>
    <w:pPr>
      <w:ind w:left="100" w:leftChars="2500"/>
    </w:pPr>
  </w:style>
  <w:style w:type="paragraph" w:styleId="12">
    <w:name w:val="Body Text Indent 2"/>
    <w:basedOn w:val="1"/>
    <w:autoRedefine/>
    <w:qFormat/>
    <w:uiPriority w:val="0"/>
    <w:pPr>
      <w:ind w:firstLine="630"/>
    </w:pPr>
    <w:rPr>
      <w:sz w:val="32"/>
      <w:szCs w:val="20"/>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2"/>
    <w:basedOn w:val="9"/>
    <w:next w:val="5"/>
    <w:autoRedefine/>
    <w:qFormat/>
    <w:uiPriority w:val="0"/>
    <w:pPr>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宋体" w:hAnsi="宋体" w:eastAsia="宋体" w:cs="宋体"/>
      <w:sz w:val="18"/>
      <w:szCs w:val="18"/>
      <w:lang w:val="en-US" w:eastAsia="en-US" w:bidi="ar-SA"/>
    </w:rPr>
  </w:style>
  <w:style w:type="paragraph" w:customStyle="1" w:styleId="22">
    <w:name w:val="Char1"/>
    <w:basedOn w:val="1"/>
    <w:autoRedefine/>
    <w:qFormat/>
    <w:uiPriority w:val="0"/>
    <w:rPr>
      <w:szCs w:val="21"/>
    </w:rPr>
  </w:style>
  <w:style w:type="paragraph" w:customStyle="1" w:styleId="23">
    <w:name w:val="样式 首行缩进:  2 字符"/>
    <w:basedOn w:val="1"/>
    <w:autoRedefine/>
    <w:qFormat/>
    <w:uiPriority w:val="0"/>
    <w:pPr>
      <w:spacing w:line="400" w:lineRule="exact"/>
      <w:ind w:firstLine="200" w:firstLineChars="200"/>
    </w:pPr>
    <w:rPr>
      <w:rFonts w:cs="宋体"/>
      <w:sz w:val="24"/>
    </w:rPr>
  </w:style>
  <w:style w:type="paragraph" w:styleId="24">
    <w:name w:val="List Paragraph"/>
    <w:basedOn w:val="1"/>
    <w:autoRedefine/>
    <w:qFormat/>
    <w:uiPriority w:val="0"/>
    <w:pPr>
      <w:ind w:firstLine="420" w:firstLineChars="200"/>
    </w:pPr>
    <w:rPr>
      <w:sz w:val="18"/>
      <w:szCs w:val="18"/>
    </w:rPr>
  </w:style>
  <w:style w:type="paragraph" w:customStyle="1" w:styleId="25">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78</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2023-06-25T16:32:00Z</dcterms:created>
  <dc:creator>Administrator</dc:creator>
  <cp:lastModifiedBy>代理公司</cp:lastModifiedBy>
  <dcterms:modified xsi:type="dcterms:W3CDTF">2024-04-10T07:36:35Z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2023-10-17T09:17:05Z</vt:filetime>
  </property>
  <property fmtid="{D5CDD505-2E9C-101B-9397-08002B2CF9AE}" pid="4" name="KSOProductBuildVer">
    <vt:lpwstr>2052-12.1.0.16120</vt:lpwstr>
  </property>
  <property fmtid="{D5CDD505-2E9C-101B-9397-08002B2CF9AE}" pid="5" name="ICV">
    <vt:lpwstr>ECBD7F708D5C4DA19FFD0E6C9ACFB2D5_13</vt:lpwstr>
  </property>
</Properties>
</file>