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jc w:val="both"/>
      </w:pPr>
      <w:bookmarkStart w:id="0" w:name="_Toc31046"/>
      <w:r>
        <w:rPr>
          <w:rFonts w:hint="eastAsia"/>
        </w:rPr>
        <w:t>合同条款</w:t>
      </w:r>
      <w:bookmarkEnd w:id="0"/>
    </w:p>
    <w:p>
      <w:pPr>
        <w:ind w:left="3025"/>
      </w:pPr>
    </w:p>
    <w:p>
      <w:pPr>
        <w:spacing w:line="360" w:lineRule="auto"/>
        <w:jc w:val="center"/>
        <w:rPr>
          <w:rFonts w:ascii="宋体" w:hAnsi="宋体"/>
          <w:b/>
          <w:bCs/>
          <w:spacing w:val="14"/>
          <w:sz w:val="22"/>
        </w:rPr>
      </w:pPr>
      <w:r>
        <w:rPr>
          <w:rFonts w:ascii="宋体" w:hAnsi="宋体"/>
          <w:b/>
          <w:bCs/>
          <w:spacing w:val="23"/>
          <w:sz w:val="22"/>
        </w:rPr>
        <w:t>(</w:t>
      </w:r>
      <w:r>
        <w:rPr>
          <w:rFonts w:ascii="宋体" w:hAnsi="宋体"/>
          <w:b/>
          <w:bCs/>
          <w:spacing w:val="14"/>
          <w:sz w:val="22"/>
        </w:rPr>
        <w:t>合同版本仅供参考，最终以采购人通用的范本为准)</w:t>
      </w:r>
    </w:p>
    <w:p>
      <w:pPr>
        <w:pStyle w:val="4"/>
      </w:pPr>
    </w:p>
    <w:p>
      <w:pPr>
        <w:rPr>
          <w:b/>
          <w:bCs/>
          <w:sz w:val="24"/>
          <w:szCs w:val="24"/>
        </w:rPr>
      </w:pPr>
      <w:r>
        <w:rPr>
          <w:rFonts w:hint="eastAsia"/>
          <w:b/>
          <w:bCs/>
          <w:sz w:val="24"/>
          <w:szCs w:val="24"/>
        </w:rPr>
        <w:t>合同编号：</w:t>
      </w:r>
    </w:p>
    <w:p/>
    <w:p>
      <w:pPr>
        <w:pStyle w:val="4"/>
        <w:spacing w:before="70" w:line="219" w:lineRule="auto"/>
        <w:ind w:firstLine="2176" w:firstLineChars="400"/>
        <w:outlineLvl w:val="0"/>
        <w:rPr>
          <w:sz w:val="52"/>
          <w:szCs w:val="52"/>
        </w:rPr>
      </w:pPr>
      <w:bookmarkStart w:id="1" w:name="_Toc6311"/>
      <w:bookmarkStart w:id="2" w:name="_Toc20380"/>
      <w:r>
        <w:rPr>
          <w:b/>
          <w:bCs/>
          <w:spacing w:val="11"/>
          <w:sz w:val="52"/>
          <w:szCs w:val="52"/>
        </w:rPr>
        <w:t>汽车租赁服务合同</w:t>
      </w:r>
      <w:bookmarkEnd w:id="1"/>
      <w:bookmarkEnd w:id="2"/>
    </w:p>
    <w:p>
      <w:pPr>
        <w:jc w:val="center"/>
        <w:rPr>
          <w:rFonts w:ascii="黑体" w:hAnsi="黑体" w:eastAsia="黑体" w:cs="黑体"/>
          <w:sz w:val="52"/>
          <w:szCs w:val="52"/>
        </w:rPr>
      </w:pPr>
    </w:p>
    <w:p>
      <w:pPr>
        <w:pStyle w:val="4"/>
        <w:rPr>
          <w:rFonts w:ascii="黑体" w:hAnsi="黑体" w:eastAsia="黑体" w:cs="黑体"/>
          <w:sz w:val="52"/>
          <w:szCs w:val="52"/>
        </w:rPr>
      </w:pPr>
    </w:p>
    <w:p>
      <w:pPr>
        <w:pStyle w:val="4"/>
        <w:rPr>
          <w:rFonts w:ascii="黑体" w:hAnsi="黑体" w:eastAsia="黑体" w:cs="黑体"/>
          <w:sz w:val="52"/>
          <w:szCs w:val="52"/>
        </w:rPr>
      </w:pPr>
    </w:p>
    <w:p>
      <w:pPr>
        <w:pStyle w:val="4"/>
        <w:rPr>
          <w:rFonts w:ascii="黑体" w:hAnsi="黑体" w:eastAsia="黑体" w:cs="黑体"/>
          <w:sz w:val="52"/>
          <w:szCs w:val="52"/>
        </w:rPr>
      </w:pPr>
    </w:p>
    <w:p>
      <w:pPr>
        <w:pStyle w:val="4"/>
        <w:rPr>
          <w:rFonts w:ascii="黑体" w:hAnsi="黑体" w:eastAsia="黑体" w:cs="黑体"/>
          <w:sz w:val="52"/>
          <w:szCs w:val="52"/>
        </w:rPr>
      </w:pPr>
    </w:p>
    <w:p>
      <w:pPr>
        <w:pStyle w:val="4"/>
        <w:rPr>
          <w:rFonts w:ascii="黑体" w:hAnsi="黑体" w:eastAsia="黑体" w:cs="黑体"/>
          <w:sz w:val="52"/>
          <w:szCs w:val="52"/>
        </w:rPr>
      </w:pPr>
    </w:p>
    <w:p/>
    <w:p>
      <w:pPr>
        <w:ind w:firstLine="1280" w:firstLineChars="400"/>
        <w:rPr>
          <w:rFonts w:ascii="宋体" w:hAnsi="宋体"/>
          <w:sz w:val="32"/>
          <w:szCs w:val="32"/>
          <w:u w:val="single"/>
        </w:rPr>
      </w:pPr>
      <w:r>
        <w:rPr>
          <w:rFonts w:hint="eastAsia" w:ascii="宋体" w:hAnsi="宋体"/>
          <w:sz w:val="32"/>
          <w:szCs w:val="32"/>
        </w:rPr>
        <w:t>甲方（委托方）：</w:t>
      </w:r>
      <w:r>
        <w:rPr>
          <w:rFonts w:hint="eastAsia" w:ascii="宋体" w:hAnsi="宋体"/>
          <w:sz w:val="32"/>
          <w:szCs w:val="32"/>
          <w:u w:val="single"/>
        </w:rPr>
        <w:t xml:space="preserve">                         </w:t>
      </w:r>
    </w:p>
    <w:p>
      <w:pPr>
        <w:ind w:firstLine="960" w:firstLineChars="300"/>
        <w:rPr>
          <w:rFonts w:ascii="宋体" w:hAnsi="宋体"/>
          <w:sz w:val="32"/>
          <w:szCs w:val="32"/>
          <w:u w:val="single"/>
        </w:rPr>
      </w:pPr>
    </w:p>
    <w:p>
      <w:pPr>
        <w:ind w:firstLine="1280" w:firstLineChars="400"/>
        <w:rPr>
          <w:rFonts w:ascii="宋体" w:hAnsi="宋体"/>
          <w:sz w:val="36"/>
          <w:szCs w:val="36"/>
        </w:rPr>
      </w:pPr>
      <w:r>
        <w:rPr>
          <w:rFonts w:hint="eastAsia" w:ascii="宋体" w:hAnsi="宋体"/>
          <w:sz w:val="32"/>
          <w:szCs w:val="32"/>
        </w:rPr>
        <w:t xml:space="preserve">乙方（受托方）： </w:t>
      </w:r>
      <w:r>
        <w:rPr>
          <w:rFonts w:hint="eastAsia" w:ascii="宋体" w:hAnsi="宋体"/>
          <w:sz w:val="36"/>
          <w:szCs w:val="36"/>
          <w:u w:val="single"/>
        </w:rPr>
        <w:t xml:space="preserve">                     </w:t>
      </w:r>
      <w:r>
        <w:rPr>
          <w:rFonts w:hint="eastAsia" w:ascii="宋体" w:hAnsi="宋体"/>
          <w:sz w:val="36"/>
          <w:szCs w:val="36"/>
        </w:rPr>
        <w:t xml:space="preserve"> </w:t>
      </w:r>
    </w:p>
    <w:p>
      <w:pPr>
        <w:pStyle w:val="7"/>
        <w:ind w:firstLine="720"/>
        <w:rPr>
          <w:sz w:val="36"/>
          <w:szCs w:val="36"/>
        </w:rPr>
      </w:pPr>
    </w:p>
    <w:p>
      <w:pPr>
        <w:pStyle w:val="7"/>
        <w:ind w:firstLine="720"/>
        <w:rPr>
          <w:sz w:val="36"/>
          <w:szCs w:val="36"/>
        </w:rPr>
      </w:pPr>
    </w:p>
    <w:p>
      <w:pPr>
        <w:pStyle w:val="7"/>
        <w:ind w:firstLine="720"/>
        <w:rPr>
          <w:sz w:val="36"/>
          <w:szCs w:val="36"/>
        </w:rPr>
      </w:pPr>
      <w:bookmarkStart w:id="15" w:name="_GoBack"/>
      <w:bookmarkEnd w:id="15"/>
    </w:p>
    <w:p>
      <w:pPr>
        <w:pStyle w:val="4"/>
        <w:spacing w:before="70" w:line="219" w:lineRule="auto"/>
        <w:ind w:left="2714"/>
        <w:outlineLvl w:val="0"/>
        <w:rPr>
          <w:b/>
          <w:bCs/>
          <w:spacing w:val="11"/>
          <w:sz w:val="34"/>
          <w:szCs w:val="34"/>
        </w:rPr>
      </w:pPr>
      <w:bookmarkStart w:id="3" w:name="_Toc32079"/>
      <w:bookmarkStart w:id="4" w:name="_Toc7663"/>
      <w:r>
        <w:rPr>
          <w:b/>
          <w:bCs/>
          <w:spacing w:val="11"/>
          <w:sz w:val="34"/>
          <w:szCs w:val="34"/>
        </w:rPr>
        <w:t>汽车租赁服务合同</w:t>
      </w:r>
      <w:bookmarkEnd w:id="3"/>
      <w:bookmarkEnd w:id="4"/>
    </w:p>
    <w:p>
      <w:pPr>
        <w:pStyle w:val="4"/>
        <w:spacing w:before="264" w:line="222" w:lineRule="auto"/>
        <w:rPr>
          <w:sz w:val="24"/>
          <w:szCs w:val="24"/>
        </w:rPr>
      </w:pPr>
      <w:r>
        <w:rPr>
          <w:spacing w:val="19"/>
          <w:sz w:val="24"/>
          <w:szCs w:val="24"/>
        </w:rPr>
        <w:t xml:space="preserve">甲方(委托方): </w:t>
      </w:r>
      <w:r>
        <w:rPr>
          <w:spacing w:val="19"/>
          <w:sz w:val="24"/>
          <w:szCs w:val="24"/>
          <w:u w:val="single"/>
        </w:rPr>
        <w:t>西安市公安局灞桥分局</w:t>
      </w:r>
      <w:r>
        <w:rPr>
          <w:rFonts w:hint="eastAsia"/>
          <w:spacing w:val="19"/>
          <w:sz w:val="24"/>
          <w:szCs w:val="24"/>
          <w:u w:val="single"/>
        </w:rPr>
        <w:t xml:space="preserve"> </w:t>
      </w:r>
    </w:p>
    <w:p>
      <w:pPr>
        <w:pStyle w:val="4"/>
        <w:spacing w:before="301" w:line="219" w:lineRule="auto"/>
      </w:pPr>
      <w:r>
        <w:rPr>
          <w:spacing w:val="23"/>
          <w:sz w:val="24"/>
          <w:szCs w:val="24"/>
        </w:rPr>
        <w:t>乙方(受托方):</w:t>
      </w:r>
      <w:r>
        <w:rPr>
          <w:spacing w:val="-72"/>
          <w:sz w:val="24"/>
          <w:szCs w:val="24"/>
        </w:rPr>
        <w:t xml:space="preserve"> </w:t>
      </w:r>
      <w:r>
        <w:rPr>
          <w:spacing w:val="-102"/>
          <w:sz w:val="24"/>
          <w:szCs w:val="24"/>
          <w:u w:val="single"/>
        </w:rPr>
        <w:t xml:space="preserve"> </w:t>
      </w:r>
      <w:r>
        <w:rPr>
          <w:rFonts w:hint="eastAsia"/>
          <w:spacing w:val="23"/>
          <w:sz w:val="24"/>
          <w:szCs w:val="24"/>
          <w:u w:val="single"/>
        </w:rPr>
        <w:t xml:space="preserve">                   </w:t>
      </w:r>
    </w:p>
    <w:p>
      <w:pPr>
        <w:pStyle w:val="4"/>
        <w:spacing w:line="500" w:lineRule="exact"/>
        <w:ind w:firstLine="480" w:firstLineChars="200"/>
        <w:rPr>
          <w:rFonts w:ascii="宋体" w:hAnsi="宋体"/>
          <w:sz w:val="24"/>
          <w:szCs w:val="24"/>
        </w:rPr>
      </w:pPr>
      <w:r>
        <w:rPr>
          <w:rFonts w:hint="eastAsia" w:ascii="宋体" w:hAnsi="宋体"/>
          <w:sz w:val="24"/>
          <w:szCs w:val="24"/>
        </w:rPr>
        <w:t>根据《中华人民共和国民法典》、《中华人民共和国政府采购法》 与项目行业有关的法律法规，以及本项目</w:t>
      </w:r>
      <w:r>
        <w:rPr>
          <w:rFonts w:hint="eastAsia" w:ascii="宋体" w:hAnsi="宋体"/>
          <w:sz w:val="24"/>
          <w:szCs w:val="24"/>
          <w:u w:val="single"/>
          <w:lang w:eastAsia="zh-CN"/>
        </w:rPr>
        <w:t>新筑派出所等单位车辆租赁服务采购项目</w:t>
      </w:r>
      <w:r>
        <w:rPr>
          <w:rFonts w:hint="eastAsia" w:ascii="宋体" w:hAnsi="宋体"/>
          <w:sz w:val="24"/>
          <w:szCs w:val="24"/>
          <w:u w:val="single"/>
        </w:rPr>
        <w:t xml:space="preserve"> （项目编号：     ) </w:t>
      </w:r>
      <w:r>
        <w:rPr>
          <w:rFonts w:hint="eastAsia" w:ascii="宋体" w:hAnsi="宋体"/>
          <w:sz w:val="24"/>
          <w:szCs w:val="24"/>
        </w:rPr>
        <w:t>相关采购要求的规定，合同双 方就乙方向采购方提供汽车租赁服务项目事宜，经协商达成一致，确立本合同。</w:t>
      </w:r>
    </w:p>
    <w:p>
      <w:pPr>
        <w:pStyle w:val="4"/>
        <w:spacing w:before="251" w:line="222" w:lineRule="auto"/>
      </w:pPr>
      <w:r>
        <w:rPr>
          <w:b/>
          <w:bCs/>
          <w:spacing w:val="-1"/>
        </w:rPr>
        <w:t>一、项目概况</w:t>
      </w:r>
    </w:p>
    <w:p>
      <w:pPr>
        <w:pStyle w:val="4"/>
        <w:spacing w:line="500" w:lineRule="exact"/>
        <w:rPr>
          <w:rFonts w:ascii="宋体" w:hAnsi="宋体"/>
          <w:sz w:val="24"/>
          <w:szCs w:val="24"/>
        </w:rPr>
      </w:pPr>
      <w:r>
        <w:rPr>
          <w:rFonts w:hint="eastAsia" w:ascii="宋体" w:hAnsi="宋体"/>
          <w:sz w:val="24"/>
          <w:szCs w:val="24"/>
        </w:rPr>
        <w:t>1、项目名称：</w:t>
      </w:r>
      <w:r>
        <w:rPr>
          <w:rFonts w:hint="eastAsia" w:ascii="宋体" w:hAnsi="宋体"/>
          <w:sz w:val="24"/>
          <w:szCs w:val="24"/>
          <w:u w:val="single"/>
          <w:lang w:eastAsia="zh-CN"/>
        </w:rPr>
        <w:t>新筑派出所等单位车辆租赁服务采购项目</w:t>
      </w:r>
      <w:r>
        <w:rPr>
          <w:rFonts w:hint="eastAsia" w:ascii="宋体" w:hAnsi="宋体"/>
          <w:sz w:val="24"/>
          <w:szCs w:val="24"/>
          <w:u w:val="single"/>
        </w:rPr>
        <w:t xml:space="preserve"> </w:t>
      </w:r>
      <w:r>
        <w:rPr>
          <w:rFonts w:hint="eastAsia" w:ascii="宋体" w:hAnsi="宋体"/>
          <w:sz w:val="24"/>
          <w:szCs w:val="24"/>
        </w:rPr>
        <w:t>；</w:t>
      </w:r>
    </w:p>
    <w:p>
      <w:pPr>
        <w:pStyle w:val="4"/>
        <w:spacing w:line="500" w:lineRule="exact"/>
        <w:rPr>
          <w:rFonts w:ascii="宋体" w:hAnsi="宋体"/>
          <w:sz w:val="24"/>
          <w:szCs w:val="24"/>
        </w:rPr>
      </w:pPr>
      <w:r>
        <w:rPr>
          <w:rFonts w:hint="eastAsia" w:ascii="宋体" w:hAnsi="宋体"/>
          <w:sz w:val="24"/>
          <w:szCs w:val="24"/>
        </w:rPr>
        <w:t>2、服务内容：根据甲方的实际需求及具体要求如下：</w:t>
      </w:r>
    </w:p>
    <w:p>
      <w:pPr>
        <w:pStyle w:val="4"/>
        <w:spacing w:before="1" w:line="500" w:lineRule="exact"/>
        <w:rPr>
          <w:rFonts w:ascii="宋体" w:hAnsi="宋体"/>
          <w:sz w:val="24"/>
          <w:szCs w:val="24"/>
        </w:rPr>
      </w:pPr>
      <w:r>
        <w:rPr>
          <w:rFonts w:hint="eastAsia" w:ascii="宋体" w:hAnsi="宋体"/>
          <w:sz w:val="24"/>
          <w:szCs w:val="24"/>
        </w:rPr>
        <w:t>（1）.车辆的日常维修保养等由乙方全面负责；（2）.车辆维修时，乙方 须提供同类型车辆，保障工作用车需求；（3）.乙方应提供证件齐全有效的车辆</w:t>
      </w:r>
      <w:r>
        <w:rPr>
          <w:rFonts w:hint="eastAsia" w:ascii="宋体" w:hAnsi="宋体"/>
          <w:sz w:val="24"/>
          <w:szCs w:val="24"/>
          <w:u w:val="single"/>
        </w:rPr>
        <w:t xml:space="preserve">   </w:t>
      </w:r>
      <w:r>
        <w:rPr>
          <w:rFonts w:hint="eastAsia" w:ascii="宋体" w:hAnsi="宋体"/>
          <w:sz w:val="24"/>
          <w:szCs w:val="24"/>
        </w:rPr>
        <w:t>辆</w:t>
      </w:r>
      <w:r>
        <w:rPr>
          <w:rFonts w:hint="eastAsia" w:ascii="宋体" w:hAnsi="宋体"/>
          <w:sz w:val="24"/>
          <w:szCs w:val="24"/>
          <w:u w:val="single"/>
        </w:rPr>
        <w:t xml:space="preserve">  </w:t>
      </w:r>
      <w:r>
        <w:rPr>
          <w:rFonts w:hint="eastAsia" w:ascii="宋体" w:hAnsi="宋体"/>
          <w:sz w:val="24"/>
          <w:szCs w:val="24"/>
        </w:rPr>
        <w:t>座汽油车，其车辆技术参数与性能指标为乙方提供技术标，同时保证车况良好；（4）.乙方对所供车辆提供交强险及商业险(三责险保额不低于200万元每车，车上人员责任险保额不低于5万元每人)。（5）.乙方所提供的车辆必须为全新未使用的。（6）.乙方所投报价包含每月行驶距离所需的油费,乙方为甲方提供相应的汽车租赁服务；</w:t>
      </w:r>
    </w:p>
    <w:p>
      <w:pPr>
        <w:pStyle w:val="4"/>
        <w:spacing w:before="250" w:line="222" w:lineRule="auto"/>
      </w:pPr>
      <w:r>
        <w:rPr>
          <w:b/>
          <w:bCs/>
          <w:spacing w:val="2"/>
        </w:rPr>
        <w:t>二、合同价款</w:t>
      </w:r>
    </w:p>
    <w:p>
      <w:pPr>
        <w:widowControl/>
        <w:spacing w:line="360" w:lineRule="auto"/>
        <w:ind w:firstLine="480" w:firstLineChars="200"/>
        <w:rPr>
          <w:highlight w:val="none"/>
        </w:rPr>
      </w:pPr>
      <w:r>
        <w:rPr>
          <w:rFonts w:hint="eastAsia" w:ascii="宋体" w:hAnsi="宋体"/>
          <w:sz w:val="24"/>
          <w:szCs w:val="24"/>
          <w:highlight w:val="none"/>
        </w:rPr>
        <w:t>合同签订后30日内一次性支付完成；结算前乙方按要求向甲方开具正式发票，甲方在收到乙方发票且审核无误后按合同约定时间内向乙方按发票金额完成付款。</w:t>
      </w:r>
    </w:p>
    <w:tbl>
      <w:tblPr>
        <w:tblStyle w:val="5"/>
        <w:tblW w:w="7953" w:type="dxa"/>
        <w:tblInd w:w="93" w:type="dxa"/>
        <w:tblLayout w:type="fixed"/>
        <w:tblCellMar>
          <w:top w:w="0" w:type="dxa"/>
          <w:left w:w="108" w:type="dxa"/>
          <w:bottom w:w="0" w:type="dxa"/>
          <w:right w:w="108" w:type="dxa"/>
        </w:tblCellMar>
      </w:tblPr>
      <w:tblGrid>
        <w:gridCol w:w="788"/>
        <w:gridCol w:w="1212"/>
        <w:gridCol w:w="4536"/>
        <w:gridCol w:w="1417"/>
      </w:tblGrid>
      <w:tr>
        <w:tblPrEx>
          <w:tblCellMar>
            <w:top w:w="0" w:type="dxa"/>
            <w:left w:w="108" w:type="dxa"/>
            <w:bottom w:w="0" w:type="dxa"/>
            <w:right w:w="108" w:type="dxa"/>
          </w:tblCellMar>
        </w:tblPrEx>
        <w:trPr>
          <w:trHeight w:val="75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ascii="宋体" w:hAnsi="宋体"/>
                <w:sz w:val="24"/>
                <w:szCs w:val="24"/>
              </w:rPr>
            </w:pPr>
            <w:r>
              <w:rPr>
                <w:rFonts w:hint="eastAsia" w:ascii="宋体" w:hAnsi="宋体"/>
                <w:sz w:val="24"/>
                <w:szCs w:val="24"/>
              </w:rPr>
              <w:t>序号</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240" w:firstLineChars="100"/>
              <w:rPr>
                <w:rFonts w:ascii="宋体" w:hAnsi="宋体"/>
                <w:sz w:val="24"/>
                <w:szCs w:val="24"/>
              </w:rPr>
            </w:pPr>
            <w:r>
              <w:rPr>
                <w:rFonts w:hint="eastAsia" w:ascii="宋体" w:hAnsi="宋体"/>
                <w:sz w:val="24"/>
                <w:szCs w:val="24"/>
              </w:rPr>
              <w:t>品名</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jc w:val="center"/>
              <w:rPr>
                <w:rFonts w:ascii="宋体" w:hAnsi="宋体"/>
                <w:sz w:val="24"/>
                <w:szCs w:val="24"/>
              </w:rPr>
            </w:pPr>
            <w:r>
              <w:rPr>
                <w:rFonts w:hint="eastAsia" w:ascii="宋体" w:hAnsi="宋体"/>
                <w:sz w:val="24"/>
                <w:szCs w:val="24"/>
              </w:rPr>
              <w:t>规格型号</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ascii="宋体" w:hAnsi="宋体"/>
                <w:sz w:val="24"/>
                <w:szCs w:val="24"/>
              </w:rPr>
            </w:pPr>
            <w:r>
              <w:rPr>
                <w:rFonts w:hint="eastAsia" w:ascii="宋体" w:hAnsi="宋体"/>
                <w:sz w:val="24"/>
                <w:szCs w:val="24"/>
              </w:rPr>
              <w:t>数量（辆）</w:t>
            </w:r>
          </w:p>
        </w:tc>
      </w:tr>
      <w:tr>
        <w:tblPrEx>
          <w:tblCellMar>
            <w:top w:w="0" w:type="dxa"/>
            <w:left w:w="108" w:type="dxa"/>
            <w:bottom w:w="0" w:type="dxa"/>
            <w:right w:w="108" w:type="dxa"/>
          </w:tblCellMar>
        </w:tblPrEx>
        <w:trPr>
          <w:trHeight w:val="375"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轿车</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ascii="宋体" w:hAnsi="宋体"/>
                <w:sz w:val="24"/>
                <w:szCs w:val="24"/>
              </w:rPr>
            </w:pPr>
            <w:r>
              <w:rPr>
                <w:rFonts w:hint="eastAsia" w:ascii="宋体" w:hAnsi="宋体"/>
                <w:sz w:val="24"/>
                <w:szCs w:val="24"/>
              </w:rPr>
              <w:t>比亚迪 汉EV 荣耀版650km</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ascii="宋体" w:hAnsi="宋体"/>
                <w:sz w:val="24"/>
                <w:szCs w:val="24"/>
              </w:rPr>
            </w:pPr>
            <w:r>
              <w:rPr>
                <w:rFonts w:hint="eastAsia" w:ascii="宋体" w:hAnsi="宋体"/>
                <w:sz w:val="24"/>
                <w:szCs w:val="24"/>
              </w:rPr>
              <w:t>2</w:t>
            </w:r>
          </w:p>
        </w:tc>
      </w:tr>
      <w:tr>
        <w:tblPrEx>
          <w:tblCellMar>
            <w:top w:w="0" w:type="dxa"/>
            <w:left w:w="108" w:type="dxa"/>
            <w:bottom w:w="0" w:type="dxa"/>
            <w:right w:w="108" w:type="dxa"/>
          </w:tblCellMar>
        </w:tblPrEx>
        <w:trPr>
          <w:trHeight w:val="348"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轿车</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ascii="宋体" w:hAnsi="宋体"/>
                <w:sz w:val="24"/>
                <w:szCs w:val="24"/>
              </w:rPr>
            </w:pPr>
            <w:r>
              <w:rPr>
                <w:rFonts w:hint="eastAsia" w:ascii="宋体" w:hAnsi="宋体"/>
                <w:sz w:val="24"/>
                <w:szCs w:val="24"/>
              </w:rPr>
              <w:t>秦PIUS新能源 荣耀版EV 510km</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ascii="宋体" w:hAnsi="宋体"/>
                <w:sz w:val="24"/>
                <w:szCs w:val="24"/>
              </w:rPr>
            </w:pPr>
            <w:r>
              <w:rPr>
                <w:rFonts w:hint="eastAsia" w:ascii="宋体" w:hAnsi="宋体"/>
                <w:sz w:val="24"/>
                <w:szCs w:val="24"/>
              </w:rPr>
              <w:t>1</w:t>
            </w:r>
          </w:p>
        </w:tc>
      </w:tr>
      <w:tr>
        <w:tblPrEx>
          <w:tblCellMar>
            <w:top w:w="0" w:type="dxa"/>
            <w:left w:w="108" w:type="dxa"/>
            <w:bottom w:w="0" w:type="dxa"/>
            <w:right w:w="108" w:type="dxa"/>
          </w:tblCellMar>
        </w:tblPrEx>
        <w:trPr>
          <w:trHeight w:val="348"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3</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轿车</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ascii="宋体" w:hAnsi="宋体"/>
                <w:sz w:val="24"/>
                <w:szCs w:val="24"/>
              </w:rPr>
            </w:pPr>
            <w:r>
              <w:rPr>
                <w:rFonts w:hint="eastAsia" w:ascii="宋体" w:hAnsi="宋体"/>
                <w:sz w:val="24"/>
                <w:szCs w:val="24"/>
              </w:rPr>
              <w:t>传祺M6 PRO  270T DCT精英版</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ascii="宋体" w:hAnsi="宋体"/>
                <w:sz w:val="24"/>
                <w:szCs w:val="24"/>
              </w:rPr>
            </w:pPr>
            <w:r>
              <w:rPr>
                <w:rFonts w:hint="eastAsia" w:ascii="宋体" w:hAnsi="宋体"/>
                <w:sz w:val="24"/>
                <w:szCs w:val="24"/>
              </w:rPr>
              <w:t>2</w:t>
            </w:r>
          </w:p>
        </w:tc>
      </w:tr>
      <w:tr>
        <w:tblPrEx>
          <w:tblCellMar>
            <w:top w:w="0" w:type="dxa"/>
            <w:left w:w="108" w:type="dxa"/>
            <w:bottom w:w="0" w:type="dxa"/>
            <w:right w:w="108" w:type="dxa"/>
          </w:tblCellMar>
        </w:tblPrEx>
        <w:trPr>
          <w:trHeight w:val="348"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4</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客车</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jc w:val="center"/>
              <w:rPr>
                <w:rFonts w:ascii="宋体" w:hAnsi="宋体"/>
                <w:sz w:val="24"/>
                <w:szCs w:val="24"/>
              </w:rPr>
            </w:pPr>
            <w:r>
              <w:rPr>
                <w:rFonts w:hint="eastAsia" w:ascii="宋体" w:hAnsi="宋体"/>
                <w:sz w:val="24"/>
                <w:szCs w:val="24"/>
              </w:rPr>
              <w:t>依维柯 聚星（自动档）</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ascii="宋体" w:hAnsi="宋体"/>
                <w:sz w:val="24"/>
                <w:szCs w:val="24"/>
              </w:rPr>
            </w:pPr>
            <w:r>
              <w:rPr>
                <w:rFonts w:hint="eastAsia" w:ascii="宋体" w:hAnsi="宋体"/>
                <w:sz w:val="24"/>
                <w:szCs w:val="24"/>
              </w:rPr>
              <w:t>3</w:t>
            </w:r>
          </w:p>
        </w:tc>
      </w:tr>
      <w:tr>
        <w:tblPrEx>
          <w:tblCellMar>
            <w:top w:w="0" w:type="dxa"/>
            <w:left w:w="108" w:type="dxa"/>
            <w:bottom w:w="0" w:type="dxa"/>
            <w:right w:w="108" w:type="dxa"/>
          </w:tblCellMar>
        </w:tblPrEx>
        <w:trPr>
          <w:trHeight w:val="348"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5</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sz w:val="24"/>
                <w:szCs w:val="24"/>
              </w:rPr>
            </w:pPr>
            <w:r>
              <w:rPr>
                <w:rFonts w:hint="eastAsia" w:ascii="宋体" w:hAnsi="宋体"/>
                <w:sz w:val="24"/>
                <w:szCs w:val="24"/>
              </w:rPr>
              <w:t>客车</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jc w:val="center"/>
              <w:rPr>
                <w:rFonts w:ascii="宋体" w:hAnsi="宋体"/>
                <w:sz w:val="24"/>
                <w:szCs w:val="24"/>
              </w:rPr>
            </w:pPr>
            <w:r>
              <w:rPr>
                <w:rFonts w:hint="eastAsia" w:ascii="宋体" w:hAnsi="宋体"/>
                <w:sz w:val="24"/>
                <w:szCs w:val="24"/>
              </w:rPr>
              <w:t>江铃福顺</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ascii="宋体" w:hAnsi="宋体"/>
                <w:sz w:val="24"/>
                <w:szCs w:val="24"/>
              </w:rPr>
            </w:pPr>
            <w:r>
              <w:rPr>
                <w:rFonts w:hint="eastAsia" w:ascii="宋体" w:hAnsi="宋体"/>
                <w:sz w:val="24"/>
                <w:szCs w:val="24"/>
              </w:rPr>
              <w:t>1</w:t>
            </w:r>
          </w:p>
        </w:tc>
      </w:tr>
    </w:tbl>
    <w:p>
      <w:pPr>
        <w:pStyle w:val="4"/>
        <w:spacing w:before="1" w:line="500" w:lineRule="exact"/>
        <w:rPr>
          <w:rFonts w:ascii="宋体" w:hAnsi="宋体"/>
          <w:b/>
          <w:bCs/>
          <w:sz w:val="24"/>
          <w:szCs w:val="24"/>
        </w:rPr>
      </w:pPr>
      <w:r>
        <w:rPr>
          <w:rFonts w:hint="eastAsia" w:ascii="宋体" w:hAnsi="宋体"/>
          <w:b/>
          <w:bCs/>
          <w:sz w:val="24"/>
          <w:szCs w:val="24"/>
        </w:rPr>
        <w:t>三、合同结算</w:t>
      </w:r>
    </w:p>
    <w:p>
      <w:pPr>
        <w:pStyle w:val="4"/>
        <w:spacing w:before="1" w:line="500" w:lineRule="exact"/>
        <w:rPr>
          <w:rFonts w:ascii="宋体" w:hAnsi="宋体"/>
          <w:sz w:val="24"/>
          <w:szCs w:val="24"/>
        </w:rPr>
      </w:pPr>
      <w:r>
        <w:rPr>
          <w:rFonts w:hint="eastAsia" w:ascii="宋体" w:hAnsi="宋体"/>
          <w:sz w:val="24"/>
          <w:szCs w:val="24"/>
        </w:rPr>
        <w:t>1、资金支付时间及条件：</w:t>
      </w:r>
    </w:p>
    <w:p>
      <w:pPr>
        <w:pStyle w:val="4"/>
        <w:spacing w:before="1" w:line="500" w:lineRule="exact"/>
        <w:rPr>
          <w:rFonts w:hint="eastAsia" w:ascii="宋体" w:hAnsi="宋体"/>
          <w:sz w:val="24"/>
          <w:szCs w:val="24"/>
        </w:rPr>
      </w:pPr>
      <w:r>
        <w:rPr>
          <w:rFonts w:hint="eastAsia" w:ascii="宋体" w:hAnsi="宋体"/>
          <w:sz w:val="24"/>
          <w:szCs w:val="24"/>
        </w:rPr>
        <w:t>支付时间：合同签订后30日内一次性支付完成；结算前乙方按要求向甲方开具正式发票，甲方在收到乙方发票且审核无误后按合同约定时间内向乙方按发票金额完成付款。</w:t>
      </w:r>
    </w:p>
    <w:p>
      <w:pPr>
        <w:pStyle w:val="4"/>
        <w:spacing w:before="1" w:line="500" w:lineRule="exact"/>
        <w:rPr>
          <w:rFonts w:ascii="宋体" w:hAnsi="宋体"/>
          <w:sz w:val="24"/>
          <w:szCs w:val="24"/>
        </w:rPr>
      </w:pPr>
      <w:r>
        <w:rPr>
          <w:rFonts w:hint="eastAsia" w:ascii="宋体" w:hAnsi="宋体"/>
          <w:sz w:val="24"/>
          <w:szCs w:val="24"/>
        </w:rPr>
        <w:t>资金支付条件：乙方已满足磋商性文件要求将车辆交付。</w:t>
      </w:r>
    </w:p>
    <w:p>
      <w:pPr>
        <w:pStyle w:val="4"/>
        <w:spacing w:before="1" w:line="500" w:lineRule="exact"/>
        <w:rPr>
          <w:rFonts w:ascii="宋体" w:hAnsi="宋体"/>
          <w:sz w:val="24"/>
          <w:szCs w:val="24"/>
        </w:rPr>
      </w:pPr>
      <w:r>
        <w:rPr>
          <w:rFonts w:hint="eastAsia" w:ascii="宋体" w:hAnsi="宋体"/>
          <w:sz w:val="24"/>
          <w:szCs w:val="24"/>
        </w:rPr>
        <w:t>2、结算方式：银行转账。</w:t>
      </w:r>
    </w:p>
    <w:p>
      <w:pPr>
        <w:pStyle w:val="4"/>
        <w:spacing w:before="1" w:line="500" w:lineRule="exact"/>
        <w:rPr>
          <w:rFonts w:ascii="宋体" w:hAnsi="宋体"/>
          <w:sz w:val="24"/>
          <w:szCs w:val="24"/>
        </w:rPr>
      </w:pPr>
      <w:r>
        <w:rPr>
          <w:rFonts w:hint="eastAsia" w:ascii="宋体" w:hAnsi="宋体"/>
          <w:sz w:val="24"/>
          <w:szCs w:val="24"/>
        </w:rPr>
        <w:t>3、结算单位：由甲方负责结算，乙方开具合同当年的全额发票交甲方。</w:t>
      </w:r>
    </w:p>
    <w:p>
      <w:pPr>
        <w:pStyle w:val="4"/>
        <w:spacing w:before="1" w:line="500" w:lineRule="exact"/>
        <w:rPr>
          <w:rFonts w:ascii="宋体" w:hAnsi="宋体"/>
          <w:b/>
          <w:bCs/>
          <w:sz w:val="24"/>
          <w:szCs w:val="24"/>
        </w:rPr>
      </w:pPr>
      <w:r>
        <w:rPr>
          <w:rFonts w:hint="eastAsia" w:ascii="宋体" w:hAnsi="宋体"/>
          <w:b/>
          <w:bCs/>
          <w:sz w:val="24"/>
          <w:szCs w:val="24"/>
        </w:rPr>
        <w:t>四、服务期限及地点：</w:t>
      </w:r>
    </w:p>
    <w:p>
      <w:pPr>
        <w:pStyle w:val="4"/>
        <w:spacing w:before="1" w:line="500" w:lineRule="exact"/>
        <w:rPr>
          <w:rFonts w:ascii="宋体" w:hAnsi="宋体"/>
          <w:sz w:val="24"/>
          <w:szCs w:val="24"/>
        </w:rPr>
      </w:pPr>
      <w:r>
        <w:rPr>
          <w:rFonts w:hint="eastAsia" w:ascii="宋体" w:hAnsi="宋体"/>
          <w:sz w:val="24"/>
          <w:szCs w:val="24"/>
        </w:rPr>
        <w:t>1、服务期限：1 年。</w:t>
      </w:r>
    </w:p>
    <w:p>
      <w:pPr>
        <w:pStyle w:val="4"/>
        <w:spacing w:before="1" w:line="500" w:lineRule="exact"/>
        <w:rPr>
          <w:rFonts w:ascii="宋体" w:hAnsi="宋体"/>
          <w:sz w:val="24"/>
          <w:szCs w:val="24"/>
        </w:rPr>
      </w:pPr>
      <w:r>
        <w:rPr>
          <w:rFonts w:hint="eastAsia" w:ascii="宋体" w:hAnsi="宋体"/>
          <w:sz w:val="24"/>
          <w:szCs w:val="24"/>
        </w:rPr>
        <w:t>2、地点：按照甲方指定地点(已按磋商性文件要求交付)。</w:t>
      </w:r>
    </w:p>
    <w:p>
      <w:pPr>
        <w:pStyle w:val="4"/>
        <w:spacing w:before="1" w:line="500" w:lineRule="exact"/>
        <w:rPr>
          <w:rFonts w:ascii="宋体" w:hAnsi="宋体"/>
          <w:sz w:val="24"/>
          <w:szCs w:val="24"/>
        </w:rPr>
      </w:pPr>
      <w:r>
        <w:rPr>
          <w:rFonts w:hint="eastAsia" w:ascii="宋体" w:hAnsi="宋体"/>
          <w:sz w:val="24"/>
          <w:szCs w:val="24"/>
        </w:rPr>
        <w:t>五、其他事项：</w:t>
      </w:r>
    </w:p>
    <w:p>
      <w:pPr>
        <w:pStyle w:val="4"/>
        <w:spacing w:before="1" w:line="500" w:lineRule="exact"/>
        <w:rPr>
          <w:rFonts w:ascii="宋体" w:hAnsi="宋体"/>
          <w:sz w:val="24"/>
          <w:szCs w:val="24"/>
        </w:rPr>
      </w:pPr>
      <w:r>
        <w:rPr>
          <w:rFonts w:hint="eastAsia" w:ascii="宋体" w:hAnsi="宋体"/>
          <w:sz w:val="24"/>
          <w:szCs w:val="24"/>
        </w:rPr>
        <w:t>1、乙方不得转让、分包给其它单位或个人。</w:t>
      </w:r>
    </w:p>
    <w:p>
      <w:pPr>
        <w:pStyle w:val="4"/>
        <w:spacing w:before="1" w:line="500" w:lineRule="exact"/>
        <w:rPr>
          <w:rFonts w:ascii="宋体" w:hAnsi="宋体"/>
          <w:sz w:val="24"/>
          <w:szCs w:val="24"/>
        </w:rPr>
      </w:pPr>
      <w:r>
        <w:rPr>
          <w:rFonts w:hint="eastAsia" w:ascii="宋体" w:hAnsi="宋体"/>
          <w:sz w:val="24"/>
          <w:szCs w:val="24"/>
        </w:rPr>
        <w:t>2、乙方的响应文件和承诺等内容将列入合同。</w:t>
      </w:r>
    </w:p>
    <w:p>
      <w:pPr>
        <w:pStyle w:val="4"/>
        <w:spacing w:before="1" w:line="500" w:lineRule="exact"/>
        <w:rPr>
          <w:rFonts w:ascii="宋体" w:hAnsi="宋体"/>
          <w:b/>
          <w:bCs/>
          <w:sz w:val="24"/>
          <w:szCs w:val="24"/>
        </w:rPr>
      </w:pPr>
      <w:r>
        <w:rPr>
          <w:rFonts w:hint="eastAsia" w:ascii="宋体" w:hAnsi="宋体"/>
          <w:b/>
          <w:bCs/>
          <w:sz w:val="24"/>
          <w:szCs w:val="24"/>
        </w:rPr>
        <w:t>六 、甲方的权利和义务</w:t>
      </w:r>
    </w:p>
    <w:p>
      <w:pPr>
        <w:pStyle w:val="4"/>
        <w:spacing w:before="1" w:line="500" w:lineRule="exact"/>
        <w:rPr>
          <w:rFonts w:ascii="宋体" w:hAnsi="宋体"/>
          <w:sz w:val="24"/>
          <w:szCs w:val="24"/>
        </w:rPr>
      </w:pPr>
      <w:r>
        <w:rPr>
          <w:rFonts w:hint="eastAsia" w:ascii="宋体" w:hAnsi="宋体"/>
          <w:sz w:val="24"/>
          <w:szCs w:val="24"/>
        </w:rPr>
        <w:t>1、甲方在合同约定时间内向乙方支付租金费用。</w:t>
      </w:r>
    </w:p>
    <w:p>
      <w:pPr>
        <w:pStyle w:val="4"/>
        <w:spacing w:before="1" w:line="500" w:lineRule="exact"/>
        <w:rPr>
          <w:rFonts w:ascii="宋体" w:hAnsi="宋体"/>
          <w:sz w:val="24"/>
          <w:szCs w:val="24"/>
        </w:rPr>
      </w:pPr>
      <w:r>
        <w:rPr>
          <w:rFonts w:hint="eastAsia" w:ascii="宋体" w:hAnsi="宋体"/>
          <w:sz w:val="24"/>
          <w:szCs w:val="24"/>
        </w:rPr>
        <w:t>2、甲方按照磋商性文件负担租车费用。</w:t>
      </w:r>
    </w:p>
    <w:p>
      <w:pPr>
        <w:pStyle w:val="4"/>
        <w:spacing w:before="1" w:line="500" w:lineRule="exact"/>
        <w:rPr>
          <w:rFonts w:ascii="宋体" w:hAnsi="宋体"/>
          <w:sz w:val="24"/>
          <w:szCs w:val="24"/>
        </w:rPr>
      </w:pPr>
      <w:r>
        <w:rPr>
          <w:rFonts w:hint="eastAsia" w:ascii="宋体" w:hAnsi="宋体"/>
          <w:sz w:val="24"/>
          <w:szCs w:val="24"/>
        </w:rPr>
        <w:t>3、如乙方提供的车辆不能够满足甲方的服务要求时，甲方有权要求乙方在一个月之内进行更换。甲方在车辆使用过程中应严格按照法律法规的规定正确使用因违反相关法律法规规定引起的损失由甲方承担。</w:t>
      </w:r>
    </w:p>
    <w:p>
      <w:pPr>
        <w:pStyle w:val="4"/>
        <w:numPr>
          <w:ilvl w:val="0"/>
          <w:numId w:val="2"/>
        </w:numPr>
        <w:spacing w:before="1" w:line="500" w:lineRule="exact"/>
        <w:rPr>
          <w:rFonts w:ascii="宋体" w:hAnsi="宋体"/>
          <w:b/>
          <w:bCs/>
          <w:sz w:val="24"/>
          <w:szCs w:val="24"/>
        </w:rPr>
      </w:pPr>
      <w:r>
        <w:rPr>
          <w:rFonts w:hint="eastAsia" w:ascii="宋体" w:hAnsi="宋体"/>
          <w:b/>
          <w:bCs/>
          <w:sz w:val="24"/>
          <w:szCs w:val="24"/>
        </w:rPr>
        <w:t>乙方的权利和义务</w:t>
      </w:r>
    </w:p>
    <w:p>
      <w:pPr>
        <w:pStyle w:val="4"/>
        <w:spacing w:before="1" w:line="500" w:lineRule="exact"/>
        <w:rPr>
          <w:rFonts w:ascii="宋体" w:hAnsi="宋体"/>
          <w:sz w:val="24"/>
          <w:szCs w:val="24"/>
        </w:rPr>
      </w:pPr>
      <w:r>
        <w:rPr>
          <w:rFonts w:hint="eastAsia" w:ascii="宋体" w:hAnsi="宋体"/>
          <w:sz w:val="24"/>
          <w:szCs w:val="24"/>
        </w:rPr>
        <w:t>1、乙方应严格遵守国家法律、法规和相关规定，诚实、守信，合 法经营，自觉维护甲方利益，提供好相关服务，全面履行报价承诺，自觉接受甲方考核评定、监督和管理，优先为甲方提供符合党政机关用车使用标准的汽车租车服务，确保高标准服务质量，以维护双方的信誉和利益。</w:t>
      </w:r>
    </w:p>
    <w:p>
      <w:pPr>
        <w:pStyle w:val="4"/>
        <w:spacing w:before="1" w:line="500" w:lineRule="exact"/>
        <w:rPr>
          <w:rFonts w:ascii="宋体" w:hAnsi="宋体"/>
          <w:sz w:val="24"/>
          <w:szCs w:val="24"/>
        </w:rPr>
      </w:pPr>
      <w:r>
        <w:rPr>
          <w:rFonts w:hint="eastAsia" w:ascii="宋体" w:hAnsi="宋体"/>
          <w:sz w:val="24"/>
          <w:szCs w:val="24"/>
        </w:rPr>
        <w:t>2、在合同约定时间保证有足够数量的车辆用于保质保量完成合同规定的服务；承租的车辆发生保险事故时，由乙方按照磋商性文件要求负责协调处理。</w:t>
      </w:r>
    </w:p>
    <w:p>
      <w:pPr>
        <w:pStyle w:val="4"/>
        <w:spacing w:before="1" w:line="500" w:lineRule="exact"/>
        <w:rPr>
          <w:rFonts w:ascii="宋体" w:hAnsi="宋体"/>
          <w:sz w:val="24"/>
          <w:szCs w:val="24"/>
        </w:rPr>
      </w:pPr>
      <w:r>
        <w:rPr>
          <w:rFonts w:hint="eastAsia" w:ascii="宋体" w:hAnsi="宋体"/>
          <w:sz w:val="24"/>
          <w:szCs w:val="24"/>
        </w:rPr>
        <w:t>3、对所获得的甲方信息负有保密义务。</w:t>
      </w:r>
    </w:p>
    <w:p>
      <w:pPr>
        <w:pStyle w:val="4"/>
        <w:spacing w:before="1" w:line="500" w:lineRule="exact"/>
        <w:ind w:right="1590" w:rightChars="757"/>
        <w:rPr>
          <w:rFonts w:ascii="宋体" w:hAnsi="宋体"/>
          <w:b/>
          <w:bCs/>
          <w:sz w:val="24"/>
          <w:szCs w:val="24"/>
        </w:rPr>
      </w:pPr>
      <w:r>
        <w:rPr>
          <w:rFonts w:hint="eastAsia" w:ascii="宋体" w:hAnsi="宋体"/>
          <w:b/>
          <w:bCs/>
          <w:sz w:val="24"/>
          <w:szCs w:val="24"/>
        </w:rPr>
        <w:t>八、验收要求</w:t>
      </w:r>
    </w:p>
    <w:p>
      <w:pPr>
        <w:pStyle w:val="4"/>
        <w:spacing w:before="1" w:line="500" w:lineRule="exact"/>
        <w:rPr>
          <w:rFonts w:ascii="宋体" w:hAnsi="宋体"/>
          <w:sz w:val="24"/>
          <w:szCs w:val="24"/>
        </w:rPr>
      </w:pPr>
      <w:r>
        <w:rPr>
          <w:rFonts w:hint="eastAsia" w:ascii="宋体" w:hAnsi="宋体"/>
          <w:sz w:val="24"/>
          <w:szCs w:val="24"/>
        </w:rPr>
        <w:t>验收依据：</w:t>
      </w:r>
    </w:p>
    <w:p>
      <w:pPr>
        <w:pStyle w:val="4"/>
        <w:spacing w:before="1" w:line="500" w:lineRule="exact"/>
        <w:rPr>
          <w:rFonts w:ascii="宋体" w:hAnsi="宋体"/>
          <w:sz w:val="24"/>
          <w:szCs w:val="24"/>
        </w:rPr>
      </w:pPr>
      <w:r>
        <w:rPr>
          <w:rFonts w:hint="eastAsia" w:ascii="宋体" w:hAnsi="宋体"/>
          <w:sz w:val="24"/>
          <w:szCs w:val="24"/>
        </w:rPr>
        <w:t>1、合同文本、合同附件、竞争性磋商文件、磋商响应文件。</w:t>
      </w:r>
    </w:p>
    <w:p>
      <w:pPr>
        <w:pStyle w:val="4"/>
        <w:spacing w:before="1" w:line="500" w:lineRule="exact"/>
        <w:rPr>
          <w:rFonts w:ascii="宋体" w:hAnsi="宋体"/>
          <w:sz w:val="24"/>
          <w:szCs w:val="24"/>
        </w:rPr>
      </w:pPr>
      <w:r>
        <w:rPr>
          <w:rFonts w:hint="eastAsia" w:ascii="宋体" w:hAnsi="宋体"/>
          <w:sz w:val="24"/>
          <w:szCs w:val="24"/>
        </w:rPr>
        <w:t>2、国内相应的标准、规范。</w:t>
      </w:r>
    </w:p>
    <w:p>
      <w:pPr>
        <w:pStyle w:val="4"/>
        <w:spacing w:before="1" w:line="500" w:lineRule="exact"/>
        <w:ind w:right="1590" w:rightChars="757"/>
        <w:rPr>
          <w:rFonts w:ascii="宋体" w:hAnsi="宋体"/>
          <w:b/>
          <w:bCs/>
          <w:sz w:val="24"/>
          <w:szCs w:val="24"/>
        </w:rPr>
      </w:pPr>
      <w:bookmarkStart w:id="5" w:name="_Toc6108"/>
      <w:bookmarkStart w:id="6" w:name="_Toc10535"/>
      <w:r>
        <w:rPr>
          <w:rFonts w:ascii="宋体" w:hAnsi="宋体"/>
          <w:b/>
          <w:bCs/>
          <w:sz w:val="24"/>
          <w:szCs w:val="24"/>
        </w:rPr>
        <w:t>九、违约责任</w:t>
      </w:r>
      <w:bookmarkEnd w:id="5"/>
      <w:bookmarkEnd w:id="6"/>
    </w:p>
    <w:p>
      <w:pPr>
        <w:pStyle w:val="4"/>
        <w:spacing w:before="1" w:line="500" w:lineRule="exact"/>
        <w:rPr>
          <w:rFonts w:ascii="宋体" w:hAnsi="宋体"/>
          <w:sz w:val="24"/>
          <w:szCs w:val="24"/>
        </w:rPr>
      </w:pPr>
      <w:r>
        <w:rPr>
          <w:rFonts w:hint="eastAsia" w:ascii="宋体" w:hAnsi="宋体"/>
          <w:sz w:val="24"/>
          <w:szCs w:val="24"/>
        </w:rPr>
        <w:t>1、违约责任按《中华人民共和国民法典》处理中的相关条款执行。</w:t>
      </w:r>
    </w:p>
    <w:p>
      <w:pPr>
        <w:pStyle w:val="4"/>
        <w:spacing w:before="1" w:line="500" w:lineRule="exact"/>
        <w:ind w:right="99" w:rightChars="47"/>
        <w:rPr>
          <w:rFonts w:ascii="宋体" w:hAnsi="宋体"/>
          <w:sz w:val="24"/>
          <w:szCs w:val="24"/>
        </w:rPr>
      </w:pPr>
      <w:r>
        <w:rPr>
          <w:rFonts w:hint="eastAsia"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6226175</wp:posOffset>
                </wp:positionH>
                <wp:positionV relativeFrom="paragraph">
                  <wp:posOffset>540385</wp:posOffset>
                </wp:positionV>
                <wp:extent cx="61595" cy="1143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61595" cy="114300"/>
                        </a:xfrm>
                        <a:prstGeom prst="rect">
                          <a:avLst/>
                        </a:prstGeom>
                        <a:noFill/>
                        <a:ln>
                          <a:noFill/>
                        </a:ln>
                      </wps:spPr>
                      <wps:txbx>
                        <w:txbxContent>
                          <w:p>
                            <w:pPr>
                              <w:spacing w:before="20" w:line="139" w:lineRule="exact"/>
                              <w:jc w:val="right"/>
                              <w:rPr>
                                <w:rFonts w:ascii="宋体" w:hAnsi="宋体"/>
                                <w:sz w:val="18"/>
                                <w:szCs w:val="18"/>
                              </w:rPr>
                            </w:pPr>
                            <w:r>
                              <w:rPr>
                                <w:rFonts w:ascii="宋体" w:hAnsi="宋体"/>
                                <w:spacing w:val="-34"/>
                                <w:sz w:val="18"/>
                                <w:szCs w:val="18"/>
                              </w:rPr>
                              <w:t>:</w:t>
                            </w:r>
                          </w:p>
                        </w:txbxContent>
                      </wps:txbx>
                      <wps:bodyPr lIns="0" tIns="0" rIns="0" bIns="0" upright="1"/>
                    </wps:wsp>
                  </a:graphicData>
                </a:graphic>
              </wp:anchor>
            </w:drawing>
          </mc:Choice>
          <mc:Fallback>
            <w:pict>
              <v:shape id="_x0000_s1026" o:spid="_x0000_s1026" o:spt="202" type="#_x0000_t202" style="position:absolute;left:0pt;margin-left:490.25pt;margin-top:42.55pt;height:9pt;width:4.85pt;z-index:251659264;mso-width-relative:page;mso-height-relative:page;" filled="f" stroked="f" coordsize="21600,21600" o:gfxdata="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KmzU92QAAAAoBAAAPAAAAAAAAAAEAIAAAACIAAABkcnMvZG93bnJldi54bWxQSwEC&#10;FAAUAAAACACHTuJAQmFIdroBAABwAwAADgAAAAAAAAABACAAAAAoAQAAZHJzL2Uyb0RvYy54bWxQ&#10;SwUGAAAAAAYABgBZAQAAVAUAAAAA&#10;">
                <v:fill on="f" focussize="0,0"/>
                <v:stroke on="f"/>
                <v:imagedata o:title=""/>
                <o:lock v:ext="edit" aspectratio="f"/>
                <v:textbox inset="0mm,0mm,0mm,0mm">
                  <w:txbxContent>
                    <w:p>
                      <w:pPr>
                        <w:spacing w:before="20" w:line="139" w:lineRule="exact"/>
                        <w:jc w:val="right"/>
                        <w:rPr>
                          <w:rFonts w:ascii="宋体" w:hAnsi="宋体"/>
                          <w:sz w:val="18"/>
                          <w:szCs w:val="18"/>
                        </w:rPr>
                      </w:pPr>
                      <w:r>
                        <w:rPr>
                          <w:rFonts w:ascii="宋体" w:hAnsi="宋体"/>
                          <w:spacing w:val="-34"/>
                          <w:sz w:val="18"/>
                          <w:szCs w:val="18"/>
                        </w:rPr>
                        <w:t>:</w:t>
                      </w:r>
                    </w:p>
                  </w:txbxContent>
                </v:textbox>
              </v:shape>
            </w:pict>
          </mc:Fallback>
        </mc:AlternateContent>
      </w:r>
      <w:r>
        <w:rPr>
          <w:rFonts w:hint="eastAsia" w:ascii="宋体" w:hAnsi="宋体"/>
          <w:sz w:val="24"/>
          <w:szCs w:val="24"/>
        </w:rPr>
        <w:t>2、若在行程过程当中发生交通事故、车辆损坏，造成甲方人身伤害或财产损失，则按中华人民共和国交通事故处理相关法律法规，由乙方负责协调处理。</w:t>
      </w:r>
    </w:p>
    <w:p>
      <w:pPr>
        <w:pStyle w:val="4"/>
        <w:spacing w:before="1" w:line="500" w:lineRule="exact"/>
        <w:rPr>
          <w:rFonts w:ascii="宋体" w:hAnsi="宋体"/>
          <w:sz w:val="24"/>
          <w:szCs w:val="24"/>
        </w:rPr>
      </w:pPr>
      <w:r>
        <w:rPr>
          <w:rFonts w:hint="eastAsia" w:ascii="宋体" w:hAnsi="宋体"/>
          <w:sz w:val="24"/>
          <w:szCs w:val="24"/>
        </w:rPr>
        <w:t>3、因发生不可抗力因素造成的任何意外、损失等，双方互不承担违约责任。</w:t>
      </w:r>
    </w:p>
    <w:p>
      <w:pPr>
        <w:pStyle w:val="4"/>
        <w:spacing w:before="1" w:line="500" w:lineRule="exact"/>
        <w:rPr>
          <w:sz w:val="28"/>
          <w:szCs w:val="28"/>
        </w:rPr>
      </w:pPr>
      <w:r>
        <w:rPr>
          <w:rFonts w:hint="eastAsia" w:ascii="宋体" w:hAnsi="宋体"/>
          <w:sz w:val="24"/>
          <w:szCs w:val="24"/>
        </w:rPr>
        <w:t>4、甲乙双方任何一方未按本合同条款规定履行责任，另一方有权要求给予经济赔偿</w:t>
      </w:r>
      <w:r>
        <w:rPr>
          <w:spacing w:val="-9"/>
          <w:sz w:val="28"/>
          <w:szCs w:val="28"/>
        </w:rPr>
        <w:t>。</w:t>
      </w:r>
    </w:p>
    <w:p>
      <w:pPr>
        <w:pStyle w:val="4"/>
        <w:spacing w:before="1" w:line="500" w:lineRule="exact"/>
        <w:ind w:right="1590" w:rightChars="757"/>
        <w:rPr>
          <w:rFonts w:ascii="宋体" w:hAnsi="宋体"/>
          <w:b/>
          <w:bCs/>
          <w:sz w:val="24"/>
          <w:szCs w:val="24"/>
        </w:rPr>
      </w:pPr>
      <w:bookmarkStart w:id="7" w:name="_Toc9818"/>
      <w:bookmarkStart w:id="8" w:name="_Toc32411"/>
      <w:r>
        <w:rPr>
          <w:rFonts w:ascii="宋体" w:hAnsi="宋体"/>
          <w:b/>
          <w:bCs/>
          <w:sz w:val="24"/>
          <w:szCs w:val="24"/>
        </w:rPr>
        <w:t>十、不可抗力事件处理</w:t>
      </w:r>
      <w:bookmarkEnd w:id="7"/>
      <w:bookmarkEnd w:id="8"/>
    </w:p>
    <w:p>
      <w:pPr>
        <w:pStyle w:val="4"/>
        <w:spacing w:before="1" w:line="500" w:lineRule="exact"/>
        <w:rPr>
          <w:rFonts w:ascii="宋体" w:hAnsi="宋体"/>
          <w:sz w:val="24"/>
          <w:szCs w:val="24"/>
        </w:rPr>
      </w:pPr>
      <w:r>
        <w:rPr>
          <w:rFonts w:hint="eastAsia" w:ascii="宋体" w:hAnsi="宋体"/>
          <w:sz w:val="24"/>
          <w:szCs w:val="24"/>
        </w:rPr>
        <w:t>1、因不可抗力造成违约的，遭受不可抗力一方应及时向对方通 报不能履行或不能完全履行的理由，并在随后取得有关权威机构出具 的证明后的15日内向另一方提供不可抗力发生以及持续期间的充分 证据。基于以上行为，允许遭受不可抗力一方延期履行、部分履行或者不履行合同，并根据情况可部分或全部免于承担违约责任。</w:t>
      </w:r>
    </w:p>
    <w:p>
      <w:pPr>
        <w:pStyle w:val="4"/>
        <w:spacing w:before="1" w:line="500" w:lineRule="exact"/>
        <w:rPr>
          <w:rFonts w:ascii="宋体" w:hAnsi="宋体"/>
          <w:sz w:val="24"/>
          <w:szCs w:val="24"/>
        </w:rPr>
      </w:pPr>
      <w:r>
        <w:rPr>
          <w:rFonts w:hint="eastAsia" w:ascii="宋体" w:hAnsi="宋体"/>
          <w:sz w:val="24"/>
          <w:szCs w:val="24"/>
        </w:rPr>
        <w:t>2、本合同中的不可抗力指不能预见、不能避免并不能克服的客 观情况。包括但不限于：自然灾害如地震、台风、洪水、火灾；政府 行为、法律规定或其适用的变化或者其他任何无法预见、避免或者控制的事件。</w:t>
      </w:r>
    </w:p>
    <w:p>
      <w:pPr>
        <w:pStyle w:val="4"/>
        <w:spacing w:before="1" w:line="500" w:lineRule="exact"/>
        <w:ind w:right="1590" w:rightChars="757"/>
        <w:rPr>
          <w:rFonts w:ascii="宋体" w:hAnsi="宋体"/>
          <w:b/>
          <w:bCs/>
          <w:sz w:val="24"/>
          <w:szCs w:val="24"/>
        </w:rPr>
      </w:pPr>
      <w:bookmarkStart w:id="9" w:name="_Toc3549"/>
      <w:bookmarkStart w:id="10" w:name="_Toc14170"/>
      <w:r>
        <w:rPr>
          <w:rFonts w:ascii="宋体" w:hAnsi="宋体"/>
          <w:b/>
          <w:bCs/>
          <w:sz w:val="24"/>
          <w:szCs w:val="24"/>
        </w:rPr>
        <w:t>十一、合同组成</w:t>
      </w:r>
      <w:bookmarkEnd w:id="9"/>
      <w:bookmarkEnd w:id="10"/>
    </w:p>
    <w:p>
      <w:pPr>
        <w:pStyle w:val="4"/>
        <w:spacing w:before="1" w:line="500" w:lineRule="exact"/>
        <w:rPr>
          <w:rFonts w:ascii="宋体" w:hAnsi="宋体"/>
          <w:sz w:val="24"/>
          <w:szCs w:val="24"/>
        </w:rPr>
      </w:pPr>
      <w:r>
        <w:rPr>
          <w:rFonts w:hint="eastAsia" w:ascii="宋体" w:hAnsi="宋体"/>
          <w:sz w:val="24"/>
          <w:szCs w:val="24"/>
        </w:rPr>
        <w:t>1、成交通知书</w:t>
      </w:r>
    </w:p>
    <w:p>
      <w:pPr>
        <w:pStyle w:val="4"/>
        <w:spacing w:before="1" w:line="500" w:lineRule="exact"/>
        <w:rPr>
          <w:rFonts w:ascii="宋体" w:hAnsi="宋体"/>
          <w:sz w:val="24"/>
          <w:szCs w:val="24"/>
        </w:rPr>
      </w:pPr>
      <w:r>
        <w:rPr>
          <w:rFonts w:hint="eastAsia" w:ascii="宋体" w:hAnsi="宋体"/>
          <w:sz w:val="24"/>
          <w:szCs w:val="24"/>
        </w:rPr>
        <w:t>2、合同文件</w:t>
      </w:r>
    </w:p>
    <w:p>
      <w:pPr>
        <w:pStyle w:val="4"/>
        <w:spacing w:before="1" w:line="500" w:lineRule="exact"/>
        <w:rPr>
          <w:rFonts w:ascii="宋体" w:hAnsi="宋体"/>
          <w:sz w:val="24"/>
          <w:szCs w:val="24"/>
        </w:rPr>
      </w:pPr>
      <w:r>
        <w:rPr>
          <w:rFonts w:hint="eastAsia" w:ascii="宋体" w:hAnsi="宋体"/>
          <w:sz w:val="24"/>
          <w:szCs w:val="24"/>
        </w:rPr>
        <w:t>3、国家相关规范及标准</w:t>
      </w:r>
    </w:p>
    <w:p>
      <w:pPr>
        <w:pStyle w:val="4"/>
        <w:spacing w:before="1" w:line="500" w:lineRule="exact"/>
        <w:rPr>
          <w:rFonts w:ascii="宋体" w:hAnsi="宋体"/>
          <w:sz w:val="24"/>
          <w:szCs w:val="24"/>
        </w:rPr>
      </w:pPr>
      <w:r>
        <w:rPr>
          <w:rFonts w:hint="eastAsia" w:ascii="宋体" w:hAnsi="宋体"/>
          <w:sz w:val="24"/>
          <w:szCs w:val="24"/>
        </w:rPr>
        <w:t>4、竞争性磋商文件</w:t>
      </w:r>
    </w:p>
    <w:p>
      <w:pPr>
        <w:pStyle w:val="4"/>
        <w:spacing w:before="1" w:line="500" w:lineRule="exact"/>
        <w:rPr>
          <w:rFonts w:ascii="宋体" w:hAnsi="宋体"/>
          <w:sz w:val="24"/>
          <w:szCs w:val="24"/>
        </w:rPr>
      </w:pPr>
      <w:r>
        <w:rPr>
          <w:rFonts w:hint="eastAsia" w:ascii="宋体" w:hAnsi="宋体"/>
          <w:sz w:val="24"/>
          <w:szCs w:val="24"/>
        </w:rPr>
        <w:t>5、磋商响应文件</w:t>
      </w:r>
    </w:p>
    <w:p>
      <w:pPr>
        <w:pStyle w:val="4"/>
        <w:spacing w:before="1" w:line="500" w:lineRule="exact"/>
        <w:ind w:right="1590" w:rightChars="757"/>
        <w:rPr>
          <w:rFonts w:ascii="宋体" w:hAnsi="宋体"/>
          <w:b/>
          <w:bCs/>
          <w:sz w:val="24"/>
          <w:szCs w:val="24"/>
        </w:rPr>
      </w:pPr>
      <w:bookmarkStart w:id="11" w:name="_Toc21911"/>
      <w:bookmarkStart w:id="12" w:name="_Toc18153"/>
      <w:r>
        <w:rPr>
          <w:rFonts w:ascii="宋体" w:hAnsi="宋体"/>
          <w:b/>
          <w:bCs/>
          <w:sz w:val="24"/>
          <w:szCs w:val="24"/>
        </w:rPr>
        <w:t>十二 、解决争议的方法</w:t>
      </w:r>
      <w:bookmarkEnd w:id="11"/>
      <w:bookmarkEnd w:id="12"/>
    </w:p>
    <w:p>
      <w:pPr>
        <w:pStyle w:val="4"/>
        <w:spacing w:before="1" w:line="500" w:lineRule="exact"/>
        <w:ind w:firstLine="480" w:firstLineChars="200"/>
        <w:rPr>
          <w:rFonts w:ascii="宋体" w:hAnsi="宋体"/>
          <w:sz w:val="24"/>
          <w:szCs w:val="24"/>
        </w:rPr>
      </w:pPr>
      <w:r>
        <w:rPr>
          <w:rFonts w:hint="eastAsia" w:ascii="宋体" w:hAnsi="宋体"/>
          <w:sz w:val="24"/>
          <w:szCs w:val="24"/>
        </w:rPr>
        <w:t>凡因本合同引起的或与本合同有关的争议，双方应友好协商解决。协商不成时，双方均同意采用以下第(1)种争议解决方式：</w:t>
      </w:r>
    </w:p>
    <w:p>
      <w:pPr>
        <w:pStyle w:val="4"/>
        <w:spacing w:before="1" w:line="500" w:lineRule="exact"/>
        <w:rPr>
          <w:rFonts w:ascii="宋体" w:hAnsi="宋体"/>
          <w:sz w:val="24"/>
          <w:szCs w:val="24"/>
        </w:rPr>
      </w:pPr>
      <w:r>
        <w:rPr>
          <w:rFonts w:hint="eastAsia" w:ascii="宋体" w:hAnsi="宋体"/>
          <w:sz w:val="24"/>
          <w:szCs w:val="24"/>
        </w:rPr>
        <w:t>(1)甲、乙双方均同意向(甲方所在地人民法院)提起诉讼。</w:t>
      </w:r>
    </w:p>
    <w:p>
      <w:pPr>
        <w:pStyle w:val="4"/>
        <w:spacing w:before="1" w:line="500" w:lineRule="exact"/>
        <w:rPr>
          <w:rFonts w:ascii="宋体" w:hAnsi="宋体"/>
          <w:sz w:val="24"/>
          <w:szCs w:val="24"/>
        </w:rPr>
      </w:pPr>
      <w:r>
        <w:rPr>
          <w:rFonts w:hint="eastAsia" w:ascii="宋体" w:hAnsi="宋体"/>
          <w:sz w:val="24"/>
          <w:szCs w:val="24"/>
        </w:rPr>
        <w:t>(2)甲、乙双方均同意向(仲裁委员会)提起仲裁。</w:t>
      </w:r>
    </w:p>
    <w:p>
      <w:pPr>
        <w:pStyle w:val="4"/>
        <w:spacing w:before="1" w:line="500" w:lineRule="exact"/>
        <w:ind w:right="1590" w:rightChars="757"/>
        <w:rPr>
          <w:rFonts w:ascii="宋体" w:hAnsi="宋体"/>
          <w:b/>
          <w:bCs/>
          <w:sz w:val="24"/>
          <w:szCs w:val="24"/>
        </w:rPr>
      </w:pPr>
      <w:bookmarkStart w:id="13" w:name="_Toc13094"/>
      <w:bookmarkStart w:id="14" w:name="_Toc26168"/>
      <w:r>
        <w:rPr>
          <w:rFonts w:ascii="宋体" w:hAnsi="宋体"/>
          <w:b/>
          <w:bCs/>
          <w:sz w:val="24"/>
          <w:szCs w:val="24"/>
        </w:rPr>
        <w:t>十三、合同生效及其它</w:t>
      </w:r>
      <w:bookmarkEnd w:id="13"/>
      <w:bookmarkEnd w:id="14"/>
    </w:p>
    <w:p>
      <w:pPr>
        <w:pStyle w:val="4"/>
        <w:spacing w:before="1" w:line="500" w:lineRule="exact"/>
        <w:rPr>
          <w:rFonts w:ascii="宋体" w:hAnsi="宋体"/>
          <w:sz w:val="24"/>
          <w:szCs w:val="24"/>
        </w:rPr>
      </w:pPr>
      <w:r>
        <w:rPr>
          <w:rFonts w:hint="eastAsia" w:ascii="宋体" w:hAnsi="宋体"/>
          <w:sz w:val="24"/>
          <w:szCs w:val="24"/>
        </w:rPr>
        <w:t>1、合同未尽事宜、由甲、乙双方协商，作为合同补充，与原合同具有同等法律效力。</w:t>
      </w:r>
    </w:p>
    <w:p>
      <w:pPr>
        <w:pStyle w:val="4"/>
        <w:spacing w:before="1" w:line="500" w:lineRule="exact"/>
        <w:rPr>
          <w:rFonts w:ascii="宋体" w:hAnsi="宋体"/>
          <w:sz w:val="24"/>
          <w:szCs w:val="24"/>
        </w:rPr>
      </w:pPr>
      <w:r>
        <w:rPr>
          <w:rFonts w:hint="eastAsia" w:ascii="宋体" w:hAnsi="宋体"/>
          <w:sz w:val="24"/>
          <w:szCs w:val="24"/>
        </w:rPr>
        <w:t>2、本合同一式陆份，甲方、乙方双方分别执</w:t>
      </w:r>
      <w:r>
        <w:rPr>
          <w:rFonts w:hint="eastAsia" w:ascii="宋体" w:hAnsi="宋体"/>
          <w:sz w:val="24"/>
          <w:szCs w:val="24"/>
          <w:u w:val="single"/>
        </w:rPr>
        <w:t xml:space="preserve">     </w:t>
      </w:r>
      <w:r>
        <w:rPr>
          <w:rFonts w:hint="eastAsia" w:ascii="宋体" w:hAnsi="宋体"/>
          <w:sz w:val="24"/>
          <w:szCs w:val="24"/>
        </w:rPr>
        <w:t>份，代理公司备案</w:t>
      </w:r>
      <w:r>
        <w:rPr>
          <w:rFonts w:hint="eastAsia" w:ascii="宋体" w:hAnsi="宋体"/>
          <w:sz w:val="24"/>
          <w:szCs w:val="24"/>
          <w:u w:val="single"/>
        </w:rPr>
        <w:t xml:space="preserve"> 壹 </w:t>
      </w:r>
      <w:r>
        <w:rPr>
          <w:rFonts w:hint="eastAsia" w:ascii="宋体" w:hAnsi="宋体"/>
          <w:sz w:val="24"/>
          <w:szCs w:val="24"/>
        </w:rPr>
        <w:t>份。</w:t>
      </w:r>
    </w:p>
    <w:p>
      <w:pPr>
        <w:pStyle w:val="4"/>
        <w:spacing w:before="1" w:line="500" w:lineRule="exact"/>
        <w:rPr>
          <w:rFonts w:ascii="宋体" w:hAnsi="宋体"/>
          <w:sz w:val="24"/>
          <w:szCs w:val="24"/>
        </w:rPr>
      </w:pPr>
      <w:r>
        <w:rPr>
          <w:rFonts w:hint="eastAsia" w:ascii="宋体" w:hAnsi="宋体"/>
          <w:sz w:val="24"/>
          <w:szCs w:val="24"/>
        </w:rPr>
        <w:t>3、合同经甲乙双方盖章、签字后生效，合同签订地点为甲方指定地点。</w:t>
      </w:r>
    </w:p>
    <w:p>
      <w:pPr>
        <w:pStyle w:val="4"/>
        <w:spacing w:before="1" w:line="500" w:lineRule="exact"/>
        <w:rPr>
          <w:rFonts w:ascii="宋体" w:hAnsi="宋体"/>
          <w:sz w:val="24"/>
          <w:szCs w:val="24"/>
        </w:rPr>
      </w:pPr>
      <w:r>
        <w:rPr>
          <w:rFonts w:hint="eastAsia" w:ascii="宋体" w:hAnsi="宋体"/>
          <w:sz w:val="24"/>
          <w:szCs w:val="24"/>
        </w:rPr>
        <w:t>4、生效时间：    年   月   日</w:t>
      </w:r>
    </w:p>
    <w:p>
      <w:pPr>
        <w:pStyle w:val="4"/>
        <w:spacing w:before="1" w:line="500" w:lineRule="exact"/>
        <w:rPr>
          <w:rFonts w:ascii="宋体" w:hAnsi="宋体"/>
          <w:sz w:val="24"/>
          <w:szCs w:val="24"/>
        </w:rPr>
      </w:pPr>
    </w:p>
    <w:p>
      <w:pPr>
        <w:widowControl/>
        <w:jc w:val="left"/>
        <w:rPr>
          <w:rFonts w:ascii="宋体" w:hAnsi="宋体"/>
          <w:sz w:val="24"/>
          <w:szCs w:val="24"/>
        </w:rPr>
      </w:pPr>
      <w:r>
        <w:rPr>
          <w:rFonts w:ascii="宋体" w:hAnsi="宋体"/>
          <w:sz w:val="24"/>
          <w:szCs w:val="24"/>
        </w:rPr>
        <w:br w:type="page"/>
      </w:r>
    </w:p>
    <w:p>
      <w:pPr>
        <w:pStyle w:val="4"/>
        <w:spacing w:before="1" w:line="500" w:lineRule="exact"/>
        <w:rPr>
          <w:rFonts w:ascii="宋体" w:hAnsi="宋体"/>
          <w:sz w:val="24"/>
          <w:szCs w:val="24"/>
        </w:rPr>
      </w:pPr>
      <w:r>
        <w:rPr>
          <w:rFonts w:hint="eastAsia" w:ascii="宋体" w:hAnsi="宋体"/>
          <w:sz w:val="24"/>
          <w:szCs w:val="24"/>
        </w:rPr>
        <w:t>甲方名称(盖章):                        乙方名称(盖章):</w:t>
      </w:r>
    </w:p>
    <w:p>
      <w:pPr>
        <w:pStyle w:val="4"/>
        <w:spacing w:before="1" w:line="500" w:lineRule="exact"/>
        <w:rPr>
          <w:rFonts w:ascii="宋体" w:hAnsi="宋体"/>
          <w:sz w:val="24"/>
          <w:szCs w:val="24"/>
        </w:rPr>
      </w:pPr>
      <w:r>
        <w:rPr>
          <w:rFonts w:hint="eastAsia" w:ascii="宋体" w:hAnsi="宋体"/>
          <w:sz w:val="24"/>
          <w:szCs w:val="24"/>
        </w:rPr>
        <w:t>地址：                                 地址：</w:t>
      </w:r>
    </w:p>
    <w:p>
      <w:pPr>
        <w:pStyle w:val="4"/>
        <w:spacing w:before="1" w:line="500" w:lineRule="exact"/>
        <w:rPr>
          <w:rFonts w:ascii="宋体" w:hAnsi="宋体"/>
          <w:sz w:val="24"/>
          <w:szCs w:val="24"/>
        </w:rPr>
      </w:pPr>
      <w:r>
        <w:rPr>
          <w:rFonts w:hint="eastAsia" w:ascii="宋体" w:hAnsi="宋体"/>
          <w:sz w:val="24"/>
          <w:szCs w:val="24"/>
        </w:rPr>
        <w:t>代表人(签字):                          代表人(签字)</w:t>
      </w:r>
    </w:p>
    <w:p>
      <w:pPr>
        <w:pStyle w:val="4"/>
        <w:spacing w:before="1" w:line="500" w:lineRule="exact"/>
        <w:rPr>
          <w:rFonts w:ascii="宋体" w:hAnsi="宋体"/>
          <w:sz w:val="24"/>
          <w:szCs w:val="24"/>
        </w:rPr>
      </w:pPr>
      <w:r>
        <w:rPr>
          <w:rFonts w:hint="eastAsia" w:ascii="宋体" w:hAnsi="宋体"/>
          <w:sz w:val="24"/>
          <w:szCs w:val="24"/>
        </w:rPr>
        <w:t xml:space="preserve">电话：                                 电话：   </w:t>
      </w:r>
    </w:p>
    <w:p>
      <w:pPr>
        <w:pStyle w:val="4"/>
        <w:spacing w:before="1" w:line="500" w:lineRule="exact"/>
        <w:rPr>
          <w:rFonts w:ascii="宋体" w:hAnsi="宋体"/>
          <w:sz w:val="24"/>
          <w:szCs w:val="24"/>
        </w:rPr>
      </w:pPr>
      <w:r>
        <w:rPr>
          <w:rFonts w:hint="eastAsia" w:ascii="宋体" w:hAnsi="宋体"/>
          <w:sz w:val="24"/>
          <w:szCs w:val="24"/>
        </w:rPr>
        <w:t>开户银行：                             开户银行：</w:t>
      </w:r>
    </w:p>
    <w:p>
      <w:pPr>
        <w:pStyle w:val="4"/>
        <w:spacing w:before="1" w:line="500" w:lineRule="exact"/>
        <w:rPr>
          <w:rFonts w:ascii="宋体" w:hAnsi="宋体"/>
          <w:sz w:val="24"/>
          <w:szCs w:val="24"/>
        </w:rPr>
      </w:pPr>
      <w:r>
        <w:rPr>
          <w:rFonts w:hint="eastAsia" w:ascii="宋体" w:hAnsi="宋体"/>
          <w:sz w:val="24"/>
          <w:szCs w:val="24"/>
        </w:rPr>
        <w:t>帐   号：                              帐    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1A5C10"/>
    <w:multiLevelType w:val="singleLevel"/>
    <w:tmpl w:val="CD1A5C10"/>
    <w:lvl w:ilvl="0" w:tentative="0">
      <w:start w:val="7"/>
      <w:numFmt w:val="chineseCounting"/>
      <w:suff w:val="nothing"/>
      <w:lvlText w:val="%1、"/>
      <w:lvlJc w:val="left"/>
      <w:rPr>
        <w:rFonts w:hint="eastAsia"/>
      </w:rPr>
    </w:lvl>
  </w:abstractNum>
  <w:abstractNum w:abstractNumId="1">
    <w:nsid w:val="EC52F1C8"/>
    <w:multiLevelType w:val="singleLevel"/>
    <w:tmpl w:val="EC52F1C8"/>
    <w:lvl w:ilvl="0" w:tentative="0">
      <w:start w:val="4"/>
      <w:numFmt w:val="chineseCounting"/>
      <w:suff w:val="space"/>
      <w:lvlText w:val="第%1部分"/>
      <w:lvlJc w:val="left"/>
      <w:pPr>
        <w:ind w:left="3025"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6EDD3BB0"/>
    <w:rsid w:val="6EDD3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宋体"/>
      <w:kern w:val="2"/>
      <w:sz w:val="21"/>
      <w:szCs w:val="22"/>
      <w:lang w:val="en-US" w:eastAsia="zh-CN" w:bidi="ar-SA"/>
    </w:rPr>
  </w:style>
  <w:style w:type="paragraph" w:styleId="3">
    <w:name w:val="heading 1"/>
    <w:basedOn w:val="1"/>
    <w:next w:val="1"/>
    <w:qFormat/>
    <w:uiPriority w:val="0"/>
    <w:pPr>
      <w:keepNext/>
      <w:keepLines/>
      <w:spacing w:line="360" w:lineRule="auto"/>
      <w:jc w:val="center"/>
      <w:outlineLvl w:val="0"/>
    </w:pPr>
    <w:rPr>
      <w:b/>
      <w:kern w:val="44"/>
      <w:sz w:val="32"/>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7">
    <w:name w:val="List Paragraph"/>
    <w:basedOn w:val="1"/>
    <w:autoRedefine/>
    <w:qFormat/>
    <w:uiPriority w:val="99"/>
    <w:pPr>
      <w:widowControl/>
      <w:ind w:firstLine="420" w:firstLineChars="200"/>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2024-05-14T02:25:00Z</dcterms:created>
  <dc:creator>马宁</dc:creator>
  <cp:lastModifiedBy>马宁</cp:lastModifiedBy>
  <dcterms:modified xsi:type="dcterms:W3CDTF">2024-05-14T02:26:14Z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679B5974E1944C47AE5682EF3CC25392_11</vt:lpwstr>
  </property>
</Properties>
</file>