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新筑派出所等单位车辆租赁服务采购项目</w:t>
      </w:r>
    </w:p>
    <w:p>
      <w:pPr>
        <w:pStyle w:val="null3"/>
        <w:jc w:val="center"/>
        <w:outlineLvl w:val="2"/>
      </w:pPr>
      <w:r>
        <w:rPr>
          <w:b/>
          <w:sz w:val="28"/>
        </w:rPr>
        <w:t>采购项目编号：</w:t>
      </w:r>
      <w:r>
        <w:rPr>
          <w:b/>
          <w:sz w:val="28"/>
        </w:rPr>
        <w:t>ZLDL-2024112</w:t>
      </w:r>
      <w:r>
        <w:br/>
      </w:r>
      <w:r>
        <w:br/>
      </w:r>
      <w:r>
        <w:br/>
      </w:r>
    </w:p>
    <w:p>
      <w:pPr>
        <w:pStyle w:val="null3"/>
        <w:jc w:val="center"/>
        <w:outlineLvl w:val="2"/>
      </w:pPr>
      <w:r>
        <w:rPr>
          <w:b/>
          <w:sz w:val="28"/>
        </w:rPr>
        <w:t>西安市公安局灞桥分局</w:t>
      </w:r>
    </w:p>
    <w:p>
      <w:pPr>
        <w:pStyle w:val="null3"/>
        <w:jc w:val="center"/>
        <w:outlineLvl w:val="2"/>
      </w:pPr>
      <w:r>
        <w:rPr>
          <w:b/>
          <w:sz w:val="28"/>
        </w:rPr>
        <w:t>陕西中珞工程项目管理有限公司</w:t>
      </w:r>
      <w:r>
        <w:rPr>
          <w:b/>
          <w:sz w:val="28"/>
        </w:rPr>
        <w:t>共同编制</w:t>
      </w:r>
    </w:p>
    <w:p>
      <w:pPr>
        <w:pStyle w:val="null3"/>
        <w:jc w:val="center"/>
        <w:outlineLvl w:val="2"/>
      </w:pPr>
      <w:r>
        <w:rPr>
          <w:b/>
          <w:sz w:val="28"/>
        </w:rPr>
        <w:t>2024年05月15日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陕西中珞工程项目管理有限公司</w:t>
      </w:r>
      <w:r>
        <w:rPr/>
        <w:t>（以下简称“代理机构”）受</w:t>
      </w:r>
      <w:r>
        <w:rPr/>
        <w:t>西安市公安局灞桥分局</w:t>
      </w:r>
      <w:r>
        <w:rPr/>
        <w:t>委托，拟对</w:t>
      </w:r>
      <w:r>
        <w:rPr/>
        <w:t>新筑派出所等单位车辆租赁服务采购项目</w:t>
      </w:r>
      <w:r>
        <w:rPr/>
        <w:t>采用竞争性磋商采购方式进行采购，兹邀请供应商参加本项目的竞争性磋商。</w:t>
      </w:r>
    </w:p>
    <w:p>
      <w:pPr>
        <w:pStyle w:val="null3"/>
        <w:outlineLvl w:val="2"/>
      </w:pPr>
      <w:r>
        <w:rPr>
          <w:b/>
          <w:sz w:val="28"/>
        </w:rPr>
        <w:t>一、项目编号：</w:t>
      </w:r>
      <w:r>
        <w:rPr>
          <w:b/>
          <w:sz w:val="28"/>
        </w:rPr>
        <w:t>ZLDL-2024112</w:t>
      </w:r>
    </w:p>
    <w:p>
      <w:pPr>
        <w:pStyle w:val="null3"/>
        <w:outlineLvl w:val="2"/>
      </w:pPr>
      <w:r>
        <w:rPr>
          <w:b/>
          <w:sz w:val="28"/>
        </w:rPr>
        <w:t>二、项目名称：</w:t>
      </w:r>
      <w:r>
        <w:rPr>
          <w:b/>
          <w:sz w:val="28"/>
        </w:rPr>
        <w:t>新筑派出所等单位车辆租赁服务采购项目</w:t>
      </w:r>
    </w:p>
    <w:p>
      <w:pPr>
        <w:pStyle w:val="null3"/>
        <w:outlineLvl w:val="2"/>
      </w:pPr>
      <w:r>
        <w:rPr>
          <w:b/>
          <w:sz w:val="28"/>
        </w:rPr>
        <w:t>三、磋商项目简介</w:t>
      </w:r>
    </w:p>
    <w:p>
      <w:pPr>
        <w:pStyle w:val="null3"/>
        <w:ind w:firstLine="480"/>
      </w:pPr>
      <w:r>
        <w:rPr/>
        <w:t>为新筑派出所等单位租赁一批运兵车等；主要功能或目标:补充保障派出所日常警情处置和警务活动等。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采购包1（新筑派出所等单位车辆租赁服务采购项目）：属于专门面向中小企业采购。</w:t>
      </w:r>
    </w:p>
    <w:p>
      <w:pPr>
        <w:pStyle w:val="null3"/>
        <w:ind w:firstLine="480"/>
      </w:pPr>
      <w:r>
        <w:rPr/>
        <w:t>（三）本项目的特定资格要求：</w:t>
      </w:r>
    </w:p>
    <w:p>
      <w:pPr>
        <w:pStyle w:val="null3"/>
      </w:pPr>
      <w:r>
        <w:rPr/>
        <w:t>采购包1：</w:t>
      </w:r>
    </w:p>
    <w:p>
      <w:pPr>
        <w:pStyle w:val="null3"/>
      </w:pPr>
      <w:r>
        <w:rPr/>
        <w:t>1、营业执照：供应商应为具有合法注册的法人应提供营业执照（或事业法人证）、组织机构代码证、税务登记证或统一社会信用代码的营业执照或其他组织应提供合法证明文件或自然人提供身份证件</w:t>
      </w:r>
    </w:p>
    <w:p>
      <w:pPr>
        <w:pStyle w:val="null3"/>
      </w:pPr>
      <w:r>
        <w:rPr/>
        <w:t>2、良好的商业信誉和健全的财务会计制度：供应商应提供2022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p>
      <w:pPr>
        <w:pStyle w:val="null3"/>
      </w:pPr>
      <w:r>
        <w:rPr/>
        <w:t>3、履约能力：供应商具有履行合同所必需的设备和专业技术能力的书面声明；</w:t>
      </w:r>
    </w:p>
    <w:p>
      <w:pPr>
        <w:pStyle w:val="null3"/>
      </w:pPr>
      <w:r>
        <w:rPr/>
        <w:t>4、社会保障资金缴纳证明：供应商应提供2023年1月1日以来至少一个月已缴纳的社会保障资金缴存单据或社保机构开具的社会保险参保缴费情况证明；依法不需要缴纳社会保障资金的供应商应提供加盖公章的相关证明文件；</w:t>
      </w:r>
    </w:p>
    <w:p>
      <w:pPr>
        <w:pStyle w:val="null3"/>
      </w:pPr>
      <w:r>
        <w:rPr/>
        <w:t>5、税收缴纳证明：供应商应提供2023年1月1日以来至少一个月已缴纳的增值税纳税证明或完税证明，依法免税的供应商应提供加盖公章的相关证明文件</w:t>
      </w:r>
    </w:p>
    <w:p>
      <w:pPr>
        <w:pStyle w:val="null3"/>
      </w:pPr>
      <w:r>
        <w:rPr/>
        <w:t>6、身份证明 ：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p>
      <w:pPr>
        <w:pStyle w:val="null3"/>
      </w:pPr>
      <w:r>
        <w:rPr/>
        <w:t>7、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pPr>
        <w:pStyle w:val="null3"/>
      </w:pPr>
      <w:r>
        <w:rPr/>
        <w:t>8、非联合体声明：本项目不接受联合体投标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西安市公安局灞桥分局</w:t>
      </w:r>
    </w:p>
    <w:p>
      <w:pPr>
        <w:pStyle w:val="null3"/>
      </w:pPr>
      <w:r>
        <w:rPr/>
        <w:t xml:space="preserve"> 地址： </w:t>
      </w:r>
      <w:r>
        <w:rPr/>
        <w:t>西安市灞桥区纺一路23号</w:t>
      </w:r>
    </w:p>
    <w:p>
      <w:pPr>
        <w:pStyle w:val="null3"/>
      </w:pPr>
      <w:r>
        <w:rPr/>
        <w:t xml:space="preserve"> 邮编： </w:t>
      </w:r>
      <w:r>
        <w:rPr/>
        <w:t>710038</w:t>
      </w:r>
    </w:p>
    <w:p>
      <w:pPr>
        <w:pStyle w:val="null3"/>
      </w:pPr>
      <w:r>
        <w:rPr/>
        <w:t xml:space="preserve"> 联系人： </w:t>
      </w:r>
      <w:r>
        <w:rPr/>
        <w:t>满工</w:t>
      </w:r>
    </w:p>
    <w:p>
      <w:pPr>
        <w:pStyle w:val="null3"/>
      </w:pPr>
      <w:r>
        <w:rPr/>
        <w:t xml:space="preserve"> 联系电话： </w:t>
      </w:r>
      <w:r>
        <w:rPr/>
        <w:t>029-86758055</w:t>
      </w:r>
    </w:p>
    <w:p>
      <w:pPr>
        <w:pStyle w:val="null3"/>
        <w:outlineLvl w:val="3"/>
      </w:pPr>
      <w:r>
        <w:rPr>
          <w:b/>
          <w:sz w:val="24"/>
        </w:rPr>
        <w:t>代理机构：</w:t>
      </w:r>
      <w:r>
        <w:rPr>
          <w:b/>
          <w:sz w:val="24"/>
        </w:rPr>
        <w:t>陕西中珞工程项目管理有限公司</w:t>
      </w:r>
    </w:p>
    <w:p>
      <w:pPr>
        <w:pStyle w:val="null3"/>
      </w:pPr>
      <w:r>
        <w:rPr/>
        <w:t xml:space="preserve"> 地址： </w:t>
      </w:r>
      <w:r>
        <w:rPr/>
        <w:t>西安市雁塔区太白南路139号荣禾云图中心1411室</w:t>
      </w:r>
    </w:p>
    <w:p>
      <w:pPr>
        <w:pStyle w:val="null3"/>
      </w:pPr>
      <w:r>
        <w:rPr/>
        <w:t xml:space="preserve"> 邮编： </w:t>
      </w:r>
      <w:r>
        <w:rPr/>
        <w:t>710065</w:t>
      </w:r>
    </w:p>
    <w:p>
      <w:pPr>
        <w:pStyle w:val="null3"/>
      </w:pPr>
      <w:r>
        <w:rPr/>
        <w:t xml:space="preserve"> 联系人： </w:t>
      </w:r>
      <w:r>
        <w:rPr/>
        <w:t>卞兴前、马宁</w:t>
      </w:r>
    </w:p>
    <w:p>
      <w:pPr>
        <w:pStyle w:val="null3"/>
      </w:pPr>
      <w:r>
        <w:rPr/>
        <w:t xml:space="preserve"> 联系电话： </w:t>
      </w:r>
      <w:r>
        <w:rPr/>
        <w:t>029-89198908--8001</w:t>
      </w:r>
    </w:p>
    <w:p>
      <w:pPr>
        <w:pStyle w:val="null3"/>
        <w:outlineLvl w:val="3"/>
      </w:pPr>
      <w:r>
        <w:rPr>
          <w:b/>
          <w:sz w:val="24"/>
        </w:rPr>
        <w:t>采购监督机构：</w:t>
      </w:r>
      <w:r>
        <w:rPr>
          <w:b/>
          <w:sz w:val="24"/>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采购包1：843,249.00元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代理服务费收费标准：1、采购人与采购代理机构约定，由成交单位支付招标代理服务费，成交单位在领取《成交通知书》之前，应向采购代理机构交纳招标代理服务费。 2、招标代理服务费参照按国家发展改革委发布的《关于进一步放开建设项目专业服务价格的通知》(发改价格 (2015) 299 号) 计取，计算方法参照原国家计委颁布的《招标代理服务收费管理暂行办法》(计价格[2002]1980 号)标准计取。具体收费金额将在中标公告中公布。 3、招标代理服务费，成交单位可以采取现金或者支票、银行汇票、电汇、网银等金融机构转账方式交纳。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西安市公安局灞桥分局</w:t>
      </w:r>
      <w:r>
        <w:rPr/>
        <w:t>和</w:t>
      </w:r>
      <w:r>
        <w:rPr/>
        <w:t>陕西中珞工程项目管理有限公司</w:t>
      </w:r>
      <w:r>
        <w:rPr/>
        <w:t>享有。对磋商文件中供应商参加本次政府采购活动应当具备的条件，磋商项目技术、服务、商务及其他要求，评审细则及标准由</w:t>
      </w:r>
      <w:r>
        <w:rPr/>
        <w:t>西安市公安局灞桥分局</w:t>
      </w:r>
      <w:r>
        <w:rPr/>
        <w:t>负责解释。除上述磋商文件内容，其他内容由</w:t>
      </w:r>
      <w:r>
        <w:rPr/>
        <w:t>陕西中珞工程项目管理有限公司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西安市公安局灞桥分局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陕西中珞工程项目管理有限公司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 xml:space="preserve"> 1、合同文本、合同附件、竞争性磋商文件、磋商响应文件。 2、国内相应的标准、规范等。</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陕西中珞工程项目管理有限公司</w:t>
      </w:r>
      <w:r>
        <w:rPr/>
        <w:t xml:space="preserve"> 负责答复；供应商对除采购需求外的采购文件的询问、质疑由</w:t>
      </w:r>
      <w:r>
        <w:rPr/>
        <w:t>陕西中珞工程项目管理有限公司</w:t>
      </w:r>
      <w:r>
        <w:rPr/>
        <w:t xml:space="preserve"> 负责答复；供应商对采购过程、采购结果的询问、质疑由 </w:t>
      </w:r>
      <w:r>
        <w:rPr/>
        <w:t>陕西中珞工程项目管理有限公司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联系人：马宁</w:t>
      </w:r>
    </w:p>
    <w:p>
      <w:pPr>
        <w:pStyle w:val="null3"/>
      </w:pPr>
      <w:r>
        <w:rPr/>
        <w:t>联系电话：029-89198908--8001</w:t>
      </w:r>
    </w:p>
    <w:p>
      <w:pPr>
        <w:pStyle w:val="null3"/>
      </w:pPr>
      <w:r>
        <w:rPr/>
        <w:t>地址：西安市雁塔区太白南路139号荣禾云图中心1411室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为新筑派出所等单位租赁一批运兵车等；主要功能或目标:补充保障派出所日常警情处置和警务活动等。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843,249.00</w:t>
      </w:r>
    </w:p>
    <w:p>
      <w:pPr>
        <w:pStyle w:val="null3"/>
      </w:pPr>
      <w:r>
        <w:rPr/>
        <w:t>采购包最高限价（元）: 843,249.00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843249</w:t>
            </w:r>
          </w:p>
        </w:tc>
        <w:tc>
          <w:tcPr>
            <w:tcW w:type="dxa" w:w="831"/>
          </w:tcPr>
          <w:p>
            <w:pPr>
              <w:pStyle w:val="null3"/>
              <w:jc w:val="right"/>
            </w:pPr>
            <w:r>
              <w:rPr/>
              <w:t>1.00</w:t>
            </w:r>
          </w:p>
        </w:tc>
        <w:tc>
          <w:tcPr>
            <w:tcW w:type="dxa" w:w="831"/>
          </w:tcPr>
          <w:p>
            <w:pPr>
              <w:pStyle w:val="null3"/>
              <w:jc w:val="right"/>
            </w:pPr>
            <w:r>
              <w:rPr/>
              <w:t>843,249.00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标的名称：843249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一、采购内容：</w:t>
            </w:r>
          </w:p>
          <w:p>
            <w:pPr>
              <w:pStyle w:val="null3"/>
              <w:jc w:val="both"/>
            </w:pPr>
            <w:r>
              <w:rPr>
                <w:rFonts w:ascii="宋体" w:hAnsi="宋体" w:cs="宋体" w:eastAsia="宋体"/>
                <w:b/>
                <w:sz w:val="24"/>
              </w:rPr>
              <w:t>（一）、项目概况</w:t>
            </w:r>
          </w:p>
          <w:p>
            <w:pPr>
              <w:pStyle w:val="null3"/>
              <w:ind w:firstLine="480"/>
              <w:jc w:val="both"/>
            </w:pPr>
            <w:r>
              <w:rPr>
                <w:rFonts w:ascii="宋体" w:hAnsi="宋体" w:cs="宋体" w:eastAsia="宋体"/>
                <w:sz w:val="24"/>
              </w:rPr>
              <w:t>为新筑派出所等单位租赁一批运兵车等；主要功能或目标</w:t>
            </w:r>
            <w:r>
              <w:rPr>
                <w:rFonts w:ascii="宋体" w:hAnsi="宋体" w:cs="宋体" w:eastAsia="宋体"/>
                <w:sz w:val="24"/>
              </w:rPr>
              <w:t>:补充保障派出所日常警情处置和警务活动等。</w:t>
            </w:r>
          </w:p>
          <w:p>
            <w:pPr>
              <w:pStyle w:val="null3"/>
              <w:ind w:firstLine="480"/>
              <w:jc w:val="both"/>
            </w:pPr>
            <w:r>
              <w:rPr>
                <w:rFonts w:ascii="宋体" w:hAnsi="宋体" w:cs="宋体" w:eastAsia="宋体"/>
                <w:b/>
                <w:sz w:val="24"/>
              </w:rPr>
              <w:t>二、技术参数与性能指标相关要求</w:t>
            </w:r>
          </w:p>
          <w:tbl>
            <w:tblPr>
              <w:tblInd w:type="dxa" w:w="90"/>
              <w:tblBorders>
                <w:top w:val="none" w:color="000000" w:sz="4"/>
                <w:left w:val="none" w:color="000000" w:sz="4"/>
                <w:bottom w:val="none" w:color="000000" w:sz="4"/>
                <w:right w:val="none" w:color="000000" w:sz="4"/>
                <w:insideH w:val="none"/>
                <w:insideV w:val="none"/>
              </w:tblBorders>
            </w:tblPr>
            <w:tblGrid>
              <w:gridCol w:w="245"/>
              <w:gridCol w:w="378"/>
              <w:gridCol w:w="1427"/>
              <w:gridCol w:w="486"/>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品名</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规格型号</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数量（辆）</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轿车</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比亚迪</w:t>
                  </w:r>
                  <w:r>
                    <w:rPr>
                      <w:rFonts w:ascii="宋体" w:hAnsi="宋体" w:cs="宋体" w:eastAsia="宋体"/>
                      <w:sz w:val="24"/>
                    </w:rPr>
                    <w:t>汉</w:t>
                  </w:r>
                  <w:r>
                    <w:rPr>
                      <w:rFonts w:ascii="宋体" w:hAnsi="宋体" w:cs="宋体" w:eastAsia="宋体"/>
                      <w:sz w:val="24"/>
                    </w:rPr>
                    <w:t>EV 荣耀版650km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轿车</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秦</w:t>
                  </w:r>
                  <w:r>
                    <w:rPr>
                      <w:rFonts w:ascii="宋体" w:hAnsi="宋体" w:cs="宋体" w:eastAsia="宋体"/>
                      <w:sz w:val="24"/>
                    </w:rPr>
                    <w:t>PIUS新能源 荣耀版EV 510km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轿车</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传祺</w:t>
                  </w:r>
                  <w:r>
                    <w:rPr>
                      <w:rFonts w:ascii="宋体" w:hAnsi="宋体" w:cs="宋体" w:eastAsia="宋体"/>
                      <w:sz w:val="24"/>
                    </w:rPr>
                    <w:t>M6 PRO  270T DCT精英版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客车</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依维柯</w:t>
                  </w:r>
                  <w:r>
                    <w:rPr>
                      <w:rFonts w:ascii="宋体" w:hAnsi="宋体" w:cs="宋体" w:eastAsia="宋体"/>
                      <w:sz w:val="24"/>
                    </w:rPr>
                    <w:t>聚星（自动档）</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客车</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南京依维柯（</w:t>
                  </w:r>
                  <w:r>
                    <w:rPr>
                      <w:rFonts w:ascii="宋体" w:hAnsi="宋体" w:cs="宋体" w:eastAsia="宋体"/>
                      <w:sz w:val="24"/>
                    </w:rPr>
                    <w:t>17坐）、</w:t>
                  </w:r>
                  <w:r>
                    <w:rPr>
                      <w:rFonts w:ascii="宋体" w:hAnsi="宋体" w:cs="宋体" w:eastAsia="宋体"/>
                      <w:sz w:val="24"/>
                    </w:rPr>
                    <w:t>2.8T柴油发动机（95KW/300N.m）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bl>
          <w:p>
            <w:pPr>
              <w:pStyle w:val="null3"/>
              <w:numPr>
                <w:ilvl w:val="0"/>
                <w:numId w:val="1"/>
              </w:numPr>
              <w:ind w:firstLine="482"/>
              <w:jc w:val="center"/>
            </w:pPr>
            <w:r>
              <w:rPr>
                <w:rFonts w:ascii="宋体" w:hAnsi="宋体" w:cs="宋体" w:eastAsia="宋体"/>
                <w:b/>
                <w:sz w:val="24"/>
              </w:rPr>
              <w:t>三、商务要求</w:t>
            </w:r>
          </w:p>
          <w:p>
            <w:pPr>
              <w:pStyle w:val="null3"/>
            </w:pPr>
            <w:r>
              <w:rPr>
                <w:rFonts w:ascii="宋体" w:hAnsi="宋体" w:cs="宋体" w:eastAsia="宋体"/>
                <w:b/>
                <w:sz w:val="24"/>
              </w:rPr>
              <w:t>（一）、服务期及地点：</w:t>
            </w:r>
          </w:p>
          <w:p>
            <w:pPr>
              <w:pStyle w:val="null3"/>
              <w:ind w:firstLine="480"/>
              <w:jc w:val="both"/>
            </w:pPr>
            <w:r>
              <w:rPr>
                <w:rFonts w:ascii="宋体" w:hAnsi="宋体" w:cs="宋体" w:eastAsia="宋体"/>
                <w:sz w:val="24"/>
              </w:rPr>
              <w:t>1、服务期：1年。自合同签订之日起计。</w:t>
            </w:r>
          </w:p>
          <w:p>
            <w:pPr>
              <w:pStyle w:val="null3"/>
              <w:ind w:firstLine="480"/>
              <w:jc w:val="both"/>
            </w:pPr>
            <w:r>
              <w:rPr>
                <w:rFonts w:ascii="宋体" w:hAnsi="宋体" w:cs="宋体" w:eastAsia="宋体"/>
                <w:sz w:val="24"/>
              </w:rPr>
              <w:t>2、服务地点：采购人指定地点。</w:t>
            </w:r>
          </w:p>
          <w:p>
            <w:pPr>
              <w:pStyle w:val="null3"/>
              <w:jc w:val="both"/>
            </w:pPr>
            <w:r>
              <w:rPr>
                <w:rFonts w:ascii="宋体" w:hAnsi="宋体" w:cs="宋体" w:eastAsia="宋体"/>
                <w:b/>
                <w:sz w:val="24"/>
              </w:rPr>
              <w:t>（二）、支付方式：</w:t>
            </w:r>
          </w:p>
          <w:p>
            <w:pPr>
              <w:pStyle w:val="null3"/>
              <w:ind w:firstLine="480"/>
              <w:jc w:val="both"/>
            </w:pPr>
            <w:r>
              <w:rPr>
                <w:rFonts w:ascii="&quot;times new roman&quot;" w:hAnsi="&quot;times new roman&quot;" w:cs="&quot;times new roman&quot;" w:eastAsia="&quot;times new roman&quot;"/>
                <w:sz w:val="21"/>
              </w:rPr>
              <w:t>合同签订后30日内一次性支付完成；结算前乙方按要求向甲方开具正式发票，甲方在收到乙方发票且审核无误后按合同约定时间内向乙方按发票金额完成付款。</w:t>
            </w:r>
          </w:p>
          <w:p>
            <w:pPr>
              <w:pStyle w:val="null3"/>
              <w:jc w:val="both"/>
            </w:pPr>
            <w:r>
              <w:rPr>
                <w:rFonts w:ascii="宋体" w:hAnsi="宋体" w:cs="宋体" w:eastAsia="宋体"/>
                <w:b/>
                <w:sz w:val="24"/>
              </w:rPr>
              <w:t>（三）、合同实施：</w:t>
            </w:r>
          </w:p>
          <w:p>
            <w:pPr>
              <w:pStyle w:val="null3"/>
              <w:ind w:firstLine="480"/>
              <w:jc w:val="both"/>
            </w:pPr>
            <w:r>
              <w:rPr>
                <w:rFonts w:ascii="宋体" w:hAnsi="宋体" w:cs="宋体" w:eastAsia="宋体"/>
                <w:sz w:val="24"/>
              </w:rPr>
              <w:t>1、成交单位应在合同签订后7个日历日内安排人员与采购人就工作进行安排、部署。</w:t>
            </w:r>
          </w:p>
          <w:p>
            <w:pPr>
              <w:pStyle w:val="null3"/>
              <w:ind w:firstLine="480"/>
              <w:jc w:val="both"/>
            </w:pPr>
            <w:r>
              <w:rPr>
                <w:rFonts w:ascii="宋体" w:hAnsi="宋体" w:cs="宋体" w:eastAsia="宋体"/>
                <w:sz w:val="24"/>
              </w:rPr>
              <w:t>2、若未能在服务期内完成合同规定的义务，由此对采购方造成的延误和一切损失，由成交单位承担和赔偿。</w:t>
            </w:r>
          </w:p>
          <w:p>
            <w:pPr>
              <w:pStyle w:val="null3"/>
              <w:jc w:val="both"/>
            </w:pPr>
            <w:r>
              <w:rPr>
                <w:rFonts w:ascii="宋体" w:hAnsi="宋体" w:cs="宋体" w:eastAsia="宋体"/>
                <w:b/>
                <w:sz w:val="24"/>
              </w:rPr>
              <w:t>（四）违约责任：</w:t>
            </w:r>
          </w:p>
          <w:p>
            <w:pPr>
              <w:pStyle w:val="null3"/>
              <w:ind w:firstLine="480"/>
              <w:jc w:val="both"/>
            </w:pPr>
            <w:r>
              <w:rPr>
                <w:rFonts w:ascii="宋体" w:hAnsi="宋体" w:cs="宋体" w:eastAsia="宋体"/>
                <w:sz w:val="24"/>
              </w:rPr>
              <w:t>1、按《中华人民共和国民法典》中的相关条款执行。</w:t>
            </w:r>
          </w:p>
          <w:p>
            <w:pPr>
              <w:pStyle w:val="null3"/>
              <w:ind w:firstLine="480"/>
              <w:jc w:val="both"/>
            </w:pPr>
            <w:r>
              <w:rPr>
                <w:rFonts w:ascii="宋体" w:hAnsi="宋体" w:cs="宋体" w:eastAsia="宋体"/>
                <w:sz w:val="24"/>
              </w:rPr>
              <w:t>2、未按合同要求时限内完成，采购方有权终止合同，并对成交单位违约行为进行追究，同时按《政府采购法》的有关规定进行处罚。</w:t>
            </w:r>
          </w:p>
          <w:p>
            <w:pPr>
              <w:pStyle w:val="null3"/>
              <w:jc w:val="both"/>
            </w:pPr>
            <w:r>
              <w:rPr>
                <w:rFonts w:ascii="宋体" w:hAnsi="宋体" w:cs="宋体" w:eastAsia="宋体"/>
                <w:b/>
                <w:sz w:val="24"/>
              </w:rPr>
              <w:t>四、其他要求：</w:t>
            </w:r>
          </w:p>
          <w:p>
            <w:pPr>
              <w:pStyle w:val="null3"/>
              <w:jc w:val="both"/>
            </w:pPr>
            <w:r>
              <w:rPr>
                <w:rFonts w:ascii="宋体" w:hAnsi="宋体" w:cs="宋体" w:eastAsia="宋体"/>
                <w:sz w:val="24"/>
              </w:rPr>
              <w:t>1、车辆的日常维修保养等由乙方全面负责；</w:t>
            </w:r>
          </w:p>
          <w:p>
            <w:pPr>
              <w:pStyle w:val="null3"/>
              <w:jc w:val="both"/>
            </w:pPr>
            <w:r>
              <w:rPr>
                <w:rFonts w:ascii="宋体" w:hAnsi="宋体" w:cs="宋体" w:eastAsia="宋体"/>
                <w:sz w:val="24"/>
              </w:rPr>
              <w:t>2、车辆维修时，乙方须提供同类型车辆，保障工作用车需求；</w:t>
            </w:r>
          </w:p>
          <w:p>
            <w:pPr>
              <w:pStyle w:val="null3"/>
              <w:jc w:val="both"/>
            </w:pPr>
            <w:r>
              <w:rPr>
                <w:rFonts w:ascii="宋体" w:hAnsi="宋体" w:cs="宋体" w:eastAsia="宋体"/>
                <w:sz w:val="24"/>
              </w:rPr>
              <w:t>3、乙方应提供证件齐全有效的车辆12辆7座汽油车，其车辆技术参数与性能指标为乙方提供技术标，同时保证车况良好；</w:t>
            </w:r>
          </w:p>
          <w:p>
            <w:pPr>
              <w:pStyle w:val="null3"/>
              <w:jc w:val="both"/>
            </w:pPr>
            <w:r>
              <w:rPr>
                <w:rFonts w:ascii="宋体" w:hAnsi="宋体" w:cs="宋体" w:eastAsia="宋体"/>
                <w:sz w:val="24"/>
              </w:rPr>
              <w:t>4、乙方对所供车辆提供交强险及商业险（三责险保额不低于200万元每车，车上人员责任险保额不低于5万元每人）。</w:t>
            </w:r>
          </w:p>
          <w:p>
            <w:pPr>
              <w:pStyle w:val="null3"/>
              <w:jc w:val="both"/>
            </w:pPr>
            <w:r>
              <w:rPr>
                <w:rFonts w:ascii="宋体" w:hAnsi="宋体" w:cs="宋体" w:eastAsia="宋体"/>
                <w:sz w:val="24"/>
              </w:rPr>
              <w:t>5、乙方所提供的车辆必须为全新未使用的。</w:t>
            </w:r>
          </w:p>
          <w:p>
            <w:pPr>
              <w:pStyle w:val="null3"/>
              <w:jc w:val="both"/>
            </w:pPr>
            <w:r>
              <w:rPr>
                <w:rFonts w:ascii="宋体" w:hAnsi="宋体" w:cs="宋体" w:eastAsia="宋体"/>
                <w:sz w:val="24"/>
              </w:rPr>
              <w:t>6、乙方所投报价包含每月行驶距离所需的油费，乙方为甲方提供相应的汽车租赁服务；</w:t>
            </w:r>
          </w:p>
          <w:p>
            <w:pPr>
              <w:pStyle w:val="null3"/>
              <w:jc w:val="both"/>
            </w:pPr>
            <w:r>
              <w:rPr>
                <w:rFonts w:ascii="宋体" w:hAnsi="宋体" w:cs="宋体" w:eastAsia="宋体"/>
                <w:sz w:val="24"/>
              </w:rPr>
              <w:t>7、服务期满后，经甲方全面考核并经双方同意后可续签服务协议。</w:t>
            </w:r>
          </w:p>
          <w:p>
            <w:pPr>
              <w:pStyle w:val="null3"/>
              <w:jc w:val="both"/>
            </w:pPr>
            <w:r>
              <w:rPr>
                <w:rFonts w:ascii="宋体" w:hAnsi="宋体" w:cs="宋体" w:eastAsia="宋体"/>
                <w:b/>
                <w:sz w:val="24"/>
              </w:rPr>
              <w:t>（注：技术要求、商务要求为实质性要求，不得负偏离。）</w:t>
            </w:r>
          </w:p>
          <w:p>
            <w:pPr>
              <w:pStyle w:val="null3"/>
            </w:pPr>
            <w:r>
              <w:rPr/>
              <w:t xml:space="preserve"> </w:t>
            </w:r>
          </w:p>
        </w:tc>
      </w:tr>
    </w:tbl>
    <w:p>
      <w:pPr>
        <w:pStyle w:val="null3"/>
        <w:outlineLvl w:val="2"/>
      </w:pPr>
      <w:r>
        <w:rPr>
          <w:b/>
          <w:sz w:val="28"/>
        </w:rPr>
        <w:t>3.2.3人员配置要求</w:t>
      </w:r>
    </w:p>
    <w:p>
      <w:pPr>
        <w:pStyle w:val="null3"/>
      </w:pPr>
      <w:r>
        <w:rPr/>
        <w:t>采购包1：</w:t>
      </w:r>
    </w:p>
    <w:p>
      <w:pPr>
        <w:pStyle w:val="null3"/>
      </w:pPr>
      <w:r>
        <w:rPr/>
        <w:t>详见采购文件及技术参数与性能指标要求</w:t>
      </w:r>
    </w:p>
    <w:p>
      <w:pPr>
        <w:pStyle w:val="null3"/>
        <w:outlineLvl w:val="2"/>
      </w:pPr>
      <w:r>
        <w:rPr>
          <w:b/>
          <w:sz w:val="28"/>
        </w:rPr>
        <w:t>3.2.4设施设备要求</w:t>
      </w:r>
    </w:p>
    <w:p>
      <w:pPr>
        <w:pStyle w:val="null3"/>
      </w:pPr>
      <w:r>
        <w:rPr/>
        <w:t>采购包1：</w:t>
      </w:r>
    </w:p>
    <w:p>
      <w:pPr>
        <w:pStyle w:val="null3"/>
      </w:pPr>
      <w:r>
        <w:rPr/>
        <w:t>详见采购文件及技术参数与性能指标要求</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1年，自合同签订之日起计。</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符合国家相关标准规定</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合同签订后30日内一次性支付完成；结算前乙方按要求向甲方开具正式发票，甲方在收到乙方发票且审核无误后按合同约定时间内向乙方按发票金额完成付款。</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1、按《中华人民共和国民法典》中的相关条款执行。 2、未按合同要求时限内完成，采购方有权终止合同，并对成交单位违约行为进行追究，同时按《政府采购法》的有关规定进行处罚。</w:t>
      </w:r>
    </w:p>
    <w:p>
      <w:pPr>
        <w:pStyle w:val="null3"/>
        <w:outlineLvl w:val="2"/>
      </w:pPr>
      <w:r>
        <w:rPr>
          <w:b/>
          <w:sz w:val="28"/>
        </w:rPr>
        <w:t>3.4其他要求</w:t>
      </w:r>
    </w:p>
    <w:p>
      <w:pPr>
        <w:pStyle w:val="null3"/>
      </w:pPr>
      <w:r>
        <w:rPr/>
        <w:t>开标结束后三日内，成交单位提供两套纸质版投标文件，与电子上传文件一致，（PDF完整电子版投标文件一份，U盘存储），送至代理公司，地址：西安市雁塔区太白南路139号荣禾云图中心1411室 电话：029-89198908-8001</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供应商资质要求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2022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t>供应商资质要求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供应商应为具有合法注册的法人应提供营业执照（或事业法人证）、组织机构代码证、税务登记证或统一社会信用代码的营业执照或其他组织应提供合法证明文件或自然人提供身份证件</w:t>
            </w:r>
          </w:p>
        </w:tc>
        <w:tc>
          <w:tcPr>
            <w:tcW w:type="dxa" w:w="1661"/>
          </w:tcPr>
          <w:p>
            <w:pPr>
              <w:pStyle w:val="null3"/>
            </w:pPr>
            <w:r>
              <w:rPr/>
              <w:t>供应商资质要求</w:t>
            </w:r>
          </w:p>
        </w:tc>
      </w:tr>
      <w:tr>
        <w:tc>
          <w:tcPr>
            <w:tcW w:type="dxa" w:w="831"/>
          </w:tcPr>
          <w:p>
            <w:pPr>
              <w:pStyle w:val="null3"/>
            </w:pPr>
            <w:r>
              <w:rPr/>
              <w:t>2</w:t>
            </w:r>
          </w:p>
        </w:tc>
        <w:tc>
          <w:tcPr>
            <w:tcW w:type="dxa" w:w="2492"/>
          </w:tcPr>
          <w:p>
            <w:pPr>
              <w:pStyle w:val="null3"/>
            </w:pPr>
            <w:r>
              <w:rPr/>
              <w:t>良好的商业信誉和健全的财务会计制度</w:t>
            </w:r>
          </w:p>
        </w:tc>
        <w:tc>
          <w:tcPr>
            <w:tcW w:type="dxa" w:w="3322"/>
          </w:tcPr>
          <w:p>
            <w:pPr>
              <w:pStyle w:val="null3"/>
            </w:pPr>
            <w:r>
              <w:rPr/>
              <w:t>供应商应提供2022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t>供应商资质要求</w:t>
            </w:r>
          </w:p>
        </w:tc>
      </w:tr>
      <w:tr>
        <w:tc>
          <w:tcPr>
            <w:tcW w:type="dxa" w:w="831"/>
          </w:tcPr>
          <w:p>
            <w:pPr>
              <w:pStyle w:val="null3"/>
            </w:pPr>
            <w:r>
              <w:rPr/>
              <w:t>3</w:t>
            </w:r>
          </w:p>
        </w:tc>
        <w:tc>
          <w:tcPr>
            <w:tcW w:type="dxa" w:w="2492"/>
          </w:tcPr>
          <w:p>
            <w:pPr>
              <w:pStyle w:val="null3"/>
            </w:pPr>
            <w:r>
              <w:rPr/>
              <w:t>履约能力</w:t>
            </w:r>
          </w:p>
        </w:tc>
        <w:tc>
          <w:tcPr>
            <w:tcW w:type="dxa" w:w="3322"/>
          </w:tcPr>
          <w:p>
            <w:pPr>
              <w:pStyle w:val="null3"/>
            </w:pPr>
            <w:r>
              <w:rPr/>
              <w:t>供应商具有履行合同所必需的设备和专业技术能力的书面声明；</w:t>
            </w:r>
          </w:p>
        </w:tc>
        <w:tc>
          <w:tcPr>
            <w:tcW w:type="dxa" w:w="1661"/>
          </w:tcPr>
          <w:p>
            <w:pPr>
              <w:pStyle w:val="null3"/>
            </w:pPr>
            <w:r>
              <w:rPr/>
              <w:t>供应商资质要求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供应商应提供2023年1月1日以来至少一个月已缴纳的社会保障资金缴存单据或社保机构开具的社会保险参保缴费情况证明；依法不需要缴纳社会保障资金的供应商应提供加盖公章的相关证明文件；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t>供应商资质要求</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供应商应提供2023年1月1日以来至少一个月已缴纳的增值税纳税证明或完税证明，依法免税的供应商应提供加盖公章的相关证明文件</w:t>
            </w:r>
          </w:p>
        </w:tc>
        <w:tc>
          <w:tcPr>
            <w:tcW w:type="dxa" w:w="1661"/>
          </w:tcPr>
          <w:p>
            <w:pPr>
              <w:pStyle w:val="null3"/>
            </w:pPr>
            <w:r>
              <w:rPr/>
              <w:t>供应商资质要求</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tc>
        <w:tc>
          <w:tcPr>
            <w:tcW w:type="dxa" w:w="1661"/>
          </w:tcPr>
          <w:p>
            <w:pPr>
              <w:pStyle w:val="null3"/>
            </w:pPr>
            <w:r>
              <w:rPr/>
              <w:t>供应商资质要求</w:t>
            </w:r>
          </w:p>
        </w:tc>
      </w:tr>
      <w:tr>
        <w:tc>
          <w:tcPr>
            <w:tcW w:type="dxa" w:w="831"/>
          </w:tcPr>
          <w:p>
            <w:pPr>
              <w:pStyle w:val="null3"/>
            </w:pPr>
            <w:r>
              <w:rPr/>
              <w:t>7</w:t>
            </w:r>
          </w:p>
        </w:tc>
        <w:tc>
          <w:tcPr>
            <w:tcW w:type="dxa" w:w="2492"/>
          </w:tcPr>
          <w:p>
            <w:pPr>
              <w:pStyle w:val="null3"/>
            </w:pPr>
            <w:r>
              <w:rPr/>
              <w:t>企业信誉</w:t>
            </w:r>
          </w:p>
        </w:tc>
        <w:tc>
          <w:tcPr>
            <w:tcW w:type="dxa" w:w="3322"/>
          </w:tcPr>
          <w:p>
            <w:pPr>
              <w:pStyle w:val="null3"/>
            </w:pPr>
            <w:r>
              <w:rPr/>
              <w:t>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tc>
        <w:tc>
          <w:tcPr>
            <w:tcW w:type="dxa" w:w="1661"/>
          </w:tcPr>
          <w:p>
            <w:pPr>
              <w:pStyle w:val="null3"/>
            </w:pPr>
            <w:r>
              <w:rPr/>
              <w:t>供应商资质要求</w:t>
            </w:r>
          </w:p>
        </w:tc>
      </w:tr>
      <w:tr>
        <w:tc>
          <w:tcPr>
            <w:tcW w:type="dxa" w:w="831"/>
          </w:tcPr>
          <w:p>
            <w:pPr>
              <w:pStyle w:val="null3"/>
            </w:pPr>
            <w:r>
              <w:rPr/>
              <w:t>8</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供应商资质要求</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竞争性磋商响应函签字盖章</w:t>
            </w:r>
          </w:p>
        </w:tc>
        <w:tc>
          <w:tcPr>
            <w:tcW w:type="dxa" w:w="3322"/>
          </w:tcPr>
          <w:p>
            <w:pPr>
              <w:pStyle w:val="null3"/>
            </w:pPr>
            <w:r>
              <w:rPr/>
              <w:t>有法定代表人或委托代理人签字(或盖章)并加盖单位章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竞争性磋商响应文件格式</w:t>
            </w:r>
          </w:p>
        </w:tc>
        <w:tc>
          <w:tcPr>
            <w:tcW w:type="dxa" w:w="3322"/>
          </w:tcPr>
          <w:p>
            <w:pPr>
              <w:pStyle w:val="null3"/>
            </w:pPr>
            <w:r>
              <w:rPr/>
              <w:t>符合磋商文件的要求</w:t>
            </w:r>
          </w:p>
        </w:tc>
        <w:tc>
          <w:tcPr>
            <w:tcW w:type="dxa" w:w="1661"/>
          </w:tcPr>
          <w:p>
            <w:pPr>
              <w:pStyle w:val="null3"/>
            </w:pPr>
            <w:r>
              <w:rPr/>
              <w:t>服务方案及技术要求 业绩 中小企业声明函 采购内容与要求商务要求响应偏差表 供应商认为有必要说明的其他问题 报价表 合同主要条款响应偏差表 磋商一览表 响应文件封面 服务承诺及售后服务机构 残疾人福利性单位声明函 标的清单 供应商资质要求 供应商承诺书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标的清单 报价表 响应函 磋商一览表</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响应文件封面 标的清单 报价表 响应函 磋商一览表</w:t>
            </w:r>
          </w:p>
        </w:tc>
      </w:tr>
      <w:tr>
        <w:tc>
          <w:tcPr>
            <w:tcW w:type="dxa" w:w="831"/>
          </w:tcPr>
          <w:p>
            <w:pPr>
              <w:pStyle w:val="null3"/>
            </w:pPr>
            <w:r>
              <w:rPr/>
              <w:t>6</w:t>
            </w:r>
          </w:p>
        </w:tc>
        <w:tc>
          <w:tcPr>
            <w:tcW w:type="dxa" w:w="2492"/>
          </w:tcPr>
          <w:p>
            <w:pPr>
              <w:pStyle w:val="null3"/>
            </w:pPr>
            <w:r>
              <w:rPr/>
              <w:t>竞争性磋商有效期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磋商小组根据供应商提供的服务方案酌情赋分： 方案完善、详细、提供的服务清晰、科学合理、能充分满足使用需求，赋10-20分；方案基本符合本项目要求，满足使用需求，但细节不够完善、表述不够明确，赋5-10分（含20分）；方案简单粗略、表述不完善赋0-5分（含10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服务方案及技术要求</w:t>
            </w:r>
          </w:p>
        </w:tc>
      </w:tr>
      <w:tr>
        <w:tc>
          <w:tcPr>
            <w:tcW w:type="dxa" w:w="831"/>
            <w:vMerge/>
          </w:tcPr>
          <w:p/>
        </w:tc>
        <w:tc>
          <w:tcPr>
            <w:tcW w:type="dxa" w:w="1661"/>
          </w:tcPr>
          <w:p>
            <w:pPr>
              <w:pStyle w:val="null3"/>
            </w:pPr>
            <w:r>
              <w:rPr/>
              <w:t>拟派车辆整体状况及拟投入本项目用车的样车实物图片</w:t>
            </w:r>
          </w:p>
        </w:tc>
        <w:tc>
          <w:tcPr>
            <w:tcW w:type="dxa" w:w="2492"/>
          </w:tcPr>
          <w:p>
            <w:pPr>
              <w:pStyle w:val="null3"/>
            </w:pPr>
            <w:r>
              <w:rPr/>
              <w:t>供应商所供车辆必须满足采购需求，所有车辆必须为供应商自主经营的车辆，不得提供个人承包、挂靠的车辆。提供车辆产权等相关资料。 资料齐全赋7-10分；资料基本齐全赋4-7分；资料欠缺较多赋0-4分。 供应商设置安全管理机构，为车辆投保交强险、商业保险，并定期进行车辆检测。提供相关证明资料，根据其响应程度计0-3分。 供应商拟投入本项目用车的样车实物图片，根据其响应程度计0-2分。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服务方案及技术要求</w:t>
            </w:r>
          </w:p>
          <w:p>
            <w:pPr>
              <w:pStyle w:val="null3"/>
            </w:pPr>
            <w:r>
              <w:rPr/>
              <w:t>供应商认为有必要说明的其他问题</w:t>
            </w:r>
          </w:p>
        </w:tc>
      </w:tr>
      <w:tr>
        <w:tc>
          <w:tcPr>
            <w:tcW w:type="dxa" w:w="831"/>
            <w:vMerge/>
          </w:tcPr>
          <w:p/>
        </w:tc>
        <w:tc>
          <w:tcPr>
            <w:tcW w:type="dxa" w:w="1661"/>
          </w:tcPr>
          <w:p>
            <w:pPr>
              <w:pStyle w:val="null3"/>
            </w:pPr>
            <w:r>
              <w:rPr/>
              <w:t>提供针对本项目服务期间 的安全责任划分标准及安 全事故的应对措施</w:t>
            </w:r>
          </w:p>
        </w:tc>
        <w:tc>
          <w:tcPr>
            <w:tcW w:type="dxa" w:w="2492"/>
          </w:tcPr>
          <w:p>
            <w:pPr>
              <w:pStyle w:val="null3"/>
            </w:pPr>
            <w:r>
              <w:rPr/>
              <w:t>提供针对本项目服务期间的安全责任划分标准及安全事故的应对措施，安全责任划分标准及安全事故的应对措施完善、切实可行、科学合理，得8-10分；安全责任划分标准及安全事故的应对措施基本完善、可行、较合理，得4-8分（含8分）；安全责任划分标准及安全事故的应对措施可行 性一般、合理性不强，得0-4分（含4分）。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服务方案及技术要求</w:t>
            </w:r>
          </w:p>
        </w:tc>
      </w:tr>
      <w:tr>
        <w:tc>
          <w:tcPr>
            <w:tcW w:type="dxa" w:w="831"/>
            <w:vMerge/>
          </w:tcPr>
          <w:p/>
        </w:tc>
        <w:tc>
          <w:tcPr>
            <w:tcW w:type="dxa" w:w="1661"/>
          </w:tcPr>
          <w:p>
            <w:pPr>
              <w:pStyle w:val="null3"/>
            </w:pPr>
            <w:r>
              <w:rPr/>
              <w:t>应急处理预案</w:t>
            </w:r>
          </w:p>
        </w:tc>
        <w:tc>
          <w:tcPr>
            <w:tcW w:type="dxa" w:w="2492"/>
          </w:tcPr>
          <w:p>
            <w:pPr>
              <w:pStyle w:val="null3"/>
            </w:pPr>
            <w:r>
              <w:rPr/>
              <w:t>有应急响应方案。应急响应措施完善、切实可行、科学合理，得8-10分；应急响应措施基本完善、可行、较合理，得4-8分（含8分）；应急响应措施可行性一般、合理性不强，得0-4分（含4分）。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服务方案及技术要求</w:t>
            </w:r>
          </w:p>
        </w:tc>
      </w:tr>
      <w:tr>
        <w:tc>
          <w:tcPr>
            <w:tcW w:type="dxa" w:w="831"/>
            <w:vMerge/>
          </w:tcPr>
          <w:p/>
        </w:tc>
        <w:tc>
          <w:tcPr>
            <w:tcW w:type="dxa" w:w="1661"/>
          </w:tcPr>
          <w:p>
            <w:pPr>
              <w:pStyle w:val="null3"/>
            </w:pPr>
            <w:r>
              <w:rPr/>
              <w:t>服务人员配备情况</w:t>
            </w:r>
          </w:p>
        </w:tc>
        <w:tc>
          <w:tcPr>
            <w:tcW w:type="dxa" w:w="2492"/>
          </w:tcPr>
          <w:p>
            <w:pPr>
              <w:pStyle w:val="null3"/>
            </w:pPr>
            <w:r>
              <w:rPr/>
              <w:t>根据供应商提供的服务人员配备情况（包含管理人员、应急处置人员、维修保障人员等的年龄、身体健康程度、岗位职责划分等）进行赋分，赋0-6分。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服务承诺及售后服务机构</w:t>
            </w:r>
          </w:p>
        </w:tc>
      </w:tr>
      <w:tr>
        <w:tc>
          <w:tcPr>
            <w:tcW w:type="dxa" w:w="831"/>
            <w:vMerge/>
          </w:tcPr>
          <w:p/>
        </w:tc>
        <w:tc>
          <w:tcPr>
            <w:tcW w:type="dxa" w:w="1661"/>
          </w:tcPr>
          <w:p>
            <w:pPr>
              <w:pStyle w:val="null3"/>
            </w:pPr>
            <w:r>
              <w:rPr/>
              <w:t>服务承诺</w:t>
            </w:r>
          </w:p>
        </w:tc>
        <w:tc>
          <w:tcPr>
            <w:tcW w:type="dxa" w:w="2492"/>
          </w:tcPr>
          <w:p>
            <w:pPr>
              <w:pStyle w:val="null3"/>
            </w:pPr>
            <w:r>
              <w:rPr/>
              <w:t>供应商针对本项目及采购人实际需求提供详细具体可行的服务承诺,包括但不限于的服务内容与范围、响应时间等，承诺内容全面，可行性强计4-8分；承诺内容宽泛、不具体或可行性差计0-4分（含4分）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服务承诺及售后服务机构</w:t>
            </w:r>
          </w:p>
        </w:tc>
      </w:tr>
      <w:tr>
        <w:tc>
          <w:tcPr>
            <w:tcW w:type="dxa" w:w="831"/>
            <w:vMerge/>
          </w:tcPr>
          <w:p/>
        </w:tc>
        <w:tc>
          <w:tcPr>
            <w:tcW w:type="dxa" w:w="1661"/>
          </w:tcPr>
          <w:p>
            <w:pPr>
              <w:pStyle w:val="null3"/>
            </w:pPr>
            <w:r>
              <w:rPr/>
              <w:t>售后服务机构</w:t>
            </w:r>
          </w:p>
        </w:tc>
        <w:tc>
          <w:tcPr>
            <w:tcW w:type="dxa" w:w="2492"/>
          </w:tcPr>
          <w:p>
            <w:pPr>
              <w:pStyle w:val="null3"/>
            </w:pPr>
            <w:r>
              <w:rPr/>
              <w:t>售后服务机构健全，供应商有维修场所作为维修保障，须提供证明材料，根据响应情况赋0-6分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服务承诺及售后服务机构</w:t>
            </w:r>
          </w:p>
        </w:tc>
      </w:tr>
      <w:tr>
        <w:tc>
          <w:tcPr>
            <w:tcW w:type="dxa" w:w="831"/>
            <w:vMerge/>
          </w:tcPr>
          <w:p/>
        </w:tc>
        <w:tc>
          <w:tcPr>
            <w:tcW w:type="dxa" w:w="1661"/>
          </w:tcPr>
          <w:p>
            <w:pPr>
              <w:pStyle w:val="null3"/>
            </w:pPr>
            <w:r>
              <w:rPr/>
              <w:t>业绩</w:t>
            </w:r>
          </w:p>
        </w:tc>
        <w:tc>
          <w:tcPr>
            <w:tcW w:type="dxa" w:w="2492"/>
          </w:tcPr>
          <w:p>
            <w:pPr>
              <w:pStyle w:val="null3"/>
            </w:pPr>
            <w:r>
              <w:rPr/>
              <w:t>供应商提供近2019年10月至今类似项目业绩,每项业绩得2分，最高得10分。注：业绩须提供加盖供应商公章的合同复印件。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满足竞争性磋商文件要求且最后报价最低的供应商的价格为磋商基准价，其价格分为满分。其他供应商的价格分统一按照下列公式计算： 磋商报价得分= (磋商基准价/最后磋商报价)×15分。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标的清单</w:t>
            </w:r>
          </w:p>
          <w:p>
            <w:pPr>
              <w:pStyle w:val="null3"/>
            </w:pPr>
            <w:r>
              <w:rPr/>
              <w:t>响应函</w:t>
            </w:r>
          </w:p>
          <w:p>
            <w:pPr>
              <w:pStyle w:val="null3"/>
            </w:pPr>
            <w:r>
              <w:rPr/>
              <w:t>报价表</w:t>
            </w:r>
          </w:p>
          <w:p>
            <w:pPr>
              <w:pStyle w:val="null3"/>
            </w:pPr>
            <w:r>
              <w:rPr/>
              <w:t>磋商一览表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详见附件：磋商一览表</w:t>
      </w:r>
    </w:p>
    <w:p>
      <w:pPr>
        <w:pStyle w:val="null3"/>
        <w:ind w:firstLine="960"/>
      </w:pPr>
      <w:r>
        <w:rPr/>
        <w:t>详见附件：合同主要条款响应偏差表</w:t>
      </w:r>
    </w:p>
    <w:p>
      <w:pPr>
        <w:pStyle w:val="null3"/>
        <w:ind w:firstLine="960"/>
      </w:pPr>
      <w:r>
        <w:rPr/>
        <w:t>详见附件：采购内容与要求商务要求响应偏差表</w:t>
      </w:r>
    </w:p>
    <w:p>
      <w:pPr>
        <w:pStyle w:val="null3"/>
        <w:ind w:firstLine="960"/>
      </w:pPr>
      <w:r>
        <w:rPr/>
        <w:t>详见附件：供应商资质要求</w:t>
      </w:r>
    </w:p>
    <w:p>
      <w:pPr>
        <w:pStyle w:val="null3"/>
        <w:ind w:firstLine="960"/>
      </w:pPr>
      <w:r>
        <w:rPr/>
        <w:t>详见附件：服务方案及技术要求</w:t>
      </w:r>
    </w:p>
    <w:p>
      <w:pPr>
        <w:pStyle w:val="null3"/>
        <w:ind w:firstLine="960"/>
      </w:pPr>
      <w:r>
        <w:rPr/>
        <w:t>详见附件：业绩</w:t>
      </w:r>
    </w:p>
    <w:p>
      <w:pPr>
        <w:pStyle w:val="null3"/>
        <w:ind w:firstLine="960"/>
      </w:pPr>
      <w:r>
        <w:rPr/>
        <w:t>详见附件：服务承诺及售后服务机构</w:t>
      </w:r>
    </w:p>
    <w:p>
      <w:pPr>
        <w:pStyle w:val="null3"/>
        <w:ind w:firstLine="960"/>
      </w:pPr>
      <w:r>
        <w:rPr/>
        <w:t>详见附件：供应商认为有必要说明的其他问题</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