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8"/>
        <w:tblW w:w="5896" w:type="pct"/>
        <w:tblInd w:w="-651" w:type="dxa"/>
        <w:tblLayout w:type="fixed"/>
        <w:tblCellMar>
          <w:top w:w="0" w:type="dxa"/>
          <w:left w:w="108" w:type="dxa"/>
          <w:bottom w:w="0" w:type="dxa"/>
          <w:right w:w="108" w:type="dxa"/>
        </w:tblCellMar>
      </w:tblPr>
      <w:tblGrid>
        <w:gridCol w:w="499"/>
        <w:gridCol w:w="701"/>
        <w:gridCol w:w="733"/>
        <w:gridCol w:w="4857"/>
        <w:gridCol w:w="525"/>
        <w:gridCol w:w="450"/>
        <w:gridCol w:w="1141"/>
        <w:gridCol w:w="1144"/>
      </w:tblGrid>
      <w:tr>
        <w:tblPrEx>
          <w:tblCellMar>
            <w:top w:w="0" w:type="dxa"/>
            <w:left w:w="108" w:type="dxa"/>
            <w:bottom w:w="0" w:type="dxa"/>
            <w:right w:w="108" w:type="dxa"/>
          </w:tblCellMar>
        </w:tblPrEx>
        <w:trPr>
          <w:trHeight w:val="280" w:hRule="atLeast"/>
        </w:trPr>
        <w:tc>
          <w:tcPr>
            <w:tcW w:w="24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序号</w:t>
            </w: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类型</w:t>
            </w:r>
          </w:p>
        </w:tc>
        <w:tc>
          <w:tcPr>
            <w:tcW w:w="364" w:type="pct"/>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模块</w:t>
            </w:r>
          </w:p>
        </w:tc>
        <w:tc>
          <w:tcPr>
            <w:tcW w:w="2416" w:type="pct"/>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规格参数</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单位</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数量</w:t>
            </w:r>
          </w:p>
        </w:tc>
        <w:tc>
          <w:tcPr>
            <w:tcW w:w="56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单价（元）</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小计（元）</w:t>
            </w:r>
          </w:p>
        </w:tc>
      </w:tr>
      <w:tr>
        <w:tblPrEx>
          <w:tblCellMar>
            <w:top w:w="0" w:type="dxa"/>
            <w:left w:w="108" w:type="dxa"/>
            <w:bottom w:w="0" w:type="dxa"/>
            <w:right w:w="108" w:type="dxa"/>
          </w:tblCellMar>
        </w:tblPrEx>
        <w:trPr>
          <w:trHeight w:val="310" w:hRule="atLeast"/>
        </w:trPr>
        <w:tc>
          <w:tcPr>
            <w:tcW w:w="248" w:type="pc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w:t>
            </w:r>
          </w:p>
        </w:tc>
        <w:tc>
          <w:tcPr>
            <w:tcW w:w="348"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感知设备</w:t>
            </w:r>
          </w:p>
        </w:tc>
        <w:tc>
          <w:tcPr>
            <w:tcW w:w="364"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球型网络摄像机</w:t>
            </w:r>
          </w:p>
        </w:tc>
        <w:tc>
          <w:tcPr>
            <w:tcW w:w="2416" w:type="pct"/>
            <w:tcBorders>
              <w:top w:val="single" w:color="auto" w:sz="4" w:space="0"/>
              <w:left w:val="nil"/>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微软雅黑" w:hAnsi="微软雅黑" w:eastAsia="微软雅黑" w:cs="微软雅黑"/>
                <w:color w:val="auto"/>
                <w:sz w:val="24"/>
                <w:szCs w:val="24"/>
              </w:rPr>
              <w:t>▲</w:t>
            </w:r>
            <w:r>
              <w:rPr>
                <w:rFonts w:hint="eastAsia" w:ascii="宋体" w:hAnsi="宋体" w:eastAsia="宋体" w:cs="宋体"/>
                <w:sz w:val="24"/>
                <w:szCs w:val="24"/>
              </w:rPr>
              <w:t>设备可识别场景中的挖掘机、水泥搅拌机、建房专用脚手架、砂石堆、砖堆、塔吊、大棚、推土机、施工人员等目标</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最低照度：彩色：≤0.0005 Lux @（F1.2，AGC ON）；黑白：≤0.0001 Lux @（F1.2，AGC ON）；0 Lux with IR</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支持AI模型的下发和运行，生成检测结果并上传业务平台</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采用高效补光阵列，低功耗，照射距离最远可达白光补光≥50 m，红外补光≥250 m</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支持≥300个预置位，8条巡航扫描</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采用光学透雾技术</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支持雨刷功能</w:t>
            </w:r>
            <w:bookmarkStart w:id="0" w:name="_GoBack"/>
            <w:bookmarkEnd w:id="0"/>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内置光模块，支持FC光纤接口与以太网电口输出</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内置北斗卫星定位模块和电子罗盘</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cs="宋体"/>
                <w:color w:val="auto"/>
                <w:sz w:val="24"/>
                <w:szCs w:val="24"/>
                <w:lang w:eastAsia="zh-CN"/>
              </w:rPr>
              <w:t>▲</w:t>
            </w:r>
            <w:r>
              <w:rPr>
                <w:rFonts w:hint="eastAsia" w:ascii="宋体" w:hAnsi="宋体" w:eastAsia="宋体" w:cs="宋体"/>
                <w:sz w:val="24"/>
                <w:szCs w:val="24"/>
              </w:rPr>
              <w:t>可通过内置电子罗盘在监视画面上叠加设备镜头当前指向方位和角度</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支持姿态感知，球机俯仰角精度≤0.05°</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支持闭环云台技术，云台偏移后可自动归位，确保画面不偏移</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传感器类型：1/1.8＂ progressive scan CMOS</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焦距：6~240 mm，40倍光学变倍</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补光灯距离：红外≥250 m，白光≥50 m</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水平范围：360°</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垂直范围：-20°-90°(自动翻转)</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水平速度：水平键控速度：0.1°-160°/s,速度可设;水平预置点速度：240°/s</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垂直速度：垂直键控速度：0.1°-120°/s,速度可设;垂直预置点速度：200°/s</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视频压缩标准：H.265,H.264,MJPEG</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卫星定位：内置北斗卫星定位模块和电子罗盘，支持将视场角、镜头指向、安装位置经纬度等信息上传中心管理平台</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网络接口：RJ45网口,自适应10M/100M网络数据</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光纤接口：采用FC接口，内置光纤模块</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SD卡扩展：内置Micro SD卡插槽,支持Micro SD/Micro SDHC/Micro SDXC卡,最大支持256G</w:t>
            </w:r>
          </w:p>
          <w:p>
            <w:pPr>
              <w:ind w:firstLine="0" w:firstLineChars="0"/>
              <w:jc w:val="left"/>
              <w:rPr>
                <w:rFonts w:hint="eastAsia" w:ascii="宋体" w:hAnsi="宋体" w:eastAsia="宋体" w:cs="宋体"/>
                <w:sz w:val="24"/>
                <w:szCs w:val="24"/>
              </w:rPr>
            </w:pPr>
            <w:r>
              <w:rPr>
                <w:rFonts w:hint="eastAsia" w:ascii="宋体" w:hAnsi="宋体" w:eastAsia="宋体" w:cs="宋体"/>
                <w:sz w:val="24"/>
                <w:szCs w:val="24"/>
              </w:rPr>
              <w:t>报警输入：≥7路报警输入</w:t>
            </w:r>
          </w:p>
          <w:p>
            <w:pPr>
              <w:ind w:firstLine="0" w:firstLineChars="0"/>
              <w:jc w:val="left"/>
              <w:rPr>
                <w:rFonts w:hint="eastAsia" w:ascii="宋体" w:hAnsi="宋体" w:eastAsia="宋体" w:cs="宋体"/>
                <w:sz w:val="24"/>
                <w:szCs w:val="24"/>
              </w:rPr>
            </w:pPr>
            <w:r>
              <w:rPr>
                <w:rFonts w:hint="eastAsia" w:ascii="宋体" w:hAnsi="宋体" w:eastAsia="宋体" w:cs="宋体"/>
                <w:sz w:val="24"/>
                <w:szCs w:val="24"/>
              </w:rPr>
              <w:t>报警输出：≥2路报警输出</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音频输入：≥1路音频输入</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音频输出：≥1路音频输出</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电源接口类型：DC：36 V，1.67 A/AC：24 V，3 A</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工作温湿度：-40℃-70℃；湿度小于95%</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功耗：最大功耗</w:t>
            </w:r>
            <w:r>
              <w:rPr>
                <w:rFonts w:hint="eastAsia" w:ascii="宋体" w:hAnsi="宋体" w:eastAsia="宋体" w:cs="宋体"/>
                <w:color w:val="auto"/>
                <w:sz w:val="24"/>
                <w:szCs w:val="24"/>
                <w:lang w:val="en-US" w:eastAsia="zh-CN"/>
              </w:rPr>
              <w:t>≤</w:t>
            </w:r>
            <w:r>
              <w:rPr>
                <w:rFonts w:hint="eastAsia" w:ascii="宋体" w:hAnsi="宋体" w:eastAsia="宋体" w:cs="宋体"/>
                <w:sz w:val="24"/>
                <w:szCs w:val="24"/>
              </w:rPr>
              <w:t>42 W</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防护：≥IP67;</w:t>
            </w:r>
          </w:p>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sz w:val="24"/>
                <w:szCs w:val="24"/>
              </w:rPr>
              <w:t>含壁装支架</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567"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6850.00</w:t>
            </w:r>
          </w:p>
        </w:tc>
        <w:tc>
          <w:tcPr>
            <w:tcW w:w="569"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13700.00</w:t>
            </w:r>
          </w:p>
        </w:tc>
      </w:tr>
      <w:tr>
        <w:tblPrEx>
          <w:tblCellMar>
            <w:top w:w="0" w:type="dxa"/>
            <w:left w:w="108" w:type="dxa"/>
            <w:bottom w:w="0" w:type="dxa"/>
            <w:right w:w="108" w:type="dxa"/>
          </w:tblCellMar>
        </w:tblPrEx>
        <w:trPr>
          <w:trHeight w:val="310" w:hRule="atLeast"/>
        </w:trPr>
        <w:tc>
          <w:tcPr>
            <w:tcW w:w="248" w:type="pct"/>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2</w:t>
            </w:r>
          </w:p>
        </w:tc>
        <w:tc>
          <w:tcPr>
            <w:tcW w:w="348"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64"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热成像双光谱中载云台</w:t>
            </w:r>
          </w:p>
        </w:tc>
        <w:tc>
          <w:tcPr>
            <w:tcW w:w="2416" w:type="pct"/>
            <w:tcBorders>
              <w:top w:val="single" w:color="auto" w:sz="4" w:space="0"/>
              <w:left w:val="nil"/>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热成像双光谱中载云台</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支持单IP双光谱双码流技术</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支持区域扫描功能，方位设定功能，烟火区域屏蔽功能</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cs="宋体"/>
                <w:color w:val="auto"/>
                <w:sz w:val="24"/>
                <w:szCs w:val="24"/>
                <w:lang w:eastAsia="zh-CN"/>
              </w:rPr>
              <w:t>▲</w:t>
            </w:r>
            <w:r>
              <w:rPr>
                <w:rFonts w:hint="eastAsia" w:ascii="宋体" w:hAnsi="宋体" w:eastAsia="宋体" w:cs="宋体"/>
                <w:sz w:val="24"/>
                <w:szCs w:val="24"/>
              </w:rPr>
              <w:t>可见光视频图像：视频图像：当监控场景内存在雾、霾、雷、云、光线、树枝、建筑物、水、车辆等物体时，不应触发报警</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支持低温加热启动、镜头加热及除冰等功能</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cs="宋体"/>
                <w:color w:val="auto"/>
                <w:sz w:val="24"/>
                <w:szCs w:val="24"/>
                <w:lang w:eastAsia="zh-CN"/>
              </w:rPr>
              <w:t>▲</w:t>
            </w:r>
            <w:r>
              <w:rPr>
                <w:rFonts w:hint="eastAsia" w:ascii="宋体" w:hAnsi="宋体" w:eastAsia="宋体" w:cs="宋体"/>
                <w:sz w:val="24"/>
                <w:szCs w:val="24"/>
              </w:rPr>
              <w:t>设备支持热成像镜头磁编反馈系统</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支持区域入侵侦测、越界侦测、进入区域侦测、离开区域侦测功能</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支持智能烟火检测功能，并能实时回传云台角度及俯仰角信息</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cs="宋体"/>
                <w:color w:val="auto"/>
                <w:sz w:val="24"/>
                <w:szCs w:val="24"/>
                <w:lang w:eastAsia="zh-CN"/>
              </w:rPr>
              <w:t>▲</w:t>
            </w:r>
            <w:r>
              <w:rPr>
                <w:rFonts w:hint="eastAsia" w:ascii="宋体" w:hAnsi="宋体" w:eastAsia="宋体" w:cs="宋体"/>
                <w:sz w:val="24"/>
                <w:szCs w:val="24"/>
              </w:rPr>
              <w:t>设备含有姿态感知模块</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热成像分辨率：≥384 × 288</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热成像焦距：≥75 mm</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热成像视场角：4.98° (H)× 3.74°(V)</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火点最远报警距离（以2米*2米为准）：≥4500m</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车辆最远报警距离（以4米*1.4米为准）：≥1575m</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人员最远报警距离（以1.8米*0.5米为准）：≥525m</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可见光分辨率：≥2688 x 1520</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可见光焦距：</w:t>
            </w:r>
            <w:r>
              <w:rPr>
                <w:rFonts w:hint="eastAsia" w:ascii="宋体" w:hAnsi="宋体" w:eastAsia="宋体" w:cs="宋体"/>
                <w:sz w:val="24"/>
                <w:szCs w:val="24"/>
                <w:lang w:val="en-US" w:eastAsia="zh-CN"/>
              </w:rPr>
              <w:t>约</w:t>
            </w:r>
            <w:r>
              <w:rPr>
                <w:rFonts w:hint="eastAsia" w:ascii="宋体" w:hAnsi="宋体" w:eastAsia="宋体" w:cs="宋体"/>
                <w:sz w:val="24"/>
                <w:szCs w:val="24"/>
              </w:rPr>
              <w:t>6-336 mm,光学变倍≥56倍</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可见光补光功能：激光补光有效距离≥800 m</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可见光视场角：48.26°(H)28.43°(V)-0.92°(H)0.56°(V)</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可见光透雾功能：支持光学透雾和算法透雾</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可见光防抖功能：陀螺仪电子防抖</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烟雾最远报警距离（以5米*5米为准）：≥6000m</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水平范围：360°连续旋转</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垂直范围：+40°~-90°</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外壳材质：高强度铝合金</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电源输入：DC36V±20%&amp;DC48V±20%</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功率：工作功耗≤70 W，最大功耗≤130 W</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工作温度和湿度：-40 ℃~70 ℃，＜90% RH</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防护等级：≥IP66</w:t>
            </w:r>
          </w:p>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sz w:val="24"/>
                <w:szCs w:val="24"/>
              </w:rPr>
              <w:t>含壁装支架</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567"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63100.00</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252400.00</w:t>
            </w:r>
          </w:p>
        </w:tc>
      </w:tr>
      <w:tr>
        <w:tblPrEx>
          <w:tblCellMar>
            <w:top w:w="0" w:type="dxa"/>
            <w:left w:w="108" w:type="dxa"/>
            <w:bottom w:w="0" w:type="dxa"/>
            <w:right w:w="108" w:type="dxa"/>
          </w:tblCellMar>
        </w:tblPrEx>
        <w:trPr>
          <w:trHeight w:val="310" w:hRule="atLeast"/>
        </w:trPr>
        <w:tc>
          <w:tcPr>
            <w:tcW w:w="248" w:type="pct"/>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3</w:t>
            </w:r>
          </w:p>
        </w:tc>
        <w:tc>
          <w:tcPr>
            <w:tcW w:w="348"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64"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云台网络摄像机</w:t>
            </w:r>
          </w:p>
        </w:tc>
        <w:tc>
          <w:tcPr>
            <w:tcW w:w="2416" w:type="pct"/>
            <w:tcBorders>
              <w:top w:val="single" w:color="auto" w:sz="4" w:space="0"/>
              <w:left w:val="nil"/>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网络激光中载云台</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支持最大≥1920×1080@30fps高清画面输出</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预置位：≥1000个</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支持智能雨刷，自动感应雨水并联动雨刷</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支持音频/报警，可配合声光报警及报警联动应用</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cs="宋体"/>
                <w:color w:val="auto"/>
                <w:sz w:val="24"/>
                <w:szCs w:val="24"/>
                <w:lang w:eastAsia="zh-CN"/>
              </w:rPr>
              <w:t>▲</w:t>
            </w:r>
            <w:r>
              <w:rPr>
                <w:rFonts w:hint="eastAsia" w:ascii="宋体" w:hAnsi="宋体" w:eastAsia="宋体" w:cs="宋体"/>
                <w:sz w:val="24"/>
                <w:szCs w:val="24"/>
              </w:rPr>
              <w:t>支持光学透雾功能，在IE浏览器下可自动、开启、关闭光学透雾功能</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传感器类型：1/1.8＂ progressive scan CMOS</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支持最低照度可达彩色≥0.0003Lux，黑白≥0.0001Lux</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焦距：</w:t>
            </w:r>
            <w:r>
              <w:rPr>
                <w:rFonts w:hint="eastAsia" w:ascii="宋体" w:hAnsi="宋体" w:eastAsia="宋体" w:cs="宋体"/>
                <w:sz w:val="24"/>
                <w:szCs w:val="24"/>
                <w:lang w:val="en-US" w:eastAsia="zh-CN"/>
              </w:rPr>
              <w:t>约</w:t>
            </w:r>
            <w:r>
              <w:rPr>
                <w:rFonts w:hint="eastAsia" w:ascii="宋体" w:hAnsi="宋体" w:eastAsia="宋体" w:cs="宋体"/>
                <w:sz w:val="24"/>
                <w:szCs w:val="24"/>
              </w:rPr>
              <w:t>6.0-318mm，≥53倍光学变倍</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激光照射距离：≥500米</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水平范围：水平360°</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垂直范围：-40°～ 90°</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cs="宋体"/>
                <w:color w:val="auto"/>
                <w:sz w:val="24"/>
                <w:szCs w:val="24"/>
                <w:lang w:eastAsia="zh-CN"/>
              </w:rPr>
              <w:t>▲</w:t>
            </w:r>
            <w:r>
              <w:rPr>
                <w:rFonts w:hint="eastAsia" w:ascii="宋体" w:hAnsi="宋体" w:eastAsia="宋体" w:cs="宋体"/>
                <w:sz w:val="24"/>
                <w:szCs w:val="24"/>
              </w:rPr>
              <w:t>支持水平手控速度≥400°/S，定位准确度≤0.01°</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水平旋转范围为360°连续旋转，垂直旋转范围为-90°~45°，垂直手控速度≥100°/S</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主码流帧率分辨率：≥50Hz:25fps (1920×1080,1280×960,1280×720),</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60Hz:30fps (1920×1080,1280×960,1280×720),</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视频压缩标准：H.265;H.264;MJPEG</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网络接口：RJ45网口;自适应10M/100M网络数据</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SD卡扩展：内置Micro SD卡插槽;支持Micro SD/Micro SDHC/Micro SDXC卡;最大支持≥256G</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报警输入：≥7路报警输入</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报警输出：≥2路报警输出</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音频输入：≥1路音频输入</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音频输出：≥1路音频输出</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电流及功耗：AC24V，8A，192W max</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工作温湿度：-40℃-70℃；湿度小于95%</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防护：≥IP66;</w:t>
            </w:r>
          </w:p>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sz w:val="24"/>
                <w:szCs w:val="24"/>
              </w:rPr>
              <w:t>含壁装支架。</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567"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16710.00</w:t>
            </w:r>
          </w:p>
        </w:tc>
        <w:tc>
          <w:tcPr>
            <w:tcW w:w="569"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66840.00</w:t>
            </w:r>
          </w:p>
        </w:tc>
      </w:tr>
      <w:tr>
        <w:tblPrEx>
          <w:tblCellMar>
            <w:top w:w="0" w:type="dxa"/>
            <w:left w:w="108" w:type="dxa"/>
            <w:bottom w:w="0" w:type="dxa"/>
            <w:right w:w="108" w:type="dxa"/>
          </w:tblCellMar>
        </w:tblPrEx>
        <w:trPr>
          <w:trHeight w:val="310" w:hRule="atLeast"/>
        </w:trPr>
        <w:tc>
          <w:tcPr>
            <w:tcW w:w="248" w:type="pc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4</w:t>
            </w:r>
          </w:p>
        </w:tc>
        <w:tc>
          <w:tcPr>
            <w:tcW w:w="348"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服务器设备</w:t>
            </w:r>
          </w:p>
        </w:tc>
        <w:tc>
          <w:tcPr>
            <w:tcW w:w="364"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IoT-CVR存储</w:t>
            </w:r>
          </w:p>
        </w:tc>
        <w:tc>
          <w:tcPr>
            <w:tcW w:w="2416" w:type="pct"/>
            <w:tcBorders>
              <w:top w:val="single" w:color="auto" w:sz="4" w:space="0"/>
              <w:left w:val="nil"/>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服务器配置：≥1颗64位多核处理器，≥4GB内存，内存支持扩展到≥32GB； </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支持热插拔1+1AC220V 电源</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标配≥2个千兆网口，可增扩≥4个千兆网口</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接入2T/3T/4T/6T/8T/10T/12T/14T/16T/18T/20T SATA/SAS硬盘； </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具有16块硬盘热插拔插槽； </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cs="宋体"/>
                <w:color w:val="auto"/>
                <w:sz w:val="24"/>
                <w:szCs w:val="24"/>
                <w:highlight w:val="none"/>
                <w:lang w:eastAsia="zh-CN"/>
              </w:rPr>
              <w:t>▲</w:t>
            </w:r>
            <w:r>
              <w:rPr>
                <w:rFonts w:hint="eastAsia" w:ascii="宋体" w:hAnsi="宋体" w:eastAsia="宋体" w:cs="宋体"/>
                <w:sz w:val="24"/>
                <w:szCs w:val="24"/>
              </w:rPr>
              <w:t>支持视音频、图片、智能数据流进行混合直存</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cs="宋体"/>
                <w:color w:val="auto"/>
                <w:sz w:val="24"/>
                <w:szCs w:val="24"/>
                <w:highlight w:val="none"/>
                <w:lang w:eastAsia="zh-CN"/>
              </w:rPr>
              <w:t>▲</w:t>
            </w:r>
            <w:r>
              <w:rPr>
                <w:rFonts w:hint="eastAsia" w:ascii="宋体" w:hAnsi="宋体" w:eastAsia="宋体" w:cs="宋体"/>
                <w:sz w:val="24"/>
                <w:szCs w:val="24"/>
              </w:rPr>
              <w:t xml:space="preserve">支持国际GB/T 28181和Onvif视频流直存模式； </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cs="宋体"/>
                <w:color w:val="auto"/>
                <w:sz w:val="24"/>
                <w:szCs w:val="24"/>
                <w:highlight w:val="none"/>
                <w:lang w:eastAsia="zh-CN"/>
              </w:rPr>
              <w:t>▲</w:t>
            </w:r>
            <w:r>
              <w:rPr>
                <w:rFonts w:hint="eastAsia" w:ascii="宋体" w:hAnsi="宋体" w:eastAsia="宋体" w:cs="宋体"/>
                <w:sz w:val="24"/>
                <w:szCs w:val="24"/>
              </w:rPr>
              <w:t xml:space="preserve">接入并存储2048Mbps视频图像，同时转发2048Mbps的视频图像，同时下载2048Mbps的视频图像； </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网络协议：RTSP/ONVIF/PSIA/（GB/T28181）</w:t>
            </w:r>
          </w:p>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sz w:val="24"/>
                <w:szCs w:val="24"/>
              </w:rPr>
              <w:t>含≥16块6T企业级硬盘。</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27600.00</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27600.00</w:t>
            </w:r>
          </w:p>
        </w:tc>
      </w:tr>
      <w:tr>
        <w:tblPrEx>
          <w:tblCellMar>
            <w:top w:w="0" w:type="dxa"/>
            <w:left w:w="108" w:type="dxa"/>
            <w:bottom w:w="0" w:type="dxa"/>
            <w:right w:w="108" w:type="dxa"/>
          </w:tblCellMar>
        </w:tblPrEx>
        <w:trPr>
          <w:trHeight w:val="310" w:hRule="atLeast"/>
        </w:trPr>
        <w:tc>
          <w:tcPr>
            <w:tcW w:w="248" w:type="pct"/>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48"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64"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平台服务器</w:t>
            </w:r>
          </w:p>
        </w:tc>
        <w:tc>
          <w:tcPr>
            <w:tcW w:w="2416" w:type="pct"/>
            <w:tcBorders>
              <w:top w:val="single" w:color="auto" w:sz="4" w:space="0"/>
              <w:left w:val="nil"/>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CPU：≥1颗处理器，核数≥24核，主频≥2.2GHz</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内存：≥128G，最大支持扩展至≥1TB内存</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硬盘：≥4块480G SSD硬盘；最高可选支持≥12块3.5寸(兼容2.5寸)热插拔SATA/SAS硬盘；</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网口：板载≥2个千兆电口，≥2个万兆光口。</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其他接口：≥1个千兆RJ-45管理接口，≥4个USB 3.0接口；≥1个VGA口</w:t>
            </w:r>
          </w:p>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sz w:val="24"/>
                <w:szCs w:val="24"/>
              </w:rPr>
              <w:t>电源：≥550W（1+1）高效冗余电源。</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39500.00</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39500.00</w:t>
            </w:r>
          </w:p>
        </w:tc>
      </w:tr>
      <w:tr>
        <w:tblPrEx>
          <w:tblCellMar>
            <w:top w:w="0" w:type="dxa"/>
            <w:left w:w="108" w:type="dxa"/>
            <w:bottom w:w="0" w:type="dxa"/>
            <w:right w:w="108" w:type="dxa"/>
          </w:tblCellMar>
        </w:tblPrEx>
        <w:trPr>
          <w:trHeight w:val="310" w:hRule="atLeast"/>
        </w:trPr>
        <w:tc>
          <w:tcPr>
            <w:tcW w:w="248" w:type="pct"/>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48"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64"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边缘智能服务器</w:t>
            </w:r>
          </w:p>
        </w:tc>
        <w:tc>
          <w:tcPr>
            <w:tcW w:w="2416" w:type="pct"/>
            <w:tcBorders>
              <w:top w:val="single" w:color="auto" w:sz="4" w:space="0"/>
              <w:left w:val="nil"/>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16盘位边缘智能服务器 支持硬盘热插拔</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接口：≥2个HDMI，≥1个VGA，双异源输出，支持双4K输出</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内置8块8TB硬盘（总容量64TB）</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≥4个10M/100M/1000Mbps网口</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≥4个USB接口</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1个eSATA接口</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报警IO接口：≥16路报警输入，≥8路报警输出</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输入带宽：≥400Mbps</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输出带宽：≥256Mbps</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接入能力：≥128路H.264、H.265格式高清码流接入</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解码能力：最大支持≥20×1080P</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内置8颗GPU，支持虚拟引擎，支持不同算法能力混跑</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单颗GPU分析能力：</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定时抓图分析：≥16路</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实时视频分析：≥4路200W/4路400W/1路800W</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视频轮巡分析：≥16路</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离线图片分析：≥10张/秒</w:t>
            </w:r>
          </w:p>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sz w:val="24"/>
                <w:szCs w:val="24"/>
              </w:rPr>
              <w:t>每颗GPU支持≥16T算力(int8)、500 MB系统内存、2GB智能内存资源共享</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85000.00</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85000.00</w:t>
            </w:r>
          </w:p>
        </w:tc>
      </w:tr>
      <w:tr>
        <w:tblPrEx>
          <w:tblCellMar>
            <w:top w:w="0" w:type="dxa"/>
            <w:left w:w="108" w:type="dxa"/>
            <w:bottom w:w="0" w:type="dxa"/>
            <w:right w:w="108" w:type="dxa"/>
          </w:tblCellMar>
        </w:tblPrEx>
        <w:trPr>
          <w:trHeight w:val="310" w:hRule="atLeast"/>
        </w:trPr>
        <w:tc>
          <w:tcPr>
            <w:tcW w:w="248" w:type="pc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5</w:t>
            </w:r>
          </w:p>
        </w:tc>
        <w:tc>
          <w:tcPr>
            <w:tcW w:w="348" w:type="pc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运维设备</w:t>
            </w:r>
          </w:p>
        </w:tc>
        <w:tc>
          <w:tcPr>
            <w:tcW w:w="364"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三联坐席</w:t>
            </w:r>
          </w:p>
        </w:tc>
        <w:tc>
          <w:tcPr>
            <w:tcW w:w="2416" w:type="pct"/>
            <w:tcBorders>
              <w:top w:val="single" w:color="auto" w:sz="4" w:space="0"/>
              <w:left w:val="nil"/>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sz w:val="24"/>
                <w:szCs w:val="24"/>
              </w:rPr>
              <w:t>3联，冷轧材质，静电喷塑</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12000.00</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12000.00</w:t>
            </w:r>
          </w:p>
        </w:tc>
      </w:tr>
      <w:tr>
        <w:tblPrEx>
          <w:tblCellMar>
            <w:top w:w="0" w:type="dxa"/>
            <w:left w:w="108" w:type="dxa"/>
            <w:bottom w:w="0" w:type="dxa"/>
            <w:right w:w="108" w:type="dxa"/>
          </w:tblCellMar>
        </w:tblPrEx>
        <w:trPr>
          <w:trHeight w:val="280" w:hRule="atLeast"/>
        </w:trPr>
        <w:tc>
          <w:tcPr>
            <w:tcW w:w="248" w:type="pct"/>
            <w:vMerge w:val="restart"/>
            <w:tcBorders>
              <w:top w:val="nil"/>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6</w:t>
            </w:r>
          </w:p>
        </w:tc>
        <w:tc>
          <w:tcPr>
            <w:tcW w:w="348"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网络设备</w:t>
            </w:r>
          </w:p>
        </w:tc>
        <w:tc>
          <w:tcPr>
            <w:tcW w:w="364"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机柜</w:t>
            </w:r>
          </w:p>
        </w:tc>
        <w:tc>
          <w:tcPr>
            <w:tcW w:w="2416" w:type="pct"/>
            <w:tcBorders>
              <w:top w:val="single" w:color="auto" w:sz="4" w:space="0"/>
              <w:left w:val="nil"/>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bidi="ar"/>
              </w:rPr>
              <w:t>24U，机箱规格：87.8mm(高)x 448mm(宽)x730mm(深)</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1200.00</w:t>
            </w:r>
          </w:p>
        </w:tc>
        <w:tc>
          <w:tcPr>
            <w:tcW w:w="569"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1200.00</w:t>
            </w:r>
          </w:p>
        </w:tc>
      </w:tr>
      <w:tr>
        <w:tblPrEx>
          <w:tblCellMar>
            <w:top w:w="0" w:type="dxa"/>
            <w:left w:w="108" w:type="dxa"/>
            <w:bottom w:w="0" w:type="dxa"/>
            <w:right w:w="108" w:type="dxa"/>
          </w:tblCellMar>
        </w:tblPrEx>
        <w:trPr>
          <w:trHeight w:val="310" w:hRule="atLeast"/>
        </w:trPr>
        <w:tc>
          <w:tcPr>
            <w:tcW w:w="248" w:type="pct"/>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48"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64"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云MAS</w:t>
            </w:r>
          </w:p>
        </w:tc>
        <w:tc>
          <w:tcPr>
            <w:tcW w:w="2416" w:type="pct"/>
            <w:tcBorders>
              <w:top w:val="single" w:color="auto" w:sz="4" w:space="0"/>
              <w:left w:val="nil"/>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MAS网关</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项/年  </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6000.00</w:t>
            </w:r>
          </w:p>
        </w:tc>
        <w:tc>
          <w:tcPr>
            <w:tcW w:w="569"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6000.00</w:t>
            </w:r>
          </w:p>
        </w:tc>
      </w:tr>
      <w:tr>
        <w:tblPrEx>
          <w:tblCellMar>
            <w:top w:w="0" w:type="dxa"/>
            <w:left w:w="108" w:type="dxa"/>
            <w:bottom w:w="0" w:type="dxa"/>
            <w:right w:w="108" w:type="dxa"/>
          </w:tblCellMar>
        </w:tblPrEx>
        <w:trPr>
          <w:trHeight w:val="310" w:hRule="atLeast"/>
        </w:trPr>
        <w:tc>
          <w:tcPr>
            <w:tcW w:w="248" w:type="pct"/>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48"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64"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数据专线</w:t>
            </w:r>
          </w:p>
        </w:tc>
        <w:tc>
          <w:tcPr>
            <w:tcW w:w="2416" w:type="pct"/>
            <w:tcBorders>
              <w:top w:val="single" w:color="auto" w:sz="4" w:space="0"/>
              <w:left w:val="nil"/>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普通数据专线6路（带宽</w:t>
            </w: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lang w:bidi="ar"/>
              </w:rPr>
              <w:t>10MB），</w:t>
            </w:r>
          </w:p>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高级数据专线4路(带宽</w:t>
            </w: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lang w:bidi="ar"/>
              </w:rPr>
              <w:t>50MB)。</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项/年</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123600.00</w:t>
            </w:r>
          </w:p>
        </w:tc>
        <w:tc>
          <w:tcPr>
            <w:tcW w:w="569"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123600.00</w:t>
            </w:r>
          </w:p>
        </w:tc>
      </w:tr>
      <w:tr>
        <w:tblPrEx>
          <w:tblCellMar>
            <w:top w:w="0" w:type="dxa"/>
            <w:left w:w="108" w:type="dxa"/>
            <w:bottom w:w="0" w:type="dxa"/>
            <w:right w:w="108" w:type="dxa"/>
          </w:tblCellMar>
        </w:tblPrEx>
        <w:trPr>
          <w:trHeight w:val="310" w:hRule="atLeast"/>
        </w:trPr>
        <w:tc>
          <w:tcPr>
            <w:tcW w:w="248" w:type="pct"/>
            <w:vMerge w:val="continue"/>
            <w:tcBorders>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48"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64"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防火墙</w:t>
            </w:r>
          </w:p>
        </w:tc>
        <w:tc>
          <w:tcPr>
            <w:tcW w:w="2416" w:type="pct"/>
            <w:tcBorders>
              <w:top w:val="single" w:color="auto" w:sz="4" w:space="0"/>
              <w:left w:val="nil"/>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1U,内存≥16G，机械硬盘≥4T，8个电口2个光口2个万兆光插槽,冗余电源,防火墙吞吐≥10G，并发连接≥200万，每秒新建连接≥8万。</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87000.00</w:t>
            </w:r>
          </w:p>
        </w:tc>
        <w:tc>
          <w:tcPr>
            <w:tcW w:w="569"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87000.00</w:t>
            </w:r>
          </w:p>
        </w:tc>
      </w:tr>
      <w:tr>
        <w:tblPrEx>
          <w:tblCellMar>
            <w:top w:w="0" w:type="dxa"/>
            <w:left w:w="108" w:type="dxa"/>
            <w:bottom w:w="0" w:type="dxa"/>
            <w:right w:w="108" w:type="dxa"/>
          </w:tblCellMar>
        </w:tblPrEx>
        <w:trPr>
          <w:trHeight w:val="310" w:hRule="atLeast"/>
        </w:trPr>
        <w:tc>
          <w:tcPr>
            <w:tcW w:w="248" w:type="pct"/>
            <w:vMerge w:val="restart"/>
            <w:tcBorders>
              <w:top w:val="nil"/>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7</w:t>
            </w:r>
          </w:p>
        </w:tc>
        <w:tc>
          <w:tcPr>
            <w:tcW w:w="348"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智慧大脑平台</w:t>
            </w:r>
          </w:p>
        </w:tc>
        <w:tc>
          <w:tcPr>
            <w:tcW w:w="364"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秦岭保护之窗</w:t>
            </w:r>
          </w:p>
        </w:tc>
        <w:tc>
          <w:tcPr>
            <w:tcW w:w="2416" w:type="pct"/>
            <w:tcBorders>
              <w:top w:val="single" w:color="auto" w:sz="4" w:space="0"/>
              <w:left w:val="nil"/>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sz w:val="24"/>
                <w:szCs w:val="24"/>
              </w:rPr>
              <w:t>秦岭保护之窗是秦岭保护相关政策的宣传阵地，用来提供宣传视频、宣传图、内部实时动态新闻的展示</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35500.00</w:t>
            </w:r>
          </w:p>
        </w:tc>
        <w:tc>
          <w:tcPr>
            <w:tcW w:w="569"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35500.00</w:t>
            </w:r>
          </w:p>
        </w:tc>
      </w:tr>
      <w:tr>
        <w:tblPrEx>
          <w:tblCellMar>
            <w:top w:w="0" w:type="dxa"/>
            <w:left w:w="108" w:type="dxa"/>
            <w:bottom w:w="0" w:type="dxa"/>
            <w:right w:w="108" w:type="dxa"/>
          </w:tblCellMar>
        </w:tblPrEx>
        <w:trPr>
          <w:trHeight w:val="370" w:hRule="atLeast"/>
        </w:trPr>
        <w:tc>
          <w:tcPr>
            <w:tcW w:w="248" w:type="pct"/>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48"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64"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驾驶舱</w:t>
            </w:r>
          </w:p>
        </w:tc>
        <w:tc>
          <w:tcPr>
            <w:tcW w:w="2416" w:type="pct"/>
            <w:tcBorders>
              <w:top w:val="single" w:color="auto" w:sz="4" w:space="0"/>
              <w:left w:val="nil"/>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驾驶舱基于GIS地图，统一建设灞桥秦岭保护区可视化平台，与各业务功能模块实现关键数据的信息共享。</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1.提供在线影像地图</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2.提供地图缩放、移动、测面、测距等功能</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3.提供统计数据、预警事件信息提醒等内容；包含灞桥秦保的基本信息（人员、面积、网格员信息、设备信息）等；支持警灯（高亮/低亮）展示预警信息，可将事件按照待签收、待研判、待处理、待审核等类型分类；</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4.提供五乱事件预警信息图片展示；</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5.提供抓拍的车辆图片展示。</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6.提供地图叠加资源能力，包含摄像机位置、事件位置；其中摄像机支持查看摄像机画面，支持操作；</w:t>
            </w:r>
          </w:p>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sz w:val="24"/>
                <w:szCs w:val="24"/>
              </w:rPr>
              <w:t>7.提供在地图上展示预警信息，通过具体的事件位置可以查看事件的基本信息、位置、名称、处置状态、报警图片等信息。</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175000.00</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175000.00</w:t>
            </w:r>
          </w:p>
        </w:tc>
      </w:tr>
      <w:tr>
        <w:tblPrEx>
          <w:tblCellMar>
            <w:top w:w="0" w:type="dxa"/>
            <w:left w:w="108" w:type="dxa"/>
            <w:bottom w:w="0" w:type="dxa"/>
            <w:right w:w="108" w:type="dxa"/>
          </w:tblCellMar>
        </w:tblPrEx>
        <w:trPr>
          <w:trHeight w:val="280" w:hRule="atLeast"/>
        </w:trPr>
        <w:tc>
          <w:tcPr>
            <w:tcW w:w="248" w:type="pct"/>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48"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64"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五乱治理</w:t>
            </w:r>
          </w:p>
        </w:tc>
        <w:tc>
          <w:tcPr>
            <w:tcW w:w="2416" w:type="pct"/>
            <w:tcBorders>
              <w:top w:val="single" w:color="auto" w:sz="4" w:space="0"/>
              <w:left w:val="nil"/>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提供五乱事件的接入、预警、研判、事件查询功能；</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出现最新预警时，系统通过推送消息和语音播报进行提醒</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提供对五乱预警进行列表分页展示。</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提供对五乱信息按条件查询，包括疑似违法类型、特征物、所属区域、时间范围。</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提供展示五乱事件详情，包括事件类型、区域、特征物、上报事件、监控点</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提供查看五乱视频，实时查看现场画面</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提供在抓拍的画面，自动框选识别到的特征物</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提供在预警详情页面查看更多分析结果，查看重复告警过滤</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提供对五乱预警记录批量或选择导出为Excel</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提供对五乱预警的图片批量或选择导出</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提供对事件分级管理，根据处置的流程及事件的重要性进行研判；</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支持配置智能分析任务，将智能分析任务抓拍的图片下发分析设备，接收回传的告警事件</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支持智能抓拍配置，对监控点设置智能抓拍任务</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支持配置预置位和抓拍图片</w:t>
            </w:r>
          </w:p>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bCs/>
                <w:sz w:val="24"/>
                <w:szCs w:val="24"/>
              </w:rPr>
              <w:t>支持抓拍时间模版管理</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169500.00</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169500.00</w:t>
            </w:r>
          </w:p>
        </w:tc>
      </w:tr>
      <w:tr>
        <w:tblPrEx>
          <w:tblCellMar>
            <w:top w:w="0" w:type="dxa"/>
            <w:left w:w="108" w:type="dxa"/>
            <w:bottom w:w="0" w:type="dxa"/>
            <w:right w:w="108" w:type="dxa"/>
          </w:tblCellMar>
        </w:tblPrEx>
        <w:trPr>
          <w:trHeight w:val="310" w:hRule="atLeast"/>
        </w:trPr>
        <w:tc>
          <w:tcPr>
            <w:tcW w:w="248" w:type="pct"/>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48"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64"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无人机实时监控</w:t>
            </w:r>
          </w:p>
        </w:tc>
        <w:tc>
          <w:tcPr>
            <w:tcW w:w="2416" w:type="pct"/>
            <w:tcBorders>
              <w:top w:val="single" w:color="auto" w:sz="4" w:space="0"/>
              <w:left w:val="nil"/>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sz w:val="24"/>
                <w:szCs w:val="24"/>
              </w:rPr>
              <w:t>为满足日常监管和使用要求需要实现多旋翼无人机等不同类型的无人机单兵装置、无人机管理系统同本平台的系统对接和业务融合。从而实现对无人机单兵装置的管理，可查看巡查详细情况，包括无人机的实时位置、历史轨迹、回传的现场实时画面等。</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30800.00</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30800.00</w:t>
            </w:r>
          </w:p>
        </w:tc>
      </w:tr>
      <w:tr>
        <w:tblPrEx>
          <w:tblCellMar>
            <w:top w:w="0" w:type="dxa"/>
            <w:left w:w="108" w:type="dxa"/>
            <w:bottom w:w="0" w:type="dxa"/>
            <w:right w:w="108" w:type="dxa"/>
          </w:tblCellMar>
        </w:tblPrEx>
        <w:trPr>
          <w:trHeight w:val="310" w:hRule="atLeast"/>
        </w:trPr>
        <w:tc>
          <w:tcPr>
            <w:tcW w:w="248" w:type="pct"/>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48"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64"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车辆管理</w:t>
            </w:r>
          </w:p>
        </w:tc>
        <w:tc>
          <w:tcPr>
            <w:tcW w:w="2416" w:type="pct"/>
            <w:tcBorders>
              <w:top w:val="single" w:color="auto" w:sz="4" w:space="0"/>
              <w:left w:val="nil"/>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支持通过卡口完成车辆、车型、车牌的识别；</w:t>
            </w:r>
          </w:p>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支持根据卡口通过时间实现车辆的查询；</w:t>
            </w:r>
          </w:p>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支持通过车型实现车辆的查询；</w:t>
            </w:r>
          </w:p>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支持通过车牌号码实现车辆的查询；</w:t>
            </w:r>
          </w:p>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sz w:val="24"/>
                <w:szCs w:val="24"/>
              </w:rPr>
              <w:t>支持通过点位名称实现车辆的查询。</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65800.00</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65800.00</w:t>
            </w:r>
          </w:p>
        </w:tc>
      </w:tr>
      <w:tr>
        <w:tblPrEx>
          <w:tblCellMar>
            <w:top w:w="0" w:type="dxa"/>
            <w:left w:w="108" w:type="dxa"/>
            <w:bottom w:w="0" w:type="dxa"/>
            <w:right w:w="108" w:type="dxa"/>
          </w:tblCellMar>
        </w:tblPrEx>
        <w:trPr>
          <w:trHeight w:val="310" w:hRule="atLeast"/>
        </w:trPr>
        <w:tc>
          <w:tcPr>
            <w:tcW w:w="248" w:type="pct"/>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48"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64"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事件中心</w:t>
            </w:r>
          </w:p>
        </w:tc>
        <w:tc>
          <w:tcPr>
            <w:tcW w:w="2416" w:type="pct"/>
            <w:tcBorders>
              <w:top w:val="single" w:color="auto" w:sz="4" w:space="0"/>
              <w:left w:val="nil"/>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sz w:val="24"/>
                <w:szCs w:val="24"/>
              </w:rPr>
              <w:t>针对所有的事件进行分类查询、可通过时间、事件类型、等级程度进行查询，可以通过详情看处理记录。</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65800.00</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65800.00</w:t>
            </w:r>
          </w:p>
        </w:tc>
      </w:tr>
      <w:tr>
        <w:tblPrEx>
          <w:tblCellMar>
            <w:top w:w="0" w:type="dxa"/>
            <w:left w:w="108" w:type="dxa"/>
            <w:bottom w:w="0" w:type="dxa"/>
            <w:right w:w="108" w:type="dxa"/>
          </w:tblCellMar>
        </w:tblPrEx>
        <w:trPr>
          <w:trHeight w:val="310" w:hRule="atLeast"/>
        </w:trPr>
        <w:tc>
          <w:tcPr>
            <w:tcW w:w="248" w:type="pct"/>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48"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64" w:type="pct"/>
            <w:vMerge w:val="restart"/>
            <w:tcBorders>
              <w:top w:val="nil"/>
              <w:left w:val="nil"/>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88" w:lineRule="auto"/>
              <w:ind w:left="0" w:leftChars="0" w:firstLine="0" w:firstLineChars="0"/>
              <w:jc w:val="both"/>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智能分析模块</w:t>
            </w:r>
          </w:p>
        </w:tc>
        <w:tc>
          <w:tcPr>
            <w:tcW w:w="2416" w:type="pct"/>
            <w:tcBorders>
              <w:top w:val="single" w:color="auto" w:sz="4" w:space="0"/>
              <w:left w:val="nil"/>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算法管理：主要包括边缘算法引擎、边缘域智能调度、违法占地违法建设检测、旷野车辆类型识别、旷野垃圾堆检测等算法用于满足五乱识别相关算法的管理和基础调度能力。</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项</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115000.00</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115000.00</w:t>
            </w:r>
          </w:p>
        </w:tc>
      </w:tr>
      <w:tr>
        <w:tblPrEx>
          <w:tblCellMar>
            <w:top w:w="0" w:type="dxa"/>
            <w:left w:w="108" w:type="dxa"/>
            <w:bottom w:w="0" w:type="dxa"/>
            <w:right w:w="108" w:type="dxa"/>
          </w:tblCellMar>
        </w:tblPrEx>
        <w:trPr>
          <w:trHeight w:val="310" w:hRule="atLeast"/>
        </w:trPr>
        <w:tc>
          <w:tcPr>
            <w:tcW w:w="248" w:type="pct"/>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48"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64" w:type="pct"/>
            <w:vMerge w:val="continue"/>
            <w:tcBorders>
              <w:top w:val="nil"/>
              <w:left w:val="nil"/>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88" w:lineRule="auto"/>
              <w:ind w:firstLine="480"/>
              <w:jc w:val="center"/>
              <w:textAlignment w:val="auto"/>
              <w:rPr>
                <w:rFonts w:hint="eastAsia" w:ascii="宋体" w:hAnsi="宋体" w:eastAsia="宋体" w:cs="宋体"/>
                <w:color w:val="000000"/>
                <w:kern w:val="0"/>
                <w:sz w:val="24"/>
                <w:szCs w:val="24"/>
              </w:rPr>
            </w:pPr>
          </w:p>
        </w:tc>
        <w:tc>
          <w:tcPr>
            <w:tcW w:w="2416" w:type="pct"/>
            <w:tcBorders>
              <w:top w:val="single" w:color="auto" w:sz="4" w:space="0"/>
              <w:left w:val="nil"/>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边缘智能引擎：主要功能包括平台用于统一下发分析任务，由边缘设备进行抓拍分析，将分析后的结构化数据传回到中心端做五乱相关场景的智能应用。</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项</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110000.00</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110000.00</w:t>
            </w:r>
          </w:p>
        </w:tc>
      </w:tr>
      <w:tr>
        <w:tblPrEx>
          <w:tblCellMar>
            <w:top w:w="0" w:type="dxa"/>
            <w:left w:w="108" w:type="dxa"/>
            <w:bottom w:w="0" w:type="dxa"/>
            <w:right w:w="108" w:type="dxa"/>
          </w:tblCellMar>
        </w:tblPrEx>
        <w:trPr>
          <w:trHeight w:val="310" w:hRule="atLeast"/>
        </w:trPr>
        <w:tc>
          <w:tcPr>
            <w:tcW w:w="248" w:type="pct"/>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48"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64" w:type="pct"/>
            <w:vMerge w:val="continue"/>
            <w:tcBorders>
              <w:top w:val="nil"/>
              <w:left w:val="nil"/>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88" w:lineRule="auto"/>
              <w:ind w:firstLine="480"/>
              <w:jc w:val="center"/>
              <w:textAlignment w:val="auto"/>
              <w:rPr>
                <w:rFonts w:hint="eastAsia" w:ascii="宋体" w:hAnsi="宋体" w:eastAsia="宋体" w:cs="宋体"/>
                <w:color w:val="000000"/>
                <w:kern w:val="0"/>
                <w:sz w:val="24"/>
                <w:szCs w:val="24"/>
              </w:rPr>
            </w:pPr>
          </w:p>
        </w:tc>
        <w:tc>
          <w:tcPr>
            <w:tcW w:w="2416" w:type="pct"/>
            <w:tcBorders>
              <w:top w:val="single" w:color="auto" w:sz="4" w:space="0"/>
              <w:left w:val="nil"/>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算法管理：主要功能包括涉及秦岭保护相关的五乱算法的管理，支持算法模型的的展示与查询，并对不同算法进行详情查看，更新、升级等。</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项</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120000.00</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120000.00</w:t>
            </w:r>
          </w:p>
        </w:tc>
      </w:tr>
      <w:tr>
        <w:tblPrEx>
          <w:tblCellMar>
            <w:top w:w="0" w:type="dxa"/>
            <w:left w:w="108" w:type="dxa"/>
            <w:bottom w:w="0" w:type="dxa"/>
            <w:right w:w="108" w:type="dxa"/>
          </w:tblCellMar>
        </w:tblPrEx>
        <w:trPr>
          <w:trHeight w:val="310" w:hRule="atLeast"/>
        </w:trPr>
        <w:tc>
          <w:tcPr>
            <w:tcW w:w="248" w:type="pct"/>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48"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64" w:type="pct"/>
            <w:vMerge w:val="continue"/>
            <w:tcBorders>
              <w:left w:val="nil"/>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88" w:lineRule="auto"/>
              <w:ind w:firstLine="480"/>
              <w:jc w:val="center"/>
              <w:textAlignment w:val="auto"/>
              <w:rPr>
                <w:rFonts w:hint="eastAsia" w:ascii="宋体" w:hAnsi="宋体" w:eastAsia="宋体" w:cs="宋体"/>
                <w:color w:val="000000"/>
                <w:kern w:val="0"/>
                <w:sz w:val="24"/>
                <w:szCs w:val="24"/>
              </w:rPr>
            </w:pPr>
          </w:p>
        </w:tc>
        <w:tc>
          <w:tcPr>
            <w:tcW w:w="2416" w:type="pct"/>
            <w:tcBorders>
              <w:top w:val="single" w:color="auto" w:sz="4" w:space="0"/>
              <w:left w:val="nil"/>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任务管理：主要功能包括算法识别相关智能任务的管理，支持对智能分析任务的添加、删除、启动和停止等操作。</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项</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115000.00</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115000.00</w:t>
            </w:r>
          </w:p>
        </w:tc>
      </w:tr>
      <w:tr>
        <w:tblPrEx>
          <w:tblCellMar>
            <w:top w:w="0" w:type="dxa"/>
            <w:left w:w="108" w:type="dxa"/>
            <w:bottom w:w="0" w:type="dxa"/>
            <w:right w:w="108" w:type="dxa"/>
          </w:tblCellMar>
        </w:tblPrEx>
        <w:trPr>
          <w:trHeight w:val="310" w:hRule="atLeast"/>
        </w:trPr>
        <w:tc>
          <w:tcPr>
            <w:tcW w:w="248" w:type="pct"/>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48"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64" w:type="pct"/>
            <w:vMerge w:val="continue"/>
            <w:tcBorders>
              <w:left w:val="nil"/>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88" w:lineRule="auto"/>
              <w:ind w:firstLine="480"/>
              <w:jc w:val="center"/>
              <w:textAlignment w:val="auto"/>
              <w:rPr>
                <w:rFonts w:hint="eastAsia" w:ascii="宋体" w:hAnsi="宋体" w:eastAsia="宋体" w:cs="宋体"/>
                <w:color w:val="000000"/>
                <w:kern w:val="0"/>
                <w:sz w:val="24"/>
                <w:szCs w:val="24"/>
              </w:rPr>
            </w:pPr>
          </w:p>
        </w:tc>
        <w:tc>
          <w:tcPr>
            <w:tcW w:w="2416" w:type="pct"/>
            <w:tcBorders>
              <w:top w:val="single" w:color="auto" w:sz="4" w:space="0"/>
              <w:left w:val="nil"/>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算法包管理：主要功能包括涉及秦岭保护的相关识别算法包的统一授权管理，算法包授权信息包括了设备序列号、算法标识、授权通道数、授权有效期等信息。</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项</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106000.00</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106000.00</w:t>
            </w:r>
          </w:p>
        </w:tc>
      </w:tr>
      <w:tr>
        <w:tblPrEx>
          <w:tblCellMar>
            <w:top w:w="0" w:type="dxa"/>
            <w:left w:w="108" w:type="dxa"/>
            <w:bottom w:w="0" w:type="dxa"/>
            <w:right w:w="108" w:type="dxa"/>
          </w:tblCellMar>
        </w:tblPrEx>
        <w:trPr>
          <w:trHeight w:val="310" w:hRule="atLeast"/>
        </w:trPr>
        <w:tc>
          <w:tcPr>
            <w:tcW w:w="248" w:type="pct"/>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48"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64" w:type="pct"/>
            <w:vMerge w:val="continue"/>
            <w:tcBorders>
              <w:left w:val="nil"/>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88" w:lineRule="auto"/>
              <w:ind w:firstLine="480"/>
              <w:jc w:val="center"/>
              <w:textAlignment w:val="auto"/>
              <w:rPr>
                <w:rFonts w:hint="eastAsia" w:ascii="宋体" w:hAnsi="宋体" w:eastAsia="宋体" w:cs="宋体"/>
                <w:color w:val="000000"/>
                <w:kern w:val="0"/>
                <w:sz w:val="24"/>
                <w:szCs w:val="24"/>
              </w:rPr>
            </w:pPr>
          </w:p>
        </w:tc>
        <w:tc>
          <w:tcPr>
            <w:tcW w:w="2416" w:type="pct"/>
            <w:tcBorders>
              <w:top w:val="single" w:color="auto" w:sz="4" w:space="0"/>
              <w:left w:val="nil"/>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五乱治理-违建检测算法：</w:t>
            </w:r>
          </w:p>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对保护区违法建设和占地行为相关的物品和场景进行识别，包括建筑工具：挖掘机、推土机、压路机、搅拌车、小卡车、卡车、工程机械、农用三轮车、塔吊、水泥搅拌机、农用耕地机；</w:t>
            </w:r>
          </w:p>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建筑材料：堆沙、堆砖、篷布、砂石堆；临时建筑：活动板房、大棚、厂房；</w:t>
            </w:r>
          </w:p>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房屋建设：无门窗建设房、楼顶玻璃房、脚手架建设房、施工场景、简易脚手架；</w:t>
            </w:r>
          </w:p>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楼顶建设：屋顶彩板、楼顶亭子；以及带安全帽的施工人员；</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项</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109000.00</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109000.00</w:t>
            </w:r>
          </w:p>
        </w:tc>
      </w:tr>
      <w:tr>
        <w:tblPrEx>
          <w:tblCellMar>
            <w:top w:w="0" w:type="dxa"/>
            <w:left w:w="108" w:type="dxa"/>
            <w:bottom w:w="0" w:type="dxa"/>
            <w:right w:w="108" w:type="dxa"/>
          </w:tblCellMar>
        </w:tblPrEx>
        <w:trPr>
          <w:trHeight w:val="310" w:hRule="atLeast"/>
        </w:trPr>
        <w:tc>
          <w:tcPr>
            <w:tcW w:w="248" w:type="pct"/>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48"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64" w:type="pct"/>
            <w:vMerge w:val="continue"/>
            <w:tcBorders>
              <w:left w:val="nil"/>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88" w:lineRule="auto"/>
              <w:ind w:firstLine="480"/>
              <w:jc w:val="center"/>
              <w:textAlignment w:val="auto"/>
              <w:rPr>
                <w:rFonts w:hint="eastAsia" w:ascii="宋体" w:hAnsi="宋体" w:eastAsia="宋体" w:cs="宋体"/>
                <w:color w:val="000000"/>
                <w:kern w:val="0"/>
                <w:sz w:val="24"/>
                <w:szCs w:val="24"/>
              </w:rPr>
            </w:pPr>
          </w:p>
        </w:tc>
        <w:tc>
          <w:tcPr>
            <w:tcW w:w="2416" w:type="pct"/>
            <w:tcBorders>
              <w:top w:val="single" w:color="auto" w:sz="4" w:space="0"/>
              <w:left w:val="nil"/>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五乱治理-车辆识别算法：</w:t>
            </w:r>
          </w:p>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识别秦岭保护区域道路、林区等场景中的车辆类型，包括：铲车、挖掘机、压路机、渣土车、货车、泥罐车、集装箱车等；</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项</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109000.00</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109000.00</w:t>
            </w:r>
          </w:p>
        </w:tc>
      </w:tr>
      <w:tr>
        <w:tblPrEx>
          <w:tblCellMar>
            <w:top w:w="0" w:type="dxa"/>
            <w:left w:w="108" w:type="dxa"/>
            <w:bottom w:w="0" w:type="dxa"/>
            <w:right w:w="108" w:type="dxa"/>
          </w:tblCellMar>
        </w:tblPrEx>
        <w:trPr>
          <w:trHeight w:val="310" w:hRule="atLeast"/>
        </w:trPr>
        <w:tc>
          <w:tcPr>
            <w:tcW w:w="248" w:type="pct"/>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48"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64" w:type="pct"/>
            <w:vMerge w:val="continue"/>
            <w:tcBorders>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p>
        </w:tc>
        <w:tc>
          <w:tcPr>
            <w:tcW w:w="2416" w:type="pct"/>
            <w:tcBorders>
              <w:top w:val="single" w:color="auto" w:sz="4" w:space="0"/>
              <w:left w:val="nil"/>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五乱治理-垃圾检测算法：</w:t>
            </w:r>
          </w:p>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sz w:val="24"/>
                <w:szCs w:val="24"/>
              </w:rPr>
              <w:t>检测并识别秦岭保护区域、旷野区域周边的建筑垃圾、生活垃圾等垃圾堆。</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项</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108000.00</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108000.00</w:t>
            </w:r>
          </w:p>
        </w:tc>
      </w:tr>
      <w:tr>
        <w:tblPrEx>
          <w:tblCellMar>
            <w:top w:w="0" w:type="dxa"/>
            <w:left w:w="108" w:type="dxa"/>
            <w:bottom w:w="0" w:type="dxa"/>
            <w:right w:w="108" w:type="dxa"/>
          </w:tblCellMar>
        </w:tblPrEx>
        <w:trPr>
          <w:trHeight w:val="310" w:hRule="atLeast"/>
        </w:trPr>
        <w:tc>
          <w:tcPr>
            <w:tcW w:w="248" w:type="pct"/>
            <w:vMerge w:val="continue"/>
            <w:tcBorders>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48" w:type="pct"/>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p>
        </w:tc>
        <w:tc>
          <w:tcPr>
            <w:tcW w:w="364"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移动应用功能</w:t>
            </w:r>
          </w:p>
        </w:tc>
        <w:tc>
          <w:tcPr>
            <w:tcW w:w="2416" w:type="pct"/>
            <w:tcBorders>
              <w:top w:val="single" w:color="auto" w:sz="4" w:space="0"/>
              <w:left w:val="nil"/>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提供查看当前登录用户待签收的任务，用户可以选中列表中的任务，进行签收；</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提供查看当前登录用户待处置的任务，用户可以进行任务反馈，包括上传照片、视频、填写备注、选择处置结论；</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提供查看当前登录用户待审核的任务，拥有审核权限的用户可以进行审核同意或者退回操作；</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提供查看当前登录用户已完成的任务；</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提供查看预警信息、任务下发信息；</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提供在任务中对事件进行回复；</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提供在任务详情中查看处置中上传的附件；</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提供在任务列表的右上角统计任务数量；</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提供调用第三方导航软件进行目的地导航；</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提供查看疑似违法类型；</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提供对事件进行图片、视频拍摄上传；</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提供对发现的问题进行文字描述；</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提供对问题发现地点进行设备定位；</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提供对问题进行上报；</w:t>
            </w:r>
          </w:p>
          <w:p>
            <w:pPr>
              <w:keepNext w:val="0"/>
              <w:keepLines w:val="0"/>
              <w:pageBreakBefore w:val="0"/>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提供五乱事件统一管理、处置，由网格员进行研判，网格员如果处置不了进行回退；</w:t>
            </w:r>
          </w:p>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sz w:val="24"/>
                <w:szCs w:val="24"/>
              </w:rPr>
              <w:t>支持填写回退理由。</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197000.00</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197000.00</w:t>
            </w:r>
          </w:p>
        </w:tc>
      </w:tr>
      <w:tr>
        <w:tblPrEx>
          <w:tblCellMar>
            <w:top w:w="0" w:type="dxa"/>
            <w:left w:w="108" w:type="dxa"/>
            <w:bottom w:w="0" w:type="dxa"/>
            <w:right w:w="108" w:type="dxa"/>
          </w:tblCellMar>
        </w:tblPrEx>
        <w:trPr>
          <w:trHeight w:val="310" w:hRule="atLeast"/>
        </w:trPr>
        <w:tc>
          <w:tcPr>
            <w:tcW w:w="248" w:type="pct"/>
            <w:vMerge w:val="restart"/>
            <w:tcBorders>
              <w:top w:val="nil"/>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8</w:t>
            </w:r>
          </w:p>
        </w:tc>
        <w:tc>
          <w:tcPr>
            <w:tcW w:w="348" w:type="pct"/>
            <w:vMerge w:val="restart"/>
            <w:tcBorders>
              <w:top w:val="nil"/>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实施</w:t>
            </w:r>
          </w:p>
        </w:tc>
        <w:tc>
          <w:tcPr>
            <w:tcW w:w="364"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安装施工</w:t>
            </w:r>
          </w:p>
        </w:tc>
        <w:tc>
          <w:tcPr>
            <w:tcW w:w="2416" w:type="pct"/>
            <w:tcBorders>
              <w:top w:val="single" w:color="auto" w:sz="4" w:space="0"/>
              <w:left w:val="nil"/>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户外勘察、设备运输、爬高作业、高空调试、配电改造指挥中心设施改造。</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项</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122290.00</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122290.00</w:t>
            </w:r>
          </w:p>
        </w:tc>
      </w:tr>
      <w:tr>
        <w:tblPrEx>
          <w:tblCellMar>
            <w:top w:w="0" w:type="dxa"/>
            <w:left w:w="108" w:type="dxa"/>
            <w:bottom w:w="0" w:type="dxa"/>
            <w:right w:w="108" w:type="dxa"/>
          </w:tblCellMar>
        </w:tblPrEx>
        <w:trPr>
          <w:trHeight w:val="310" w:hRule="atLeast"/>
        </w:trPr>
        <w:tc>
          <w:tcPr>
            <w:tcW w:w="248" w:type="pct"/>
            <w:vMerge w:val="continue"/>
            <w:tcBorders>
              <w:left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88" w:lineRule="auto"/>
              <w:ind w:firstLine="440"/>
              <w:jc w:val="center"/>
              <w:textAlignment w:val="auto"/>
              <w:rPr>
                <w:rFonts w:hint="eastAsia" w:ascii="宋体" w:hAnsi="宋体" w:eastAsia="宋体" w:cs="宋体"/>
                <w:color w:val="000000"/>
                <w:kern w:val="0"/>
                <w:sz w:val="24"/>
                <w:szCs w:val="24"/>
              </w:rPr>
            </w:pPr>
          </w:p>
        </w:tc>
        <w:tc>
          <w:tcPr>
            <w:tcW w:w="348" w:type="pct"/>
            <w:vMerge w:val="continue"/>
            <w:tcBorders>
              <w:top w:val="nil"/>
              <w:left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88" w:lineRule="auto"/>
              <w:ind w:firstLine="440"/>
              <w:jc w:val="center"/>
              <w:textAlignment w:val="auto"/>
              <w:rPr>
                <w:rFonts w:hint="eastAsia" w:ascii="宋体" w:hAnsi="宋体" w:eastAsia="宋体" w:cs="宋体"/>
                <w:color w:val="000000"/>
                <w:kern w:val="0"/>
                <w:sz w:val="24"/>
                <w:szCs w:val="24"/>
              </w:rPr>
            </w:pPr>
          </w:p>
        </w:tc>
        <w:tc>
          <w:tcPr>
            <w:tcW w:w="364"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指挥中心改造</w:t>
            </w:r>
          </w:p>
        </w:tc>
        <w:tc>
          <w:tcPr>
            <w:tcW w:w="2416" w:type="pct"/>
            <w:tcBorders>
              <w:top w:val="single" w:color="auto" w:sz="4" w:space="0"/>
              <w:left w:val="nil"/>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指挥中心适应性改造、防漏、防潮、防雷接地等。</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项</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28000.00</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28000.00</w:t>
            </w:r>
          </w:p>
        </w:tc>
      </w:tr>
      <w:tr>
        <w:tblPrEx>
          <w:tblCellMar>
            <w:top w:w="0" w:type="dxa"/>
            <w:left w:w="108" w:type="dxa"/>
            <w:bottom w:w="0" w:type="dxa"/>
            <w:right w:w="108" w:type="dxa"/>
          </w:tblCellMar>
        </w:tblPrEx>
        <w:trPr>
          <w:trHeight w:val="310" w:hRule="atLeast"/>
        </w:trPr>
        <w:tc>
          <w:tcPr>
            <w:tcW w:w="248" w:type="pct"/>
            <w:vMerge w:val="continue"/>
            <w:tcBorders>
              <w:left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88" w:lineRule="auto"/>
              <w:ind w:firstLine="440"/>
              <w:jc w:val="center"/>
              <w:textAlignment w:val="auto"/>
              <w:rPr>
                <w:rFonts w:hint="eastAsia" w:ascii="宋体" w:hAnsi="宋体" w:eastAsia="宋体" w:cs="宋体"/>
                <w:color w:val="000000"/>
                <w:kern w:val="0"/>
                <w:sz w:val="24"/>
                <w:szCs w:val="24"/>
              </w:rPr>
            </w:pPr>
          </w:p>
        </w:tc>
        <w:tc>
          <w:tcPr>
            <w:tcW w:w="348" w:type="pct"/>
            <w:vMerge w:val="continue"/>
            <w:tcBorders>
              <w:left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88" w:lineRule="auto"/>
              <w:ind w:firstLine="440"/>
              <w:jc w:val="center"/>
              <w:textAlignment w:val="auto"/>
              <w:rPr>
                <w:rFonts w:hint="eastAsia" w:ascii="宋体" w:hAnsi="宋体" w:eastAsia="宋体" w:cs="宋体"/>
                <w:color w:val="000000"/>
                <w:kern w:val="0"/>
                <w:sz w:val="24"/>
                <w:szCs w:val="24"/>
              </w:rPr>
            </w:pPr>
          </w:p>
        </w:tc>
        <w:tc>
          <w:tcPr>
            <w:tcW w:w="364"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设备标定</w:t>
            </w:r>
          </w:p>
        </w:tc>
        <w:tc>
          <w:tcPr>
            <w:tcW w:w="2416" w:type="pct"/>
            <w:tcBorders>
              <w:top w:val="single" w:color="auto" w:sz="4" w:space="0"/>
              <w:left w:val="nil"/>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根据不同感知设备的性能和参数要求，实现参考坐标系确认、标定点位踏勘，数据校准确保数据上报准确度。</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项</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58200.00</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58200.00</w:t>
            </w:r>
          </w:p>
        </w:tc>
      </w:tr>
      <w:tr>
        <w:tblPrEx>
          <w:tblCellMar>
            <w:top w:w="0" w:type="dxa"/>
            <w:left w:w="108" w:type="dxa"/>
            <w:bottom w:w="0" w:type="dxa"/>
            <w:right w:w="108" w:type="dxa"/>
          </w:tblCellMar>
        </w:tblPrEx>
        <w:trPr>
          <w:trHeight w:val="310" w:hRule="atLeast"/>
        </w:trPr>
        <w:tc>
          <w:tcPr>
            <w:tcW w:w="248" w:type="pct"/>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p>
        </w:tc>
        <w:tc>
          <w:tcPr>
            <w:tcW w:w="348" w:type="pct"/>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p>
        </w:tc>
        <w:tc>
          <w:tcPr>
            <w:tcW w:w="364" w:type="pct"/>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网络融合</w:t>
            </w:r>
          </w:p>
        </w:tc>
        <w:tc>
          <w:tcPr>
            <w:tcW w:w="2416" w:type="pct"/>
            <w:tcBorders>
              <w:top w:val="single" w:color="auto" w:sz="4" w:space="0"/>
              <w:left w:val="nil"/>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针对三家运营商网络参数要求、实现对原有链路的调式、设备升级、网络融合，确保多运营商网络环境下系统的兼容性和稳定性等。</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项</w:t>
            </w:r>
          </w:p>
        </w:tc>
        <w:tc>
          <w:tcPr>
            <w:tcW w:w="223"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56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44300.00</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44300.00</w:t>
            </w:r>
          </w:p>
        </w:tc>
      </w:tr>
      <w:tr>
        <w:tblPrEx>
          <w:tblCellMar>
            <w:top w:w="0" w:type="dxa"/>
            <w:left w:w="108" w:type="dxa"/>
            <w:bottom w:w="0" w:type="dxa"/>
            <w:right w:w="108" w:type="dxa"/>
          </w:tblCellMar>
        </w:tblPrEx>
        <w:trPr>
          <w:trHeight w:val="280" w:hRule="atLeast"/>
        </w:trPr>
        <w:tc>
          <w:tcPr>
            <w:tcW w:w="3863" w:type="pct"/>
            <w:gridSpan w:val="6"/>
            <w:tcBorders>
              <w:top w:val="single" w:color="auto" w:sz="4" w:space="0"/>
              <w:left w:val="single" w:color="auto" w:sz="4" w:space="0"/>
              <w:bottom w:val="single" w:color="auto"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合计</w:t>
            </w:r>
          </w:p>
        </w:tc>
        <w:tc>
          <w:tcPr>
            <w:tcW w:w="1136" w:type="pct"/>
            <w:gridSpan w:val="2"/>
            <w:tcBorders>
              <w:top w:val="single" w:color="auto" w:sz="4" w:space="0"/>
              <w:left w:val="nil"/>
              <w:bottom w:val="single" w:color="auto" w:sz="4" w:space="0"/>
              <w:right w:val="single" w:color="000000" w:sz="4" w:space="0"/>
            </w:tcBorders>
            <w:shd w:val="clear" w:color="auto" w:fill="auto"/>
            <w:noWrap/>
            <w:vAlign w:val="bottom"/>
          </w:tcPr>
          <w:p>
            <w:pPr>
              <w:keepNext w:val="0"/>
              <w:keepLines w:val="0"/>
              <w:pageBreakBefore w:val="0"/>
              <w:widowControl/>
              <w:kinsoku/>
              <w:wordWrap/>
              <w:overflowPunct/>
              <w:topLinePunct w:val="0"/>
              <w:autoSpaceDE/>
              <w:autoSpaceDN/>
              <w:bidi w:val="0"/>
              <w:adjustRightInd/>
              <w:snapToGrid/>
              <w:spacing w:line="288" w:lineRule="auto"/>
              <w:ind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2599030.00</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zYTA0ZTVlNzg5MWU0YmZkY2M4YmQwZmVmNDI5NWEifQ=="/>
  </w:docVars>
  <w:rsids>
    <w:rsidRoot w:val="00000000"/>
    <w:rsid w:val="05F66CD3"/>
    <w:rsid w:val="09E6426D"/>
    <w:rsid w:val="0AD96897"/>
    <w:rsid w:val="0B084F9C"/>
    <w:rsid w:val="0F663974"/>
    <w:rsid w:val="170171D4"/>
    <w:rsid w:val="172B1A3A"/>
    <w:rsid w:val="1A6E1FD7"/>
    <w:rsid w:val="1AD81854"/>
    <w:rsid w:val="1B3466EB"/>
    <w:rsid w:val="1E6F5BB8"/>
    <w:rsid w:val="21030026"/>
    <w:rsid w:val="21726BFB"/>
    <w:rsid w:val="229334DB"/>
    <w:rsid w:val="24461CF2"/>
    <w:rsid w:val="2E017EB0"/>
    <w:rsid w:val="31494443"/>
    <w:rsid w:val="32D21EBA"/>
    <w:rsid w:val="355D3309"/>
    <w:rsid w:val="361349A7"/>
    <w:rsid w:val="39153A8B"/>
    <w:rsid w:val="3BCC1C8A"/>
    <w:rsid w:val="3CF7075F"/>
    <w:rsid w:val="431F4BF2"/>
    <w:rsid w:val="493A6613"/>
    <w:rsid w:val="4B206C58"/>
    <w:rsid w:val="4F5330C3"/>
    <w:rsid w:val="57CC2FA4"/>
    <w:rsid w:val="65B63A62"/>
    <w:rsid w:val="664D145E"/>
    <w:rsid w:val="66567E56"/>
    <w:rsid w:val="67290160"/>
    <w:rsid w:val="718705E3"/>
    <w:rsid w:val="72067D02"/>
    <w:rsid w:val="74335E05"/>
    <w:rsid w:val="7A092D2B"/>
    <w:rsid w:val="7DAD08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1"/>
    <w:autoRedefine/>
    <w:qFormat/>
    <w:uiPriority w:val="0"/>
    <w:pPr>
      <w:keepNext/>
      <w:keepLines/>
      <w:tabs>
        <w:tab w:val="left" w:pos="0"/>
      </w:tabs>
      <w:adjustRightInd w:val="0"/>
      <w:snapToGrid w:val="0"/>
      <w:spacing w:before="50" w:beforeLines="50" w:beforeAutospacing="0" w:after="50" w:afterLines="50" w:afterAutospacing="0" w:line="560" w:lineRule="exact"/>
      <w:ind w:firstLine="0" w:firstLineChars="0"/>
      <w:jc w:val="center"/>
      <w:outlineLvl w:val="0"/>
    </w:pPr>
    <w:rPr>
      <w:rFonts w:ascii="宋体" w:hAnsi="宋体" w:eastAsia="宋体" w:cs="宋体"/>
      <w:b/>
      <w:bCs/>
      <w:kern w:val="44"/>
      <w:sz w:val="36"/>
      <w:szCs w:val="36"/>
    </w:rPr>
  </w:style>
  <w:style w:type="paragraph" w:styleId="3">
    <w:name w:val="heading 2"/>
    <w:basedOn w:val="1"/>
    <w:next w:val="1"/>
    <w:link w:val="10"/>
    <w:autoRedefine/>
    <w:semiHidden/>
    <w:unhideWhenUsed/>
    <w:qFormat/>
    <w:uiPriority w:val="0"/>
    <w:pPr>
      <w:keepNext/>
      <w:keepLines/>
      <w:adjustRightInd w:val="0"/>
      <w:snapToGrid w:val="0"/>
      <w:spacing w:before="50" w:beforeLines="50" w:beforeAutospacing="0" w:after="50" w:afterLines="50" w:afterAutospacing="0" w:line="500" w:lineRule="exact"/>
      <w:ind w:firstLine="0" w:firstLineChars="0"/>
      <w:jc w:val="center"/>
      <w:outlineLvl w:val="1"/>
    </w:pPr>
    <w:rPr>
      <w:rFonts w:ascii="仿宋" w:hAnsi="仿宋" w:eastAsia="宋体" w:cs="宋体"/>
      <w:b/>
      <w:bCs/>
      <w:sz w:val="32"/>
      <w:szCs w:val="32"/>
    </w:rPr>
  </w:style>
  <w:style w:type="paragraph" w:styleId="4">
    <w:name w:val="heading 3"/>
    <w:basedOn w:val="1"/>
    <w:next w:val="1"/>
    <w:autoRedefine/>
    <w:semiHidden/>
    <w:unhideWhenUsed/>
    <w:qFormat/>
    <w:uiPriority w:val="0"/>
    <w:pPr>
      <w:keepNext/>
      <w:keepLines/>
      <w:autoSpaceDE/>
      <w:autoSpaceDN/>
      <w:spacing w:beforeAutospacing="0" w:after="50" w:afterLines="50" w:afterAutospacing="0" w:line="500" w:lineRule="exact"/>
      <w:ind w:firstLine="0" w:firstLineChars="0"/>
      <w:outlineLvl w:val="2"/>
    </w:pPr>
    <w:rPr>
      <w:rFonts w:ascii="宋体" w:hAnsi="宋体" w:eastAsia="宋体" w:cs="宋体"/>
      <w:b/>
      <w:bCs/>
      <w:sz w:val="30"/>
      <w:szCs w:val="30"/>
    </w:rPr>
  </w:style>
  <w:style w:type="paragraph" w:styleId="5">
    <w:name w:val="heading 4"/>
    <w:basedOn w:val="1"/>
    <w:next w:val="1"/>
    <w:autoRedefine/>
    <w:semiHidden/>
    <w:unhideWhenUsed/>
    <w:qFormat/>
    <w:uiPriority w:val="0"/>
    <w:pPr>
      <w:keepNext/>
      <w:keepLines/>
      <w:snapToGrid w:val="0"/>
      <w:spacing w:before="50" w:beforeLines="50" w:beforeAutospacing="0" w:after="50" w:afterLines="50" w:afterAutospacing="0" w:line="572" w:lineRule="exact"/>
      <w:ind w:firstLine="720" w:firstLineChars="200"/>
      <w:outlineLvl w:val="3"/>
    </w:pPr>
    <w:rPr>
      <w:rFonts w:ascii="仿宋" w:hAnsi="仿宋" w:eastAsia="仿宋" w:cs="仿宋"/>
      <w:b/>
      <w:bCs/>
    </w:rPr>
  </w:style>
  <w:style w:type="character" w:default="1" w:styleId="9">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6">
    <w:name w:val="toa heading"/>
    <w:basedOn w:val="1"/>
    <w:next w:val="1"/>
    <w:autoRedefine/>
    <w:qFormat/>
    <w:uiPriority w:val="0"/>
    <w:pPr>
      <w:spacing w:before="120" w:beforeLines="0" w:beforeAutospacing="0"/>
    </w:pPr>
    <w:rPr>
      <w:rFonts w:ascii="Arial" w:hAnsi="Arial"/>
      <w:sz w:val="24"/>
    </w:rPr>
  </w:style>
  <w:style w:type="paragraph" w:styleId="7">
    <w:name w:val="Body Text"/>
    <w:basedOn w:val="1"/>
    <w:next w:val="1"/>
    <w:autoRedefine/>
    <w:qFormat/>
    <w:uiPriority w:val="0"/>
    <w:pPr>
      <w:snapToGrid w:val="0"/>
      <w:spacing w:before="50" w:beforeLines="50" w:after="50" w:afterLines="50" w:line="360" w:lineRule="auto"/>
      <w:ind w:firstLine="720" w:firstLineChars="200"/>
    </w:pPr>
    <w:rPr>
      <w:rFonts w:ascii="仿宋" w:hAnsi="仿宋" w:eastAsia="仿宋" w:cs="仿宋"/>
    </w:rPr>
  </w:style>
  <w:style w:type="character" w:customStyle="1" w:styleId="10">
    <w:name w:val="标题 2 Char"/>
    <w:link w:val="3"/>
    <w:autoRedefine/>
    <w:qFormat/>
    <w:uiPriority w:val="0"/>
    <w:rPr>
      <w:rFonts w:ascii="仿宋" w:hAnsi="仿宋" w:eastAsia="宋体" w:cs="宋体"/>
      <w:b/>
      <w:bCs/>
      <w:sz w:val="32"/>
      <w:szCs w:val="32"/>
    </w:rPr>
  </w:style>
  <w:style w:type="character" w:customStyle="1" w:styleId="11">
    <w:name w:val="标题 1 Char"/>
    <w:link w:val="2"/>
    <w:autoRedefine/>
    <w:qFormat/>
    <w:uiPriority w:val="0"/>
    <w:rPr>
      <w:rFonts w:ascii="宋体" w:hAnsi="宋体" w:eastAsia="宋体" w:cs="宋体"/>
      <w:b/>
      <w:bCs/>
      <w:kern w:val="44"/>
      <w:sz w:val="36"/>
      <w:szCs w:val="36"/>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2023-05-04T01:51:00Z</dcterms:created>
  <dc:creator>HP</dc:creator>
  <cp:lastModifiedBy>娟</cp:lastModifiedBy>
  <dcterms:modified xsi:type="dcterms:W3CDTF">2024-06-26T02:45:04Z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49FE386CA3E44D86B95A969D268BD0DC_12</vt:lpwstr>
  </property>
</Properties>
</file>