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版本号：YCXM-202512120251014001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购买社会救助服务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YCXM-2025121</w:t>
      </w:r>
      <w:r>
        <w:br/>
      </w:r>
      <w:r>
        <w:br/>
      </w:r>
      <w:r>
        <w:br/>
      </w:r>
    </w:p>
    <w:p>
      <w:pPr>
        <w:pStyle w:val="null3"/>
        <w:jc w:val="center"/>
        <w:outlineLvl w:val="2"/>
      </w:pPr>
      <w:r>
        <w:rPr>
          <w:rFonts w:ascii="仿宋_GB2312" w:hAnsi="仿宋_GB2312" w:cs="仿宋_GB2312" w:eastAsia="仿宋_GB2312"/>
          <w:sz w:val="28"/>
          <w:b/>
        </w:rPr>
        <w:t>西安市灞桥区民政局</w:t>
      </w:r>
    </w:p>
    <w:p>
      <w:pPr>
        <w:pStyle w:val="null3"/>
        <w:jc w:val="center"/>
        <w:outlineLvl w:val="2"/>
      </w:pPr>
      <w:r>
        <w:rPr>
          <w:rFonts w:ascii="仿宋_GB2312" w:hAnsi="仿宋_GB2312" w:cs="仿宋_GB2312" w:eastAsia="仿宋_GB2312"/>
          <w:sz w:val="28"/>
          <w:b/>
        </w:rPr>
        <w:t>陕西玥诚工程项目管理有限公司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陕西玥诚工程项目管理有限公司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西安市灞桥区民政局</w:t>
      </w:r>
      <w:r>
        <w:rPr>
          <w:rFonts w:ascii="仿宋_GB2312" w:hAnsi="仿宋_GB2312" w:cs="仿宋_GB2312" w:eastAsia="仿宋_GB2312"/>
        </w:rPr>
        <w:t>委托，拟对</w:t>
      </w:r>
      <w:r>
        <w:rPr>
          <w:rFonts w:ascii="仿宋_GB2312" w:hAnsi="仿宋_GB2312" w:cs="仿宋_GB2312" w:eastAsia="仿宋_GB2312"/>
        </w:rPr>
        <w:t>购买社会救助服务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YCXM-2025121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购买社会救助服务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加强服务类社会救助工作，全面打造“物质+服务”救助模式，更好地满足辖区困难群众多层次、多样化救助服务需求。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采购包1（购买社会救助服务）：属于专门面向中小企业采购。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1、营业执照：具有独立承担民事责任能力的法人、其他组织或自然人，营业执照、税务登记证、组织机构代码证（多证 合一只提供营业执照，事业单位提供事业单位法人证书，自然人提供本人身份证）合法有效；</w:t>
      </w:r>
    </w:p>
    <w:p>
      <w:pPr>
        <w:pStyle w:val="null3"/>
      </w:pPr>
      <w:r>
        <w:rPr>
          <w:rFonts w:ascii="仿宋_GB2312" w:hAnsi="仿宋_GB2312" w:cs="仿宋_GB2312" w:eastAsia="仿宋_GB2312"/>
        </w:rPr>
        <w:t>2、法人授权委托书：法定代表人授权书（附法定代表人、被授权人身份证复印件）及被授权人身份证（法定代表人直接参加磋商，须提供法定代表人身份证明及身份证）：法定代表人直接参加磋商的，须提供法定代表人身份证明及身份证；法定代表人授权他人参加的，须提供法定代表人授权书（附法定代表人、被授权人身份证复印件）。</w:t>
      </w:r>
    </w:p>
    <w:p>
      <w:pPr>
        <w:pStyle w:val="null3"/>
      </w:pPr>
      <w:r>
        <w:rPr>
          <w:rFonts w:ascii="仿宋_GB2312" w:hAnsi="仿宋_GB2312" w:cs="仿宋_GB2312" w:eastAsia="仿宋_GB2312"/>
        </w:rPr>
        <w:t>3、财务审计报告：供应商应提供2024年度经审计的财务会计报告（成立时间至提交磋商响应文件截止时间不足一年的可提供成立后任意时段的资产负债表），或提交磋商响应截止时间前3个月内银行出具的资信证明，或信用担保机构出具的担保函（以上三种形式的资料提供任何一种即可）；其他组织和自然人提供银行出具的资信证明或财务报表；</w:t>
      </w:r>
    </w:p>
    <w:p>
      <w:pPr>
        <w:pStyle w:val="null3"/>
      </w:pPr>
      <w:r>
        <w:rPr>
          <w:rFonts w:ascii="仿宋_GB2312" w:hAnsi="仿宋_GB2312" w:cs="仿宋_GB2312" w:eastAsia="仿宋_GB2312"/>
        </w:rPr>
        <w:t>4、税收缴纳证明：提供供应商投标截止日前6个月内至少一个月已缴纳的增值税纳税证明或完税证明，依法免税的供应商应提供加盖公章的相关证明文件；</w:t>
      </w:r>
    </w:p>
    <w:p>
      <w:pPr>
        <w:pStyle w:val="null3"/>
      </w:pPr>
      <w:r>
        <w:rPr>
          <w:rFonts w:ascii="仿宋_GB2312" w:hAnsi="仿宋_GB2312" w:cs="仿宋_GB2312" w:eastAsia="仿宋_GB2312"/>
        </w:rPr>
        <w:t>5、社会保障资金缴纳证明：提供供应商投标截止日前6个月内至少一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6、具备履行合同所必需的设备和专业技术能力的证明材料：具备履行合同所必需的设备和专业技术能力的证明材料(由供应商根据项目需求提供说明材料或者承诺)；</w:t>
      </w:r>
    </w:p>
    <w:p>
      <w:pPr>
        <w:pStyle w:val="null3"/>
      </w:pPr>
      <w:r>
        <w:rPr>
          <w:rFonts w:ascii="仿宋_GB2312" w:hAnsi="仿宋_GB2312" w:cs="仿宋_GB2312" w:eastAsia="仿宋_GB2312"/>
        </w:rPr>
        <w:t>7、无违纪书面声明：书面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8、非联合体承诺：本项目不接受联合体投标（提供承诺）</w:t>
      </w:r>
    </w:p>
    <w:p>
      <w:pPr>
        <w:pStyle w:val="null3"/>
      </w:pPr>
      <w:r>
        <w:rPr>
          <w:rFonts w:ascii="仿宋_GB2312" w:hAnsi="仿宋_GB2312" w:cs="仿宋_GB2312" w:eastAsia="仿宋_GB2312"/>
        </w:rPr>
        <w:t>9、本项目专门面向中小企业采购：本项目专门面向中小企业采购（提供中小企业声明函）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西安市纺织城纺北路133号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029-83528059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陕西玥诚工程项目管理有限公司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西安市雁塔区雁展路莱安中心T7，10楼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13484613855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发的《招标代理服务收费管理暂行办法》（计价格[2002]1980号）和国家发展改革委员会办公厅颁发的《关于招标代理服务收费有关问题的通知》（发改办价格[2003]857号）的有关规定执行，本项目代理服务费按定额收取6000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西安市灞桥区民政局</w:t>
      </w:r>
      <w:r>
        <w:rPr>
          <w:rFonts w:ascii="仿宋_GB2312" w:hAnsi="仿宋_GB2312" w:cs="仿宋_GB2312" w:eastAsia="仿宋_GB2312"/>
        </w:rPr>
        <w:t>和</w:t>
      </w:r>
      <w:r>
        <w:rPr>
          <w:rFonts w:ascii="仿宋_GB2312" w:hAnsi="仿宋_GB2312" w:cs="仿宋_GB2312" w:eastAsia="仿宋_GB2312"/>
        </w:rPr>
        <w:t>陕西玥诚工程项目管理有限公司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陕西玥诚工程项目管理有限公司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陕西玥诚工程项目管理有限公司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详见验收单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联系人：马宁</w:t>
      </w:r>
    </w:p>
    <w:p>
      <w:pPr>
        <w:pStyle w:val="null3"/>
      </w:pPr>
      <w:r>
        <w:rPr>
          <w:rFonts w:ascii="仿宋_GB2312" w:hAnsi="仿宋_GB2312" w:cs="仿宋_GB2312" w:eastAsia="仿宋_GB2312"/>
        </w:rPr>
        <w:t>联系电话：13484613855</w:t>
      </w:r>
    </w:p>
    <w:p>
      <w:pPr>
        <w:pStyle w:val="null3"/>
      </w:pPr>
      <w:r>
        <w:rPr>
          <w:rFonts w:ascii="仿宋_GB2312" w:hAnsi="仿宋_GB2312" w:cs="仿宋_GB2312" w:eastAsia="仿宋_GB2312"/>
        </w:rPr>
        <w:t>地址：西安市雁塔区雁展路莱安中心T7，10楼</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加强服务类社会救助工作，全面打造“物质+服务”救助模式，更好地满足辖区困难群众多层次、多样化救助服务需求。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购买社会救助服务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标的名称：购买社会救助服务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 xml:space="preserve">  一、项目概况</w:t>
            </w:r>
          </w:p>
          <w:p>
            <w:pPr>
              <w:pStyle w:val="null3"/>
              <w:ind w:firstLine="420"/>
              <w:jc w:val="left"/>
            </w:pPr>
            <w:r>
              <w:rPr>
                <w:rFonts w:ascii="仿宋_GB2312" w:hAnsi="仿宋_GB2312" w:cs="仿宋_GB2312" w:eastAsia="仿宋_GB2312"/>
                <w:sz w:val="24"/>
                <w:color w:val="000000"/>
              </w:rPr>
              <w:t>加强服务类社会救助工作，全面打造</w:t>
            </w:r>
            <w:r>
              <w:rPr>
                <w:rFonts w:ascii="仿宋_GB2312" w:hAnsi="仿宋_GB2312" w:cs="仿宋_GB2312" w:eastAsia="仿宋_GB2312"/>
                <w:sz w:val="24"/>
                <w:color w:val="000000"/>
              </w:rPr>
              <w:t>“物质+服务”救助模式，更好地满足辖区困难群众多层次、多样化救助服务需求</w:t>
            </w:r>
          </w:p>
          <w:p>
            <w:pPr>
              <w:pStyle w:val="null3"/>
              <w:ind w:firstLine="420"/>
              <w:jc w:val="left"/>
            </w:pPr>
            <w:r>
              <w:rPr>
                <w:rFonts w:ascii="仿宋_GB2312" w:hAnsi="仿宋_GB2312" w:cs="仿宋_GB2312" w:eastAsia="仿宋_GB2312"/>
                <w:sz w:val="24"/>
                <w:b/>
              </w:rPr>
              <w:t>二、服务内容</w:t>
            </w:r>
          </w:p>
          <w:p>
            <w:pPr>
              <w:pStyle w:val="null3"/>
              <w:ind w:firstLine="420"/>
              <w:jc w:val="left"/>
            </w:pPr>
            <w:r>
              <w:rPr>
                <w:rFonts w:ascii="仿宋_GB2312" w:hAnsi="仿宋_GB2312" w:cs="仿宋_GB2312" w:eastAsia="仿宋_GB2312"/>
                <w:sz w:val="24"/>
                <w:color w:val="000000"/>
              </w:rPr>
              <w:t>（一）事务性救助</w:t>
            </w:r>
          </w:p>
          <w:p>
            <w:pPr>
              <w:pStyle w:val="null3"/>
              <w:ind w:firstLine="420"/>
              <w:jc w:val="left"/>
            </w:pPr>
            <w:r>
              <w:rPr>
                <w:rFonts w:ascii="仿宋_GB2312" w:hAnsi="仿宋_GB2312" w:cs="仿宋_GB2312" w:eastAsia="仿宋_GB2312"/>
                <w:sz w:val="24"/>
                <w:color w:val="000000"/>
              </w:rPr>
              <w:t>1.年度复审。</w:t>
            </w:r>
          </w:p>
          <w:p>
            <w:pPr>
              <w:pStyle w:val="null3"/>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1）服务（复审）对象：辖区在册低保对象和特困供养人员。</w:t>
            </w:r>
          </w:p>
          <w:p>
            <w:pPr>
              <w:pStyle w:val="null3"/>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2）服务内容：对服务对象进行资格复审。</w:t>
            </w:r>
          </w:p>
          <w:p>
            <w:pPr>
              <w:pStyle w:val="null3"/>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3）服务方式：通过走访调查，了解服务对象家庭的基本情况，核查经济收入、户籍状况、家庭财产状况、家庭消费状况、刚性支出状况等信息，为实施精准救助提供依据。</w:t>
            </w:r>
          </w:p>
          <w:p>
            <w:pPr>
              <w:pStyle w:val="null3"/>
              <w:ind w:firstLine="420"/>
              <w:jc w:val="left"/>
            </w:pPr>
            <w:r>
              <w:rPr>
                <w:rFonts w:ascii="仿宋_GB2312" w:hAnsi="仿宋_GB2312" w:cs="仿宋_GB2312" w:eastAsia="仿宋_GB2312"/>
                <w:sz w:val="24"/>
                <w:color w:val="000000"/>
              </w:rPr>
              <w:t>2.入户调查。</w:t>
            </w:r>
          </w:p>
          <w:p>
            <w:pPr>
              <w:pStyle w:val="null3"/>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1）服务对象：辖区新申请低保、特困、低保边缘家庭、刚性支出困难家庭、临时救助等对象，以及民政部门认定的与社会救助有关的对象。</w:t>
            </w:r>
          </w:p>
          <w:p>
            <w:pPr>
              <w:pStyle w:val="null3"/>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2）服务内容：对新申请对象的经济收入、户籍状况、家庭财产状况、家庭消费状况、刚性支出状况等信息进行入户调查。</w:t>
            </w:r>
          </w:p>
          <w:p>
            <w:pPr>
              <w:pStyle w:val="null3"/>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3）服务方式：及时安排人员开展入户调查，真实记录入户家庭（对象）的实际情况，并向街道出具入户调查表。</w:t>
            </w:r>
          </w:p>
          <w:p>
            <w:pPr>
              <w:pStyle w:val="null3"/>
              <w:ind w:firstLine="420"/>
              <w:jc w:val="left"/>
            </w:pPr>
            <w:r>
              <w:rPr>
                <w:rFonts w:ascii="仿宋_GB2312" w:hAnsi="仿宋_GB2312" w:cs="仿宋_GB2312" w:eastAsia="仿宋_GB2312"/>
                <w:sz w:val="24"/>
                <w:color w:val="000000"/>
              </w:rPr>
              <w:t>（二）服务类救助</w:t>
            </w:r>
          </w:p>
          <w:p>
            <w:pPr>
              <w:pStyle w:val="null3"/>
              <w:ind w:firstLine="420"/>
              <w:jc w:val="left"/>
            </w:pPr>
            <w:r>
              <w:rPr>
                <w:rFonts w:ascii="仿宋_GB2312" w:hAnsi="仿宋_GB2312" w:cs="仿宋_GB2312" w:eastAsia="仿宋_GB2312"/>
                <w:sz w:val="24"/>
                <w:color w:val="000000"/>
              </w:rPr>
              <w:t>1.服务对象：辖区低保对象中的重度残疾人、重病患者和分散供养特困人员中的全护理、半护理人员。</w:t>
            </w:r>
          </w:p>
          <w:p>
            <w:pPr>
              <w:pStyle w:val="null3"/>
              <w:ind w:firstLine="420"/>
              <w:jc w:val="left"/>
            </w:pPr>
            <w:r>
              <w:rPr>
                <w:rFonts w:ascii="仿宋_GB2312" w:hAnsi="仿宋_GB2312" w:cs="仿宋_GB2312" w:eastAsia="仿宋_GB2312"/>
                <w:sz w:val="24"/>
                <w:color w:val="000000"/>
              </w:rPr>
              <w:t>2.服务类别：</w:t>
            </w:r>
          </w:p>
          <w:p>
            <w:pPr>
              <w:pStyle w:val="null3"/>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1）照料服务：包括日常照护（看护照料、日常护理）和健康管理（陪医就诊、健康监测、康复治疗）。</w:t>
            </w:r>
          </w:p>
          <w:p>
            <w:pPr>
              <w:pStyle w:val="null3"/>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2）生活服务：包括助餐（上门做餐、协助进餐）、助浴、助洁（居所清洁整理、洗涤服务）和代办服务（代购生活用品、代办服务业务、代缴费用、寄取快递等）。</w:t>
            </w:r>
          </w:p>
          <w:p>
            <w:pPr>
              <w:pStyle w:val="null3"/>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3）关爱服务：包括探视探访（定期上门探访、电话问候、视频连线等）和精神慰藉（陪伴谈心、情绪安抚、心理干预等）。</w:t>
            </w:r>
          </w:p>
          <w:p>
            <w:pPr>
              <w:pStyle w:val="null3"/>
              <w:ind w:firstLine="200"/>
              <w:jc w:val="both"/>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20"/>
              <w:jc w:val="left"/>
            </w:pPr>
            <w:r>
              <w:rPr>
                <w:rFonts w:ascii="仿宋_GB2312" w:hAnsi="仿宋_GB2312" w:cs="仿宋_GB2312" w:eastAsia="仿宋_GB2312"/>
                <w:sz w:val="24"/>
                <w:color w:val="000000"/>
              </w:rPr>
              <w:t>1.人员配置：安排一名专职联络员驻点办公，同时配备一支相对稳定、能够承担入户调查、年度复审和照料服务、生活服务、关爱服务等专项救助服务工作的专业队伍。</w:t>
            </w:r>
          </w:p>
          <w:p>
            <w:pPr>
              <w:pStyle w:val="null3"/>
              <w:ind w:firstLine="420"/>
              <w:jc w:val="left"/>
            </w:pPr>
            <w:r>
              <w:rPr>
                <w:rFonts w:ascii="仿宋_GB2312" w:hAnsi="仿宋_GB2312" w:cs="仿宋_GB2312" w:eastAsia="仿宋_GB2312"/>
                <w:sz w:val="24"/>
                <w:color w:val="000000"/>
              </w:rPr>
              <w:t>2.专业设备：根据工作需要，配备一定数量的调查车辆和相应的摄（照）像、录音等办公设备。</w:t>
            </w:r>
          </w:p>
          <w:p>
            <w:pPr>
              <w:pStyle w:val="null3"/>
              <w:ind w:firstLine="420"/>
              <w:jc w:val="left"/>
            </w:pPr>
            <w:r>
              <w:rPr>
                <w:rFonts w:ascii="仿宋_GB2312" w:hAnsi="仿宋_GB2312" w:cs="仿宋_GB2312" w:eastAsia="仿宋_GB2312"/>
                <w:sz w:val="24"/>
                <w:color w:val="000000"/>
              </w:rPr>
              <w:t>3.着装要求：为工作人员配发适合工作开展需要的制式马甲。</w:t>
            </w:r>
          </w:p>
          <w:p>
            <w:pPr>
              <w:pStyle w:val="null3"/>
              <w:ind w:firstLine="420"/>
              <w:jc w:val="left"/>
            </w:pPr>
            <w:r>
              <w:rPr>
                <w:rFonts w:ascii="仿宋_GB2312" w:hAnsi="仿宋_GB2312" w:cs="仿宋_GB2312" w:eastAsia="仿宋_GB2312"/>
                <w:sz w:val="24"/>
                <w:color w:val="000000"/>
              </w:rPr>
              <w:t>4.服务标准：</w:t>
            </w:r>
          </w:p>
          <w:p>
            <w:pPr>
              <w:pStyle w:val="null3"/>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1）年度复审：根据工作安排，对在册低保对象和特困供养人员集中开展资格审查，并向街道出具复审入户调查表。</w:t>
            </w:r>
          </w:p>
          <w:p>
            <w:pPr>
              <w:pStyle w:val="null3"/>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2）入户调查：根据工作安排，于2个工作日内对新申请对象开展入户调查，真实记录入户家庭（对象）的实际情况，并向街道出具入户调查表。</w:t>
            </w:r>
          </w:p>
          <w:p>
            <w:pPr>
              <w:pStyle w:val="null3"/>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3）照料服务：定期对服务类救助的服务对象开展服务需求摸排，分类建立工作台账，按需提供相应的看护照料、日常护理、陪医就诊、健康监测、康复治疗等服务。</w:t>
            </w:r>
          </w:p>
          <w:p>
            <w:pPr>
              <w:pStyle w:val="null3"/>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4）生活服务：定期对服务类救助的服务对象开展服务需求摸排，分类建立工作台账，按需提供相应的助餐、助浴、助洁和代办服务（代购生活用品、寄取快递等）。</w:t>
            </w:r>
          </w:p>
          <w:p>
            <w:pPr>
              <w:pStyle w:val="null3"/>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5）关爱服务：定期对服务类救助的服务对象开展服务需求摸排，分类建立工作台账，按需提供相应的探视探访（定期上门探访、电话问候、视频连线等）和精神慰藉（陪伴谈心、情绪安抚、心理干预等）。</w:t>
            </w:r>
          </w:p>
          <w:p>
            <w:pPr>
              <w:pStyle w:val="null3"/>
              <w:ind w:firstLine="420"/>
              <w:jc w:val="left"/>
            </w:pPr>
            <w:r>
              <w:rPr>
                <w:rFonts w:ascii="仿宋_GB2312" w:hAnsi="仿宋_GB2312" w:cs="仿宋_GB2312" w:eastAsia="仿宋_GB2312"/>
                <w:sz w:val="24"/>
                <w:color w:val="000000"/>
              </w:rPr>
              <w:t>5.服务数量</w:t>
            </w:r>
          </w:p>
          <w:p>
            <w:pPr>
              <w:pStyle w:val="null3"/>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1）年度复审根据提供的辖区在册低保对象和特困供养人员数量而定。</w:t>
            </w:r>
          </w:p>
          <w:p>
            <w:pPr>
              <w:pStyle w:val="null3"/>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2）入户调查根据辖区新申请救助对象数量而定。</w:t>
            </w:r>
          </w:p>
          <w:p>
            <w:pPr>
              <w:pStyle w:val="null3"/>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服务类救助（照料服务、生活服务、关爱服务）根据辖区低保家庭中的重度残疾人、重病患者和分散供养特困人员中的全护理、半护理人员实际接受服务需求数量而定。2025年9月全区在册低保家庭中的重度残疾人、重病患者和分散供养特困人员中的全护理、半护理人员总计为1104人，据此测算服务数量应不低于3500人次。</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ind w:firstLine="240"/>
              <w:jc w:val="left"/>
            </w:pPr>
            <w:r>
              <w:rPr>
                <w:rFonts w:ascii="仿宋_GB2312" w:hAnsi="仿宋_GB2312" w:cs="仿宋_GB2312" w:eastAsia="仿宋_GB2312"/>
                <w:sz w:val="24"/>
                <w:color w:val="000000"/>
              </w:rPr>
              <w:t>（一）服务期限</w:t>
            </w:r>
          </w:p>
          <w:p>
            <w:pPr>
              <w:pStyle w:val="null3"/>
              <w:ind w:firstLine="420"/>
              <w:jc w:val="left"/>
            </w:pPr>
            <w:r>
              <w:rPr>
                <w:rFonts w:ascii="仿宋_GB2312" w:hAnsi="仿宋_GB2312" w:cs="仿宋_GB2312" w:eastAsia="仿宋_GB2312"/>
                <w:sz w:val="24"/>
                <w:color w:val="000000"/>
              </w:rPr>
              <w:t>从合同签订之日起满一年。</w:t>
            </w:r>
          </w:p>
          <w:p>
            <w:pPr>
              <w:pStyle w:val="null3"/>
              <w:ind w:firstLine="240"/>
              <w:jc w:val="left"/>
            </w:pPr>
            <w:r>
              <w:rPr>
                <w:rFonts w:ascii="仿宋_GB2312" w:hAnsi="仿宋_GB2312" w:cs="仿宋_GB2312" w:eastAsia="仿宋_GB2312"/>
                <w:sz w:val="24"/>
                <w:color w:val="000000"/>
              </w:rPr>
              <w:t>（二）款项结算</w:t>
            </w:r>
          </w:p>
          <w:p>
            <w:pPr>
              <w:pStyle w:val="null3"/>
              <w:ind w:firstLine="420"/>
              <w:jc w:val="left"/>
            </w:pPr>
            <w:r>
              <w:rPr>
                <w:rFonts w:ascii="仿宋_GB2312" w:hAnsi="仿宋_GB2312" w:cs="仿宋_GB2312" w:eastAsia="仿宋_GB2312"/>
                <w:sz w:val="24"/>
                <w:color w:val="000000"/>
              </w:rPr>
              <w:t>第一次支付款项</w:t>
            </w:r>
            <w:r>
              <w:rPr>
                <w:rFonts w:ascii="仿宋_GB2312" w:hAnsi="仿宋_GB2312" w:cs="仿宋_GB2312" w:eastAsia="仿宋_GB2312"/>
                <w:sz w:val="24"/>
                <w:color w:val="000000"/>
              </w:rPr>
              <w:t>于合同签订后</w:t>
            </w:r>
            <w:r>
              <w:rPr>
                <w:rFonts w:ascii="仿宋_GB2312" w:hAnsi="仿宋_GB2312" w:cs="仿宋_GB2312" w:eastAsia="仿宋_GB2312"/>
                <w:sz w:val="24"/>
                <w:color w:val="000000"/>
              </w:rPr>
              <w:t>3个月内支付，金</w:t>
            </w:r>
            <w:r>
              <w:rPr>
                <w:rFonts w:ascii="仿宋_GB2312" w:hAnsi="仿宋_GB2312" w:cs="仿宋_GB2312" w:eastAsia="仿宋_GB2312"/>
                <w:sz w:val="24"/>
                <w:color w:val="000000"/>
              </w:rPr>
              <w:t>额为总金额的</w:t>
            </w:r>
            <w:r>
              <w:rPr>
                <w:rFonts w:ascii="仿宋_GB2312" w:hAnsi="仿宋_GB2312" w:cs="仿宋_GB2312" w:eastAsia="仿宋_GB2312"/>
                <w:sz w:val="24"/>
                <w:color w:val="000000"/>
              </w:rPr>
              <w:t>40</w:t>
            </w:r>
            <w:r>
              <w:rPr>
                <w:rFonts w:ascii="仿宋_GB2312" w:hAnsi="仿宋_GB2312" w:cs="仿宋_GB2312" w:eastAsia="仿宋_GB2312"/>
                <w:sz w:val="24"/>
                <w:color w:val="000000"/>
              </w:rPr>
              <w:t>%。</w:t>
            </w:r>
          </w:p>
          <w:p>
            <w:pPr>
              <w:pStyle w:val="null3"/>
              <w:ind w:firstLine="420"/>
              <w:jc w:val="left"/>
            </w:pPr>
            <w:r>
              <w:rPr>
                <w:rFonts w:ascii="仿宋_GB2312" w:hAnsi="仿宋_GB2312" w:cs="仿宋_GB2312" w:eastAsia="仿宋_GB2312"/>
                <w:sz w:val="24"/>
                <w:color w:val="000000"/>
              </w:rPr>
              <w:t>第</w:t>
            </w:r>
            <w:r>
              <w:rPr>
                <w:rFonts w:ascii="仿宋_GB2312" w:hAnsi="仿宋_GB2312" w:cs="仿宋_GB2312" w:eastAsia="仿宋_GB2312"/>
                <w:sz w:val="24"/>
                <w:color w:val="000000"/>
              </w:rPr>
              <w:t>二</w:t>
            </w:r>
            <w:r>
              <w:rPr>
                <w:rFonts w:ascii="仿宋_GB2312" w:hAnsi="仿宋_GB2312" w:cs="仿宋_GB2312" w:eastAsia="仿宋_GB2312"/>
                <w:sz w:val="24"/>
                <w:color w:val="000000"/>
              </w:rPr>
              <w:t>次支付款</w:t>
            </w:r>
            <w:r>
              <w:rPr>
                <w:rFonts w:ascii="仿宋_GB2312" w:hAnsi="仿宋_GB2312" w:cs="仿宋_GB2312" w:eastAsia="仿宋_GB2312"/>
                <w:sz w:val="24"/>
                <w:color w:val="000000"/>
              </w:rPr>
              <w:t>项于合同满</w:t>
            </w:r>
            <w:r>
              <w:rPr>
                <w:rFonts w:ascii="仿宋_GB2312" w:hAnsi="仿宋_GB2312" w:cs="仿宋_GB2312" w:eastAsia="仿宋_GB2312"/>
                <w:sz w:val="24"/>
                <w:color w:val="000000"/>
              </w:rPr>
              <w:t>6个月后支付，金额为</w:t>
            </w:r>
            <w:r>
              <w:rPr>
                <w:rFonts w:ascii="仿宋_GB2312" w:hAnsi="仿宋_GB2312" w:cs="仿宋_GB2312" w:eastAsia="仿宋_GB2312"/>
                <w:sz w:val="24"/>
                <w:color w:val="000000"/>
              </w:rPr>
              <w:t>总金额的</w:t>
            </w:r>
            <w:r>
              <w:rPr>
                <w:rFonts w:ascii="仿宋_GB2312" w:hAnsi="仿宋_GB2312" w:cs="仿宋_GB2312" w:eastAsia="仿宋_GB2312"/>
                <w:sz w:val="24"/>
                <w:color w:val="000000"/>
              </w:rPr>
              <w:t>30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color w:val="000000"/>
              </w:rPr>
              <w:t>第</w:t>
            </w:r>
            <w:r>
              <w:rPr>
                <w:rFonts w:ascii="仿宋_GB2312" w:hAnsi="仿宋_GB2312" w:cs="仿宋_GB2312" w:eastAsia="仿宋_GB2312"/>
                <w:sz w:val="24"/>
                <w:color w:val="000000"/>
              </w:rPr>
              <w:t>三</w:t>
            </w:r>
            <w:r>
              <w:rPr>
                <w:rFonts w:ascii="仿宋_GB2312" w:hAnsi="仿宋_GB2312" w:cs="仿宋_GB2312" w:eastAsia="仿宋_GB2312"/>
                <w:sz w:val="24"/>
                <w:color w:val="000000"/>
              </w:rPr>
              <w:t>次支付款</w:t>
            </w:r>
            <w:r>
              <w:rPr>
                <w:rFonts w:ascii="仿宋_GB2312" w:hAnsi="仿宋_GB2312" w:cs="仿宋_GB2312" w:eastAsia="仿宋_GB2312"/>
                <w:sz w:val="24"/>
                <w:color w:val="000000"/>
              </w:rPr>
              <w:t>项</w:t>
            </w:r>
            <w:r>
              <w:rPr>
                <w:rFonts w:ascii="仿宋_GB2312" w:hAnsi="仿宋_GB2312" w:cs="仿宋_GB2312" w:eastAsia="仿宋_GB2312"/>
                <w:sz w:val="24"/>
                <w:color w:val="000000"/>
              </w:rPr>
              <w:t>于完成项目全部内容、</w:t>
            </w:r>
            <w:r>
              <w:rPr>
                <w:rFonts w:ascii="仿宋_GB2312" w:hAnsi="仿宋_GB2312" w:cs="仿宋_GB2312" w:eastAsia="仿宋_GB2312"/>
                <w:sz w:val="24"/>
                <w:color w:val="000000"/>
              </w:rPr>
              <w:t>合同期满且验收合格</w:t>
            </w:r>
            <w:r>
              <w:rPr>
                <w:rFonts w:ascii="仿宋_GB2312" w:hAnsi="仿宋_GB2312" w:cs="仿宋_GB2312" w:eastAsia="仿宋_GB2312"/>
                <w:sz w:val="24"/>
                <w:color w:val="000000"/>
              </w:rPr>
              <w:t>后</w:t>
            </w:r>
            <w:r>
              <w:rPr>
                <w:rFonts w:ascii="仿宋_GB2312" w:hAnsi="仿宋_GB2312" w:cs="仿宋_GB2312" w:eastAsia="仿宋_GB2312"/>
                <w:sz w:val="24"/>
                <w:color w:val="000000"/>
              </w:rPr>
              <w:t>支付</w:t>
            </w:r>
            <w:r>
              <w:rPr>
                <w:rFonts w:ascii="仿宋_GB2312" w:hAnsi="仿宋_GB2312" w:cs="仿宋_GB2312" w:eastAsia="仿宋_GB2312"/>
                <w:sz w:val="24"/>
                <w:color w:val="000000"/>
              </w:rPr>
              <w:t>，</w:t>
            </w:r>
            <w:r>
              <w:rPr>
                <w:rFonts w:ascii="仿宋_GB2312" w:hAnsi="仿宋_GB2312" w:cs="仿宋_GB2312" w:eastAsia="仿宋_GB2312"/>
                <w:sz w:val="24"/>
                <w:color w:val="000000"/>
              </w:rPr>
              <w:t>金额为</w:t>
            </w:r>
            <w:r>
              <w:rPr>
                <w:rFonts w:ascii="仿宋_GB2312" w:hAnsi="仿宋_GB2312" w:cs="仿宋_GB2312" w:eastAsia="仿宋_GB2312"/>
                <w:sz w:val="24"/>
                <w:color w:val="000000"/>
              </w:rPr>
              <w:t>总金额的</w:t>
            </w:r>
            <w:r>
              <w:rPr>
                <w:rFonts w:ascii="仿宋_GB2312" w:hAnsi="仿宋_GB2312" w:cs="仿宋_GB2312" w:eastAsia="仿宋_GB2312"/>
                <w:sz w:val="24"/>
                <w:color w:val="000000"/>
              </w:rPr>
              <w:t>30</w:t>
            </w:r>
            <w:r>
              <w:rPr>
                <w:rFonts w:ascii="仿宋_GB2312" w:hAnsi="仿宋_GB2312" w:cs="仿宋_GB2312" w:eastAsia="仿宋_GB2312"/>
                <w:sz w:val="24"/>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从合同签订之日起满一年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详见验收单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第一次支付款项于合同签订后3个月内支付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第二次支付款项于合同满6个月后支付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第三次支付款项于完成项目全部内容、合同期满且验收合格后支付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开标结束后，成交供应商需提供一正一副和上传版本一致的响应文件纸质版。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 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法定代表人直接参加磋商的，须提供法定代表人身份证明及身份证；法定代表人授权他人参加的，须提供法定代表人授权书（附法定代表人、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供应商应提供2024年度经审计的财务会计报告（成立时间至提交磋商响应文件截止时间不足一年的可提供成立后任意时段的资产负债表），或提交磋商响应截止时间前3个月内银行出具的资信证明，或信用担保机构出具的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提供供应商投标截止日前6个月内至少一个月已缴纳的增值税纳税证明或完税证明，依法免税的供应商应提供加盖公章的相关证明文件；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提供供应商投标截止日前6个月内至少一个月已缴纳的社会保障资金缴存单据或社保机构开具的社会保险参保缴费情况证明；依法不需要缴纳社会保障资金的供应商应提供加盖公章的相关证明文件；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无违纪书面声明</w:t>
            </w:r>
          </w:p>
        </w:tc>
        <w:tc>
          <w:tcPr>
            <w:tcW w:type="dxa" w:w="3322"/>
          </w:tcPr>
          <w:p>
            <w:pPr>
              <w:pStyle w:val="null3"/>
            </w:pPr>
            <w:r>
              <w:rPr>
                <w:rFonts w:ascii="仿宋_GB2312" w:hAnsi="仿宋_GB2312" w:cs="仿宋_GB2312" w:eastAsia="仿宋_GB2312"/>
              </w:rPr>
              <w:t>书面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响应文件上法定代表人（负责人）或其授权代表人的签字齐全并加盖公章</w:t>
            </w:r>
          </w:p>
        </w:tc>
        <w:tc>
          <w:tcPr>
            <w:tcW w:type="dxa" w:w="1661"/>
          </w:tcPr>
          <w:p>
            <w:pPr>
              <w:pStyle w:val="null3"/>
            </w:pPr>
            <w:r>
              <w:rPr>
                <w:rFonts w:ascii="仿宋_GB2312" w:hAnsi="仿宋_GB2312" w:cs="仿宋_GB2312" w:eastAsia="仿宋_GB2312"/>
              </w:rPr>
              <w:t>响应文件封面 分项报价表.docx 中小企业声明函 残疾人福利性单位声明函 偏离表.docx 标的清单 其他资料.docx 响应函 服务方案.docx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分项报价表.docx 中小企业声明函 残疾人福利性单位声明函 偏离表.docx 标的清单 其他资料.docx 响应函 服务方案.docx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响应文件封面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不能有任何采购人不能接受的附加条件</w:t>
            </w:r>
          </w:p>
        </w:tc>
        <w:tc>
          <w:tcPr>
            <w:tcW w:type="dxa" w:w="1661"/>
          </w:tcPr>
          <w:p>
            <w:pPr>
              <w:pStyle w:val="null3"/>
            </w:pPr>
            <w:r>
              <w:rPr>
                <w:rFonts w:ascii="仿宋_GB2312" w:hAnsi="仿宋_GB2312" w:cs="仿宋_GB2312" w:eastAsia="仿宋_GB2312"/>
              </w:rPr>
              <w:t>响应文件封面 分项报价表.docx 中小企业声明函 残疾人福利性单位声明函 偏离表.docx 标的清单 其他资料.docx 响应函 服务方案.docx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对本项目工作内容的认识理解程度 （包括整体项目需求、每项服务需求等）： 1）对本项目理解深刻，分析正确、合理得10分；2）对本项目基本理解，分析基本正确、合理得7分；3）对本项目理解一般，重点、难点分析不全面得4分；4) 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服务计划</w:t>
            </w:r>
          </w:p>
        </w:tc>
        <w:tc>
          <w:tcPr>
            <w:tcW w:type="dxa" w:w="2492"/>
          </w:tcPr>
          <w:p>
            <w:pPr>
              <w:pStyle w:val="null3"/>
            </w:pPr>
            <w:r>
              <w:rPr>
                <w:rFonts w:ascii="仿宋_GB2312" w:hAnsi="仿宋_GB2312" w:cs="仿宋_GB2312" w:eastAsia="仿宋_GB2312"/>
              </w:rPr>
              <w:t>提出针对于本项目的服务总体计划，内容包含①服务总体设想及目标②服务理念及特色。 1）计划全面、可实施性及针对性强得10分； 2）较全面、可实施性及针对性较强得7分；3）不全面、可实施性及针对性一般得4分；4)未提供不得分。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根据项目要求及特点，服务实施方案详细、完整、可操作性强等。 1）考虑充分、全面、可实施性及针对性强得15分； 2） 较全面、可实施性及针对性较强得10分；3）不全面、可实施性及针对性一般得5分；4)未提供不得分。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在确保满足服务质量要求的前提下，就重大或突发事件、突发性任务 、不可抗力因素的应急保障措施进行评审。主要包括：应急服务保障措施、应急服务响应时间、应急设备保障、重大或突发事件的人员配合、工作流程、控制失误及其他相关服务。 1）应急保障措施详细准确、可行性强、科学合理，得10分 ； 2）应急保障措施比较详细、基本可行、基本合理，得7分；3）应急保障措施不够详细，可行性、合理性一般，得4分；未提供不得分。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提供确保服务质量的保障措施，根据供应商的服务机制、工作流程、服务保障以及服务措施是否完善、是否能够充分保证达到项目实施目的等。1）该项措施详细准确、可行性强、科学合理，针对性强，完全满 足本项目需求，得10分； 2）措施比较详细、基本可行、基本合理，比较有针对性，基本能满足本项目需求，得7分；3）措施不够详细，可行性、合理性一般，针对性不够，得4分；未提供不得分。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宣传活动</w:t>
            </w:r>
          </w:p>
        </w:tc>
        <w:tc>
          <w:tcPr>
            <w:tcW w:type="dxa" w:w="2492"/>
          </w:tcPr>
          <w:p>
            <w:pPr>
              <w:pStyle w:val="null3"/>
            </w:pPr>
            <w:r>
              <w:rPr>
                <w:rFonts w:ascii="仿宋_GB2312" w:hAnsi="仿宋_GB2312" w:cs="仿宋_GB2312" w:eastAsia="仿宋_GB2312"/>
              </w:rPr>
              <w:t>针对本项目供应商应积极开展内容丰富、形式多样的社会救助政策的宣传活动，供应商对此做响应说明，1）该项措施详细准确、可行性强、科学合理，针对性强，完全满足本项目需求，得10分；2）措施比较详细、基本可行、基本合理，比较有针对性，基本能满足本项目需求，得7分；3）措施不够详细，可行性 、合理性一般，针对性不够，得4分；未提供不得分。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团队人员须明确项目负责人，团队人员中须配备有策划、调查人员。 1）团队成员组织结构合理，团队分工明确，团队人员稳定，经验丰富，专业性强，得5分；团队成员组织结构较合理，满足项目需求得4分；团队成员组织结构一般，基本满足项目需求得2分，未提供不得分。 2）具有社会服务类证书人员，每提供一份加1分，最高得4分。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各供应商针对本项目的服务质量、项目的完成是否全面认真、是否派遣人员驻扎现场等方面作出承诺。1）该项承诺详细、服务全面、科学合理，针对性强，完全满足本项目需求，得5分；2）承诺比较详细、基本可行、基本合理，比较有针对性，基本能满足本项目需求，得4分；3）承诺不够全面，可行性、合理性一般，针对性不够，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10月1日至今类似项目业绩，以供应商提供的合同或中标（成交）通知书复印件（或扫描件）为准（日期以合同签订时间或中标（成交）通知书时间为准），每提供一份得2分，满分6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磋商报价得分=(磋商基准价／磋商报价)×15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