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版本号：HXGJXM2025-ZC-CS111220251111001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灞桥区第一会议室改造项目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HXGJXM2025-ZC-CS1112</w:t>
      </w:r>
      <w:r>
        <w:br/>
      </w:r>
      <w:r>
        <w:br/>
      </w:r>
      <w:r>
        <w:br/>
      </w:r>
    </w:p>
    <w:p>
      <w:pPr>
        <w:pStyle w:val="null3"/>
        <w:jc w:val="center"/>
        <w:outlineLvl w:val="2"/>
      </w:pPr>
      <w:r>
        <w:rPr>
          <w:rFonts w:ascii="仿宋_GB2312" w:hAnsi="仿宋_GB2312" w:cs="仿宋_GB2312" w:eastAsia="仿宋_GB2312"/>
          <w:sz w:val="28"/>
          <w:b/>
        </w:rPr>
        <w:t>西安市灞桥区机关事务服务中心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西安市灞桥区机关事务服务中心</w:t>
      </w:r>
      <w:r>
        <w:rPr>
          <w:rFonts w:ascii="仿宋_GB2312" w:hAnsi="仿宋_GB2312" w:cs="仿宋_GB2312" w:eastAsia="仿宋_GB2312"/>
        </w:rPr>
        <w:t>委托，拟对</w:t>
      </w:r>
      <w:r>
        <w:rPr>
          <w:rFonts w:ascii="仿宋_GB2312" w:hAnsi="仿宋_GB2312" w:cs="仿宋_GB2312" w:eastAsia="仿宋_GB2312"/>
        </w:rPr>
        <w:t>灞桥区第一会议室改造项目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HXGJXM2025-ZC-CS1112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灞桥区第一会议室改造项目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灞桥区第一会议室改造项目，主要内容包括：建筑工程、电气工程、消防工程、采暖工程、通风空调工程、给排水工程。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采购包1（灞桥区第一会议室改造项目）：属于专门面向中小企业采购。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被授权人提供投标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2、单位资质：供应商应具备建设行政主管部门核发的建筑工程施工总承包三级及以上资质，具有有效的安全生产许可证；</w:t>
      </w:r>
    </w:p>
    <w:p>
      <w:pPr>
        <w:pStyle w:val="null3"/>
      </w:pPr>
      <w:r>
        <w:rPr>
          <w:rFonts w:ascii="仿宋_GB2312" w:hAnsi="仿宋_GB2312" w:cs="仿宋_GB2312" w:eastAsia="仿宋_GB2312"/>
        </w:rPr>
        <w:t>3、信用信息：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4、项目负责人：具备建筑工程专业二级及以上注册建造师执业资格和有效的安全生产考核证书（B证）在本单位注册，且无在建工程、无不良记录（提供无在建工程、无不良记录承诺书）；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魏依依、陆文科、张艳萍、康敏茹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采购包1：1,377,853.00元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 的通知和国家发展和改革委员会办公厅颁发的《关于招标代理服务收费有关问题的通知》(发改办价格[2003]857号的有关规定执行。户名：华夏国际项目管理（西安）有限公司第一分公司 开户行：中国光大银行股份有限公司西安南二环支行 账号：78620188000199459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西安市灞桥区机关事务服务中心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联系人：魏依依、陆文科、张艳萍、康敏茹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1,377,853.00</w:t>
      </w:r>
    </w:p>
    <w:p>
      <w:pPr>
        <w:pStyle w:val="null3"/>
      </w:pPr>
      <w:r>
        <w:rPr>
          <w:rFonts w:ascii="仿宋_GB2312" w:hAnsi="仿宋_GB2312" w:cs="仿宋_GB2312" w:eastAsia="仿宋_GB2312"/>
        </w:rPr>
        <w:t>采购包最高限价（元）: 1,377,703.17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灞桥区第一会议室改造项目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1,377,853.00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标的名称：灞桥区第一会议室改造项目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灞桥区第一会议室改造项目，主要内容包括：建筑工程、电气工程、消防工程、采暖工程、通风空调工程、给排水工程。</w:t>
            </w:r>
          </w:p>
          <w:p>
            <w:pPr>
              <w:pStyle w:val="null3"/>
              <w:jc w:val="both"/>
            </w:pPr>
            <w:r>
              <w:rPr>
                <w:rFonts w:ascii="仿宋_GB2312" w:hAnsi="仿宋_GB2312" w:cs="仿宋_GB2312" w:eastAsia="仿宋_GB2312"/>
              </w:rPr>
              <w:t>二、编制依据：</w:t>
            </w:r>
          </w:p>
          <w:p>
            <w:pPr>
              <w:pStyle w:val="null3"/>
              <w:jc w:val="both"/>
            </w:pPr>
            <w:r>
              <w:rPr>
                <w:rFonts w:ascii="仿宋_GB2312" w:hAnsi="仿宋_GB2312" w:cs="仿宋_GB2312" w:eastAsia="仿宋_GB2312"/>
              </w:rPr>
              <w:t>1、陕西省建设厅《陕西省建设工程工程量清单计价标准及计算标准》(2025)；</w:t>
            </w:r>
          </w:p>
          <w:p>
            <w:pPr>
              <w:pStyle w:val="null3"/>
              <w:jc w:val="both"/>
            </w:pPr>
            <w:r>
              <w:rPr>
                <w:rFonts w:ascii="仿宋_GB2312" w:hAnsi="仿宋_GB2312" w:cs="仿宋_GB2312" w:eastAsia="仿宋_GB2312"/>
              </w:rPr>
              <w:t>2、依据本工程施工图纸、相关标准图集；</w:t>
            </w:r>
          </w:p>
          <w:p>
            <w:pPr>
              <w:pStyle w:val="null3"/>
              <w:jc w:val="both"/>
            </w:pPr>
            <w:r>
              <w:rPr>
                <w:rFonts w:ascii="仿宋_GB2312" w:hAnsi="仿宋_GB2312" w:cs="仿宋_GB2312" w:eastAsia="仿宋_GB2312"/>
              </w:rPr>
              <w:t>3、现行相关的专业工程施工质量验收规范、标准、规定以及正常的施工组织，施工工艺等;</w:t>
            </w:r>
          </w:p>
          <w:p>
            <w:pPr>
              <w:pStyle w:val="null3"/>
              <w:jc w:val="both"/>
            </w:pPr>
            <w:r>
              <w:rPr>
                <w:rFonts w:ascii="仿宋_GB2312" w:hAnsi="仿宋_GB2312" w:cs="仿宋_GB2312" w:eastAsia="仿宋_GB2312"/>
              </w:rPr>
              <w:t>4、《陕西省房屋建筑与装饰工程基价表》(2025)；</w:t>
            </w:r>
          </w:p>
          <w:p>
            <w:pPr>
              <w:pStyle w:val="null3"/>
              <w:jc w:val="both"/>
            </w:pPr>
            <w:r>
              <w:rPr>
                <w:rFonts w:ascii="仿宋_GB2312" w:hAnsi="仿宋_GB2312" w:cs="仿宋_GB2312" w:eastAsia="仿宋_GB2312"/>
              </w:rPr>
              <w:t>5、《陕西省建设工程费用规则》(2025) ；</w:t>
            </w:r>
          </w:p>
          <w:p>
            <w:pPr>
              <w:pStyle w:val="null3"/>
              <w:jc w:val="both"/>
            </w:pPr>
            <w:r>
              <w:rPr>
                <w:rFonts w:ascii="仿宋_GB2312" w:hAnsi="仿宋_GB2312" w:cs="仿宋_GB2312" w:eastAsia="仿宋_GB2312"/>
              </w:rPr>
              <w:t>6、《陕西省房屋建筑与装饰工程消耗量定额》(2025)《陕西省通用安装工程消耗量定额》(2025)《陕西省市政工程消耗量定额》(2025) ；</w:t>
            </w:r>
          </w:p>
          <w:p>
            <w:pPr>
              <w:pStyle w:val="null3"/>
              <w:jc w:val="both"/>
            </w:pPr>
            <w:r>
              <w:rPr>
                <w:rFonts w:ascii="仿宋_GB2312" w:hAnsi="仿宋_GB2312" w:cs="仿宋_GB2312" w:eastAsia="仿宋_GB2312"/>
              </w:rPr>
              <w:t>7、材料价格依据《陕西省工程造价信息》并结合当期市场价综合编制；</w:t>
            </w:r>
          </w:p>
          <w:p>
            <w:pPr>
              <w:pStyle w:val="null3"/>
              <w:jc w:val="both"/>
            </w:pPr>
            <w:r>
              <w:rPr>
                <w:rFonts w:ascii="仿宋_GB2312" w:hAnsi="仿宋_GB2312" w:cs="仿宋_GB2312" w:eastAsia="仿宋_GB2312"/>
              </w:rPr>
              <w:t>8、税率执行陕建发【2019】45号文件；</w:t>
            </w:r>
          </w:p>
          <w:p>
            <w:pPr>
              <w:pStyle w:val="null3"/>
              <w:jc w:val="both"/>
            </w:pPr>
            <w:r>
              <w:rPr>
                <w:rFonts w:ascii="仿宋_GB2312" w:hAnsi="仿宋_GB2312" w:cs="仿宋_GB2312" w:eastAsia="仿宋_GB2312"/>
              </w:rPr>
              <w:t>9、养老统筹按照陕建发﹝2021﹞1021号文，陕建价统发﹝2021﹞19号文件计入工程。</w:t>
            </w:r>
          </w:p>
          <w:p>
            <w:pPr>
              <w:pStyle w:val="null3"/>
              <w:jc w:val="both"/>
            </w:pPr>
            <w:r>
              <w:rPr>
                <w:rFonts w:ascii="仿宋_GB2312" w:hAnsi="仿宋_GB2312" w:cs="仿宋_GB2312" w:eastAsia="仿宋_GB2312"/>
              </w:rPr>
              <w:t>三、其他：</w:t>
            </w:r>
          </w:p>
          <w:p>
            <w:pPr>
              <w:pStyle w:val="null3"/>
              <w:jc w:val="both"/>
            </w:pPr>
            <w:r>
              <w:rPr>
                <w:rFonts w:ascii="仿宋_GB2312" w:hAnsi="仿宋_GB2312" w:cs="仿宋_GB2312" w:eastAsia="仿宋_GB2312"/>
              </w:rPr>
              <w:t>1、广联达版本号：7.5000.23.1；</w:t>
            </w:r>
          </w:p>
          <w:p>
            <w:pPr>
              <w:pStyle w:val="null3"/>
              <w:jc w:val="both"/>
            </w:pPr>
            <w:r>
              <w:rPr>
                <w:rFonts w:ascii="仿宋_GB2312" w:hAnsi="仿宋_GB2312" w:cs="仿宋_GB2312" w:eastAsia="仿宋_GB2312"/>
              </w:rPr>
              <w:t>2、最高限价：1377703.17元</w:t>
            </w:r>
          </w:p>
          <w:p>
            <w:pPr>
              <w:pStyle w:val="null3"/>
              <w:jc w:val="both"/>
            </w:pPr>
            <w:r>
              <w:rPr>
                <w:rFonts w:ascii="仿宋_GB2312" w:hAnsi="仿宋_GB2312" w:cs="仿宋_GB2312" w:eastAsia="仿宋_GB2312"/>
              </w:rPr>
              <w:t>3、工程暂列金额：200000.00元；</w:t>
            </w:r>
          </w:p>
          <w:p>
            <w:pPr>
              <w:pStyle w:val="null3"/>
            </w:pPr>
            <w:r>
              <w:rPr>
                <w:rFonts w:ascii="仿宋_GB2312" w:hAnsi="仿宋_GB2312" w:cs="仿宋_GB2312" w:eastAsia="仿宋_GB2312"/>
              </w:rPr>
              <w:t>4、具体内容详见电子招标书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3.1施工工期：自合同签订之日起40日历天。 3.2建设地点 采购包1：采购人指定地点。 3.3支付方式 分期付款 3.4支付约定（1）合同签订后，达到付款条件起30日内，支付合同总价款40%作为预付款；（2）当承包人完成全部合同工程量、工程竣工，经发包人验收合格，承包人将竣工资料及相关质量证明文件交付发包人后，达到付款条件起30日内，支付合同总价款30%，在完成工程审计后，达到付款条件起30日内，支付合同总价款30%。（3）付款前供应商需提前向甲方提供足额发票。 3.5验收标准和方法：达到工程质量验收合格标准。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供应商需在项目电子化交易系统中按要求填写《响应函》完成承诺并提供以下资料：1.提供合格有效的法人或者其他组织的营业执照等证明文件，自然人的身份证明；供应商是法人或其他组织的应提供营业 执照等证明文件，供应商是自然人的应提供有效的自然人身份证明；2.财务状况证明：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法定代表人授权书（附法定代表人、被授权人身份证复印件，被授权人提供投标截止日前一年内已缴存的至少一个月的社会保险参保缴费证明）（法定代表人直接参加磋商，须提供法定代表人身份证明）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单位资质</w:t>
            </w:r>
          </w:p>
        </w:tc>
        <w:tc>
          <w:tcPr>
            <w:tcW w:type="dxa" w:w="3322"/>
          </w:tcPr>
          <w:p>
            <w:pPr>
              <w:pStyle w:val="null3"/>
            </w:pPr>
            <w:r>
              <w:rPr>
                <w:rFonts w:ascii="仿宋_GB2312" w:hAnsi="仿宋_GB2312" w:cs="仿宋_GB2312" w:eastAsia="仿宋_GB2312"/>
              </w:rPr>
              <w:t>供应商应具备建设行政主管部门核发的建筑工程施工总承包三级及以上资质，具有有效的安全生产许可证；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具备建筑工程专业二级及以上注册建造师执业资格和有效的安全生产考核证书（B证）在本单位注册，且无在建工程、无不良记录（提供无在建工程、无不良记录承诺书）；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报价一览表.docx 已标价工程量清单 中小企业声明函 承诺书.docx 其它资料.docx 资格证明文件.docx 响应文件封面 项目管理机构组成表 磋商方案说明.docx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1、实施方案非常详细并且完整可行、有针对性，完全满足项目实施的得10分； 2、实施方案详细、完整，可行、有针对性，满足项目实施的得8分； 3、实施方案比较详细完整、可行，较利于项目实施的得5分； 4、实施方案基本可行，基本满足项目实施需要的得2分;5、未提供得0分。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针对本项目提供的安全作业方案及安全配套措施进行综合评审。 1、提供的安全作业方案及安全配套措施具体、详细，完全符合并优于采购人安全作业的要求，得10分； 2、提供安全作业方案及安全配套措施较详细、较完整，符合采购人安全作业的要求，得8分； 3、提供安全作业方案及安全配套措施基本合理可行，符合采购人安全作业的要求，得5分； 4、提供的安全作业方案及安全配套措施简单，基本符合采购人安全作业的要求，得2分。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1、措施计划齐全、合理且切实可行，完全满足采购人需求得10分； 2、措施计划较齐全、合理、切实可行，满足采购人需求得8分； 3、措施计划较齐全、合理、基本可行，基本满足采购人需求得5分； 4、措施计划基本完备齐全、合理性、可行性较差，得2分；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人员配备与管理方案</w:t>
            </w:r>
          </w:p>
        </w:tc>
        <w:tc>
          <w:tcPr>
            <w:tcW w:type="dxa" w:w="2492"/>
          </w:tcPr>
          <w:p>
            <w:pPr>
              <w:pStyle w:val="null3"/>
            </w:pPr>
            <w:r>
              <w:rPr>
                <w:rFonts w:ascii="仿宋_GB2312" w:hAnsi="仿宋_GB2312" w:cs="仿宋_GB2312" w:eastAsia="仿宋_GB2312"/>
              </w:rPr>
              <w:t>1、配备分工及配合协调措施（5分）： （1）配备分工合理，岗位间配合协调措施完善，得5分； （2）配备分工有一定合理性，岗位间配合协调措施较完善，得3分； （3）配备分工无针对性，岗位间协调配合措施简单笼统，得1分。 未提供不得分。 2、专业技术能力及岗位职责（5分）： （1）人员专业技术能力强，岗位职责清晰，得5分； （2）人员有一定的专业技术能力，岗位职责较清晰，得3分； （3）人员专业技术能力欠缺，得1分。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机具设备和劳动力配置情况</w:t>
            </w:r>
          </w:p>
        </w:tc>
        <w:tc>
          <w:tcPr>
            <w:tcW w:type="dxa" w:w="2492"/>
          </w:tcPr>
          <w:p>
            <w:pPr>
              <w:pStyle w:val="null3"/>
            </w:pPr>
            <w:r>
              <w:rPr>
                <w:rFonts w:ascii="仿宋_GB2312" w:hAnsi="仿宋_GB2312" w:cs="仿宋_GB2312" w:eastAsia="仿宋_GB2312"/>
              </w:rPr>
              <w:t>针对本项目提供拟投入本项目主要机具、设备和劳动力配置情况。 1、拟投入的机具设备数量充足，与项目匹配度高，劳动力配置合理，完全满足项目需要，得8分； 2、拟投入的机具设备数量、与项目基本匹配，劳动力配置较合理，基本满足项目需要，得5分； 3、拟投入的机具设备和劳动力配置简单，无针对性，得3分。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风险预防及应急预案</w:t>
            </w:r>
          </w:p>
        </w:tc>
        <w:tc>
          <w:tcPr>
            <w:tcW w:type="dxa" w:w="2492"/>
          </w:tcPr>
          <w:p>
            <w:pPr>
              <w:pStyle w:val="null3"/>
            </w:pPr>
            <w:r>
              <w:rPr>
                <w:rFonts w:ascii="仿宋_GB2312" w:hAnsi="仿宋_GB2312" w:cs="仿宋_GB2312" w:eastAsia="仿宋_GB2312"/>
              </w:rPr>
              <w:t>针对本项目提供项目风险预测与防范，事故应急预案。 1、风险预测与防范内容完善，针对性强，预案及措施科学合理可行性强，得8分； 2、风险预测与防范内容较完善，预案及措施有一定针对性和可行性强，得5分； 3、风险预测与防范内容、预案及措施内容简单笼统，无针对性，得3分。未提供不得分。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1、进度计划安排合理、措施有效，工期目标明确，满足采购人要求，得8分； 2、进度计划安排较合理、措施较有效，工期目标基本清晰，基本满足采购人要求，得5分； 3、进度计划和工期目标内容简单笼统，无针对性，得3分。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提供供应商2022年11月至今（以合同的签订日期为准）承接过类似项目的合同证明（每提供一个得3分，满分6分）（合同内容须清晰可辨认，无涂改，否则视为无效合同）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2、有效最低报价为磋商基准价。3、磋商报价按（磋商基准价/有效磋商报价）×30的公式计算其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