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FEA7B6">
      <w:pPr>
        <w:keepNext w:val="0"/>
        <w:keepLines w:val="0"/>
        <w:pageBreakBefore w:val="0"/>
        <w:widowControl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灞桥区第一会议室改造项目合同</w:t>
      </w:r>
    </w:p>
    <w:p w14:paraId="19995D8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14:paraId="1DE5B03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乙方（中标人）： </w:t>
      </w:r>
    </w:p>
    <w:p w14:paraId="5966B0A6">
      <w:pPr>
        <w:keepNext w:val="0"/>
        <w:keepLines w:val="0"/>
        <w:pageBreakBefore w:val="0"/>
        <w:widowControl w:val="0"/>
        <w:kinsoku/>
        <w:wordWrap/>
        <w:overflowPunct/>
        <w:topLinePunct w:val="0"/>
        <w:bidi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lang w:val="en-US" w:eastAsia="zh-CN"/>
        </w:rPr>
        <w:t>灞桥区第一会议室改造项目</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lang w:eastAsia="zh-CN"/>
        </w:rPr>
        <w:t>华夏国际项目管理（西安）有限公司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u w:val="single"/>
          <w:lang w:val="en-US" w:eastAsia="zh-CN"/>
        </w:rPr>
        <w:t xml:space="preserve"> 西安市灞桥区机关事务服务中心</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（以下简称“乙方”）为</w:t>
      </w:r>
      <w:r>
        <w:rPr>
          <w:rFonts w:hint="eastAsia" w:ascii="仿宋" w:hAnsi="仿宋" w:eastAsia="仿宋" w:cs="仿宋"/>
          <w:bCs/>
          <w:color w:val="auto"/>
          <w:sz w:val="24"/>
          <w:szCs w:val="24"/>
          <w:highlight w:val="none"/>
          <w:lang w:val="en-US" w:eastAsia="zh-CN"/>
        </w:rPr>
        <w:t>本项目</w:t>
      </w:r>
      <w:r>
        <w:rPr>
          <w:rFonts w:hint="eastAsia" w:ascii="仿宋" w:hAnsi="仿宋" w:eastAsia="仿宋" w:cs="仿宋"/>
          <w:bCs/>
          <w:color w:val="auto"/>
          <w:sz w:val="24"/>
          <w:szCs w:val="24"/>
          <w:highlight w:val="none"/>
        </w:rPr>
        <w:t>的</w:t>
      </w:r>
      <w:r>
        <w:rPr>
          <w:rFonts w:hint="eastAsia" w:ascii="仿宋" w:hAnsi="仿宋" w:eastAsia="仿宋" w:cs="仿宋"/>
          <w:bCs/>
          <w:color w:val="auto"/>
          <w:sz w:val="24"/>
          <w:szCs w:val="24"/>
          <w:highlight w:val="none"/>
          <w:lang w:val="en-US" w:eastAsia="zh-CN"/>
        </w:rPr>
        <w:t>成交单位</w:t>
      </w:r>
      <w:r>
        <w:rPr>
          <w:rFonts w:hint="eastAsia" w:ascii="仿宋" w:hAnsi="仿宋" w:eastAsia="仿宋" w:cs="仿宋"/>
          <w:bCs/>
          <w:color w:val="auto"/>
          <w:sz w:val="24"/>
          <w:szCs w:val="24"/>
          <w:highlight w:val="none"/>
        </w:rPr>
        <w:t>。</w:t>
      </w:r>
    </w:p>
    <w:p w14:paraId="3E838E6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p w14:paraId="3F1883DB">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78790CE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w:t>
      </w:r>
      <w:r>
        <w:rPr>
          <w:rFonts w:hint="eastAsia" w:ascii="仿宋" w:hAnsi="仿宋" w:eastAsia="仿宋" w:cs="仿宋"/>
          <w:bCs/>
          <w:color w:val="auto"/>
          <w:sz w:val="24"/>
          <w:szCs w:val="24"/>
          <w:highlight w:val="none"/>
        </w:rPr>
        <w:t>。</w:t>
      </w:r>
    </w:p>
    <w:p w14:paraId="14258BF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工程量清单的全部内容</w:t>
      </w:r>
      <w:r>
        <w:rPr>
          <w:rFonts w:hint="eastAsia" w:ascii="仿宋" w:hAnsi="仿宋" w:eastAsia="仿宋" w:cs="仿宋"/>
          <w:bCs/>
          <w:color w:val="auto"/>
          <w:sz w:val="24"/>
          <w:szCs w:val="24"/>
          <w:highlight w:val="none"/>
        </w:rPr>
        <w:t>，不受市场价变化或实际工作量变化的影响。合同价格为含税价。</w:t>
      </w:r>
    </w:p>
    <w:p w14:paraId="5BE0D91A">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二、结算方式</w:t>
      </w:r>
    </w:p>
    <w:p w14:paraId="66A2A65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（1）合同签订后，达到付款条件起30日内，支付合同总价款40%作为预付款；</w:t>
      </w:r>
    </w:p>
    <w:p w14:paraId="4F2334A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2）当承包人完成全部合同工程量、工程竣工，经发包人验收合格，承包人将竣工资料及相关质量证明文件交付发包人后，达到付款条件起30日内，支付合同总价款30%，在完成工程审计后，达到付款条件起30日内，支付合同总价款30%。</w:t>
      </w:r>
    </w:p>
    <w:p w14:paraId="0A82D7D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（3）付款前供应商需提前向甲方提供足额发票。</w:t>
      </w:r>
    </w:p>
    <w:p w14:paraId="0CA586F2">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3A0C13C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（一）实施地点：</w:t>
      </w:r>
      <w:bookmarkStart w:id="0" w:name="_GoBack"/>
      <w:r>
        <w:rPr>
          <w:rFonts w:hint="eastAsia" w:ascii="仿宋" w:hAnsi="仿宋" w:eastAsia="仿宋" w:cs="仿宋"/>
          <w:bCs/>
          <w:color w:val="auto"/>
          <w:sz w:val="24"/>
          <w:szCs w:val="24"/>
          <w:highlight w:val="none"/>
          <w:lang w:val="en-US" w:eastAsia="zh-CN"/>
        </w:rPr>
        <w:t>采购人指定地点</w:t>
      </w:r>
      <w:r>
        <w:rPr>
          <w:rFonts w:hint="eastAsia" w:ascii="仿宋" w:hAnsi="仿宋" w:eastAsia="仿宋" w:cs="仿宋"/>
          <w:bCs/>
          <w:color w:val="auto"/>
          <w:sz w:val="24"/>
          <w:szCs w:val="24"/>
          <w:highlight w:val="none"/>
          <w:lang w:eastAsia="zh-CN"/>
        </w:rPr>
        <w:t>。</w:t>
      </w:r>
      <w:bookmarkEnd w:id="0"/>
    </w:p>
    <w:p w14:paraId="41EF474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（二）工期：</w:t>
      </w:r>
      <w:r>
        <w:rPr>
          <w:rFonts w:hint="eastAsia" w:ascii="仿宋" w:hAnsi="仿宋" w:eastAsia="仿宋" w:cs="仿宋"/>
          <w:sz w:val="24"/>
          <w:szCs w:val="24"/>
        </w:rPr>
        <w:t>自合同签订之日起40日历天。</w:t>
      </w:r>
    </w:p>
    <w:p w14:paraId="43D3B1E4">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kern w:val="2"/>
          <w:sz w:val="24"/>
          <w:szCs w:val="24"/>
          <w:highlight w:val="none"/>
          <w:lang w:val="en-US" w:eastAsia="zh-CN" w:bidi="ar-SA"/>
        </w:rPr>
        <w:t>（三）质量保修期：整体工程质保期不少于2年，防水、电气等隐蔽工程质保期不少于5年。</w:t>
      </w:r>
    </w:p>
    <w:p w14:paraId="0250B209">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49F01F5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58B4805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工程质量达到工程质量验收合格标准。</w:t>
      </w:r>
    </w:p>
    <w:p w14:paraId="74F4A045">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472CBAF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30ACC518">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772A44C0">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2、组织设计、设计变更及现场签证，工程结算的审定等工作。</w:t>
      </w:r>
    </w:p>
    <w:p w14:paraId="1CDAAEC7">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1A051F2F">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79AC25AD">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0BC21135">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（二）乙方责任：</w:t>
      </w:r>
    </w:p>
    <w:p w14:paraId="6A6F49DC">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26EE9B8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75CA40E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0654CED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7E65F76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6FB44759">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 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01E3A464">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6A3474CA">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lang w:val="en-US" w:eastAsia="zh-CN"/>
        </w:rPr>
        <w:t>二</w:t>
      </w:r>
      <w:r>
        <w:rPr>
          <w:rFonts w:hint="eastAsia" w:ascii="仿宋" w:hAnsi="仿宋" w:eastAsia="仿宋" w:cs="仿宋"/>
          <w:color w:val="auto"/>
          <w:sz w:val="24"/>
          <w:szCs w:val="24"/>
          <w:highlight w:val="none"/>
        </w:rPr>
        <w:t>套，办理工程竣工结算手续，参加工程竣工验收。</w:t>
      </w:r>
    </w:p>
    <w:p w14:paraId="5DBE4D84">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46C28C70">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70BB627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6CF1B3A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0A43DC92">
      <w:pPr>
        <w:keepNext w:val="0"/>
        <w:keepLines w:val="0"/>
        <w:pageBreakBefore w:val="0"/>
        <w:widowControl w:val="0"/>
        <w:kinsoku/>
        <w:wordWrap/>
        <w:overflowPunct/>
        <w:topLinePunct w:val="0"/>
        <w:bidi w:val="0"/>
        <w:spacing w:line="360" w:lineRule="auto"/>
        <w:ind w:firstLine="482" w:firstLineChars="200"/>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6CF434C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28AA29D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232682FC">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61AFE99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5924E3B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r>
        <w:rPr>
          <w:rFonts w:hint="eastAsia" w:ascii="仿宋" w:hAnsi="仿宋" w:eastAsia="仿宋" w:cs="仿宋"/>
          <w:color w:val="auto"/>
          <w:sz w:val="24"/>
          <w:szCs w:val="24"/>
          <w:highlight w:val="none"/>
        </w:rPr>
        <w:t>清单表</w:t>
      </w:r>
    </w:p>
    <w:p w14:paraId="296D2042">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78A08B10">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57B4444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37AAED8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097E642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6AA06F5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59F144E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4D17679B">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72B9B3D0">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八、争议的解决方式</w:t>
      </w:r>
    </w:p>
    <w:p w14:paraId="3FFAE59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p w14:paraId="452A1A4E">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1331676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784B3444">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35F1509E">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份，正本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份，副本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p>
    <w:p w14:paraId="639265A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5"/>
        <w:tblW w:w="8403" w:type="dxa"/>
        <w:jc w:val="center"/>
        <w:tblLayout w:type="fixed"/>
        <w:tblCellMar>
          <w:top w:w="0" w:type="dxa"/>
          <w:left w:w="108" w:type="dxa"/>
          <w:bottom w:w="0" w:type="dxa"/>
          <w:right w:w="108" w:type="dxa"/>
        </w:tblCellMar>
      </w:tblPr>
      <w:tblGrid>
        <w:gridCol w:w="4201"/>
        <w:gridCol w:w="4202"/>
      </w:tblGrid>
      <w:tr w14:paraId="7BDEA01B">
        <w:tblPrEx>
          <w:tblCellMar>
            <w:top w:w="0" w:type="dxa"/>
            <w:left w:w="108" w:type="dxa"/>
            <w:bottom w:w="0" w:type="dxa"/>
            <w:right w:w="108" w:type="dxa"/>
          </w:tblCellMar>
        </w:tblPrEx>
        <w:trPr>
          <w:trHeight w:val="567" w:hRule="exact"/>
          <w:jc w:val="center"/>
        </w:trPr>
        <w:tc>
          <w:tcPr>
            <w:tcW w:w="4201" w:type="dxa"/>
            <w:noWrap/>
            <w:vAlign w:val="center"/>
          </w:tcPr>
          <w:p w14:paraId="5467244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p>
        </w:tc>
        <w:tc>
          <w:tcPr>
            <w:tcW w:w="4202" w:type="dxa"/>
            <w:noWrap/>
            <w:vAlign w:val="center"/>
          </w:tcPr>
          <w:p w14:paraId="45C53A6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  方</w:t>
            </w:r>
          </w:p>
        </w:tc>
      </w:tr>
      <w:tr w14:paraId="2C5E22BF">
        <w:tblPrEx>
          <w:tblCellMar>
            <w:top w:w="0" w:type="dxa"/>
            <w:left w:w="108" w:type="dxa"/>
            <w:bottom w:w="0" w:type="dxa"/>
            <w:right w:w="108" w:type="dxa"/>
          </w:tblCellMar>
        </w:tblPrEx>
        <w:trPr>
          <w:trHeight w:val="567" w:hRule="exact"/>
          <w:jc w:val="center"/>
        </w:trPr>
        <w:tc>
          <w:tcPr>
            <w:tcW w:w="4201" w:type="dxa"/>
            <w:noWrap/>
            <w:vAlign w:val="center"/>
          </w:tcPr>
          <w:p w14:paraId="1DBE198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4202" w:type="dxa"/>
            <w:noWrap/>
            <w:vAlign w:val="center"/>
          </w:tcPr>
          <w:p w14:paraId="2AEACFE2">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21909792">
        <w:tblPrEx>
          <w:tblCellMar>
            <w:top w:w="0" w:type="dxa"/>
            <w:left w:w="108" w:type="dxa"/>
            <w:bottom w:w="0" w:type="dxa"/>
            <w:right w:w="108" w:type="dxa"/>
          </w:tblCellMar>
        </w:tblPrEx>
        <w:trPr>
          <w:trHeight w:val="567" w:hRule="exact"/>
          <w:jc w:val="center"/>
        </w:trPr>
        <w:tc>
          <w:tcPr>
            <w:tcW w:w="4201" w:type="dxa"/>
            <w:noWrap/>
            <w:vAlign w:val="center"/>
          </w:tcPr>
          <w:p w14:paraId="0FD2D62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p>
        </w:tc>
        <w:tc>
          <w:tcPr>
            <w:tcW w:w="4202" w:type="dxa"/>
            <w:noWrap/>
            <w:vAlign w:val="center"/>
          </w:tcPr>
          <w:p w14:paraId="59BFE9FC">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71E5C240">
        <w:tblPrEx>
          <w:tblCellMar>
            <w:top w:w="0" w:type="dxa"/>
            <w:left w:w="108" w:type="dxa"/>
            <w:bottom w:w="0" w:type="dxa"/>
            <w:right w:w="108" w:type="dxa"/>
          </w:tblCellMar>
        </w:tblPrEx>
        <w:trPr>
          <w:trHeight w:val="567" w:hRule="exact"/>
          <w:jc w:val="center"/>
        </w:trPr>
        <w:tc>
          <w:tcPr>
            <w:tcW w:w="4201" w:type="dxa"/>
            <w:noWrap/>
            <w:vAlign w:val="center"/>
          </w:tcPr>
          <w:p w14:paraId="3DFECFD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4202" w:type="dxa"/>
            <w:noWrap/>
            <w:vAlign w:val="center"/>
          </w:tcPr>
          <w:p w14:paraId="3229B18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56DA2899">
        <w:tblPrEx>
          <w:tblCellMar>
            <w:top w:w="0" w:type="dxa"/>
            <w:left w:w="108" w:type="dxa"/>
            <w:bottom w:w="0" w:type="dxa"/>
            <w:right w:w="108" w:type="dxa"/>
          </w:tblCellMar>
        </w:tblPrEx>
        <w:trPr>
          <w:trHeight w:val="567" w:hRule="exact"/>
          <w:jc w:val="center"/>
        </w:trPr>
        <w:tc>
          <w:tcPr>
            <w:tcW w:w="4201" w:type="dxa"/>
            <w:noWrap/>
            <w:vAlign w:val="center"/>
          </w:tcPr>
          <w:p w14:paraId="520301F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 </w:t>
            </w:r>
          </w:p>
        </w:tc>
        <w:tc>
          <w:tcPr>
            <w:tcW w:w="4202" w:type="dxa"/>
            <w:noWrap/>
            <w:vAlign w:val="center"/>
          </w:tcPr>
          <w:p w14:paraId="185B017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6D531B22">
        <w:tblPrEx>
          <w:tblCellMar>
            <w:top w:w="0" w:type="dxa"/>
            <w:left w:w="108" w:type="dxa"/>
            <w:bottom w:w="0" w:type="dxa"/>
            <w:right w:w="108" w:type="dxa"/>
          </w:tblCellMar>
        </w:tblPrEx>
        <w:trPr>
          <w:trHeight w:val="567" w:hRule="exact"/>
          <w:jc w:val="center"/>
        </w:trPr>
        <w:tc>
          <w:tcPr>
            <w:tcW w:w="4201" w:type="dxa"/>
            <w:noWrap/>
            <w:vAlign w:val="center"/>
          </w:tcPr>
          <w:p w14:paraId="3D24B31C">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tc>
        <w:tc>
          <w:tcPr>
            <w:tcW w:w="4202" w:type="dxa"/>
            <w:noWrap/>
            <w:vAlign w:val="center"/>
          </w:tcPr>
          <w:p w14:paraId="044ADC0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tc>
      </w:tr>
      <w:tr w14:paraId="777E9D90">
        <w:tblPrEx>
          <w:tblCellMar>
            <w:top w:w="0" w:type="dxa"/>
            <w:left w:w="108" w:type="dxa"/>
            <w:bottom w:w="0" w:type="dxa"/>
            <w:right w:w="108" w:type="dxa"/>
          </w:tblCellMar>
        </w:tblPrEx>
        <w:trPr>
          <w:trHeight w:val="567" w:hRule="exact"/>
          <w:jc w:val="center"/>
        </w:trPr>
        <w:tc>
          <w:tcPr>
            <w:tcW w:w="4201" w:type="dxa"/>
            <w:noWrap/>
            <w:vAlign w:val="center"/>
          </w:tcPr>
          <w:p w14:paraId="58D8553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4202" w:type="dxa"/>
            <w:noWrap/>
            <w:vAlign w:val="center"/>
          </w:tcPr>
          <w:p w14:paraId="5C82BE2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0C374114">
        <w:tblPrEx>
          <w:tblCellMar>
            <w:top w:w="0" w:type="dxa"/>
            <w:left w:w="108" w:type="dxa"/>
            <w:bottom w:w="0" w:type="dxa"/>
            <w:right w:w="108" w:type="dxa"/>
          </w:tblCellMar>
        </w:tblPrEx>
        <w:trPr>
          <w:trHeight w:val="567" w:hRule="exact"/>
          <w:jc w:val="center"/>
        </w:trPr>
        <w:tc>
          <w:tcPr>
            <w:tcW w:w="4201" w:type="dxa"/>
            <w:noWrap/>
            <w:vAlign w:val="center"/>
          </w:tcPr>
          <w:p w14:paraId="7FBE8AD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4202" w:type="dxa"/>
            <w:noWrap/>
            <w:vAlign w:val="center"/>
          </w:tcPr>
          <w:p w14:paraId="1A0AC29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7360D5B9">
        <w:tblPrEx>
          <w:tblCellMar>
            <w:top w:w="0" w:type="dxa"/>
            <w:left w:w="108" w:type="dxa"/>
            <w:bottom w:w="0" w:type="dxa"/>
            <w:right w:w="108" w:type="dxa"/>
          </w:tblCellMar>
        </w:tblPrEx>
        <w:trPr>
          <w:trHeight w:val="567" w:hRule="exact"/>
          <w:jc w:val="center"/>
        </w:trPr>
        <w:tc>
          <w:tcPr>
            <w:tcW w:w="4201" w:type="dxa"/>
            <w:noWrap/>
            <w:vAlign w:val="center"/>
          </w:tcPr>
          <w:p w14:paraId="0997F62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4202" w:type="dxa"/>
            <w:noWrap/>
            <w:vAlign w:val="center"/>
          </w:tcPr>
          <w:p w14:paraId="11921F0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r>
      <w:tr w14:paraId="6FAFAECD">
        <w:tblPrEx>
          <w:tblCellMar>
            <w:top w:w="0" w:type="dxa"/>
            <w:left w:w="108" w:type="dxa"/>
            <w:bottom w:w="0" w:type="dxa"/>
            <w:right w:w="108" w:type="dxa"/>
          </w:tblCellMar>
        </w:tblPrEx>
        <w:trPr>
          <w:trHeight w:val="567" w:hRule="exact"/>
          <w:jc w:val="center"/>
        </w:trPr>
        <w:tc>
          <w:tcPr>
            <w:tcW w:w="4201" w:type="dxa"/>
            <w:noWrap/>
            <w:vAlign w:val="center"/>
          </w:tcPr>
          <w:p w14:paraId="2F6BA69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c>
          <w:tcPr>
            <w:tcW w:w="4202" w:type="dxa"/>
            <w:noWrap/>
            <w:vAlign w:val="center"/>
          </w:tcPr>
          <w:p w14:paraId="734B3B2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r>
    </w:tbl>
    <w:p w14:paraId="03A9EA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0E7FBB"/>
    <w:rsid w:val="11F94D13"/>
    <w:rsid w:val="1A5E5F47"/>
    <w:rsid w:val="1DA75F5B"/>
    <w:rsid w:val="20962CE0"/>
    <w:rsid w:val="31812F8D"/>
    <w:rsid w:val="3A5D3D86"/>
    <w:rsid w:val="410E7FBB"/>
    <w:rsid w:val="4A322A2A"/>
    <w:rsid w:val="514567F8"/>
    <w:rsid w:val="5D68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7"/>
    <w:qFormat/>
    <w:uiPriority w:val="0"/>
    <w:pPr>
      <w:keepNext/>
      <w:keepLines/>
      <w:spacing w:line="360" w:lineRule="auto"/>
      <w:jc w:val="center"/>
      <w:outlineLvl w:val="0"/>
    </w:pPr>
    <w:rPr>
      <w:rFonts w:ascii="Times New Roman" w:hAnsi="Times New Roman" w:eastAsia="宋体"/>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Indent"/>
    <w:basedOn w:val="1"/>
    <w:next w:val="1"/>
    <w:qFormat/>
    <w:uiPriority w:val="99"/>
    <w:pPr>
      <w:spacing w:line="360" w:lineRule="auto"/>
      <w:ind w:left="424" w:leftChars="202" w:firstLine="567"/>
    </w:pPr>
    <w:rPr>
      <w:sz w:val="24"/>
      <w:szCs w:val="24"/>
    </w:rPr>
  </w:style>
  <w:style w:type="paragraph" w:styleId="4">
    <w:name w:val="Body Text First Indent 2"/>
    <w:basedOn w:val="3"/>
    <w:next w:val="1"/>
    <w:qFormat/>
    <w:uiPriority w:val="0"/>
    <w:pPr>
      <w:ind w:firstLine="420" w:firstLineChars="200"/>
    </w:pPr>
  </w:style>
  <w:style w:type="character" w:customStyle="1" w:styleId="7">
    <w:name w:val=" Char Char5"/>
    <w:link w:val="2"/>
    <w:qFormat/>
    <w:uiPriority w:val="0"/>
    <w:rPr>
      <w:rFonts w:ascii="Times New Roman" w:hAnsi="Times New Roman" w:eastAsia="宋体"/>
      <w:b/>
      <w:kern w:val="44"/>
      <w:sz w:val="4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2133</Words>
  <Characters>2159</Characters>
  <Lines>0</Lines>
  <Paragraphs>0</Paragraphs>
  <TotalTime>1</TotalTime>
  <ScaleCrop>false</ScaleCrop>
  <LinksUpToDate>false</LinksUpToDate>
  <CharactersWithSpaces>2210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2025-06-09T00:57:00Z</dcterms:created>
  <dc:creator>墨瞳</dc:creator>
  <cp:lastModifiedBy>1</cp:lastModifiedBy>
  <dcterms:modified xsi:type="dcterms:W3CDTF">2025-11-11T08:27:34Z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7265881701FF4CEA9658AFB5372D1ED9_11</vt:lpwstr>
  </property>
  <property fmtid="{D5CDD505-2E9C-101B-9397-08002B2CF9AE}" pid="4" name="KSOTemplateDocerSaveRecord">
    <vt:lpwstr>eyJoZGlkIjoiYWRjNjA3YjNkZTkyNDk4OTI5YWU2YmU2MzVkMmI4MTAiLCJ1c2VySWQiOiI0ODU3MDc4MjgifQ==</vt:lpwstr>
  </property>
</Properties>
</file>