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版本号：LC-ZC-2025-02320251112001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西安市灞桥区2025年第一批市级水利发展建设专项资金小型水库维修养护项目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LC-ZC-2025-023</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西安市灞桥区2025年第一批市级水利发展建设专项资金小型水库维修养护项目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LC-ZC-2025-023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西安市灞桥区2025年第一批市级水利发展建设专项资金小型水库维修养护项目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建设内容主要包括：1.杨家沟水库：人工清除坝坡杂草1次，共8561.31㎡，其中迎水面割草1783.71㎡，背水面割草6777.60㎡。放水塔闸门抢险及水库设备维修更换；2.车村水库：抢险物资购买，采购储备防汛物资0#柴油1260L；3.红旗水库：人工清除坝坡杂草1次，共8468.43㎡，其中迎水面割草1236.45m²；背水面割草7231.98m²；4.胜利水库：背水面割草1次，单次面积5422.48m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采购包1（西安市灞桥区2025年第一批市级水利发展建设专项资金小型水库维修养护项目）：属于专门面向中小企业采购。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1、法定代表人（主要责任人）委托授权书/身份证明：法定代表人授权书（附法定代表人、被授权人身份证复印件）及被授权人身份证（法定代表人直接参加磋商，须提供法定代表人身份证明及身份证原件）</w:t>
      </w:r>
    </w:p>
    <w:p>
      <w:pPr>
        <w:pStyle w:val="null3"/>
      </w:pPr>
      <w:r>
        <w:rPr>
          <w:rFonts w:ascii="仿宋_GB2312" w:hAnsi="仿宋_GB2312" w:cs="仿宋_GB2312" w:eastAsia="仿宋_GB2312"/>
        </w:rPr>
        <w:t>2、资质要求：供应商须具备水利水电工程施工总承包三级及以上资质，具备有效的安全生产许可证。</w:t>
      </w:r>
    </w:p>
    <w:p>
      <w:pPr>
        <w:pStyle w:val="null3"/>
      </w:pPr>
      <w:r>
        <w:rPr>
          <w:rFonts w:ascii="仿宋_GB2312" w:hAnsi="仿宋_GB2312" w:cs="仿宋_GB2312" w:eastAsia="仿宋_GB2312"/>
        </w:rPr>
        <w:t>3、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西安市朱宏路3号陕西省统建管理办公室10楼（西安银行南侧）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采购包1：162,418.89元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代理服务费收费标准：本项目代理服务费按4000元计取，向成交供应商收取。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满足国家（或行业）相关标准、规范及有关技术文件要求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地址：西安市朱宏路3号陕西省统建管理办公室10楼（西安银行南侧）</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建设内容主要包括：1.杨家沟水库：人工清除坝坡杂草1次，共8561.31㎡，其中迎水面割草1783.71㎡，背水面割草6777.60㎡。放水塔闸门抢险及水库设备维修更换；2.车村水库：抢险物资购买，采购储备防汛物资0#柴油1260L；3.红旗水库：人工清除坝坡杂草1次，共8468.43㎡，其中迎水面割草1236.45m²；背水面割草7231.98m²；4.胜利水库：背水面割草1次，单次面积5422.48m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162,418.89</w:t>
      </w:r>
    </w:p>
    <w:p>
      <w:pPr>
        <w:pStyle w:val="null3"/>
      </w:pPr>
      <w:r>
        <w:rPr>
          <w:rFonts w:ascii="仿宋_GB2312" w:hAnsi="仿宋_GB2312" w:cs="仿宋_GB2312" w:eastAsia="仿宋_GB2312"/>
        </w:rPr>
        <w:t>采购包最高限价（元）: 162,418.89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西安市灞桥区2025年第一批市级水利发展建设专项资金小型水库维修养护项目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162,418.89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标的名称：西安市灞桥区2025年第一批市级水利发展建设专项资金小型水库维修养护项目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本次项目建设内容主要包括：1.杨家沟水库：人工清除坝坡杂草1次，共8561.31㎡，其中迎水面割草1783.71㎡，背水面割草6777.60㎡。放水塔闸门抢险及水库设备维修更换；2.车村水库：抢险物资购买，采购储备防汛物资0#柴油1260L；3.红旗水库：人工清除坝坡杂草1次，共8468.43㎡，其中迎水面割草1236.45m²；背水面割草7231.98m²；4.胜利水库：背水面割草1次，单次面积5422.48m²。</w:t>
            </w:r>
            <w:r>
              <w:br/>
            </w:r>
            <w:r>
              <w:rPr>
                <w:rFonts w:ascii="仿宋_GB2312" w:hAnsi="仿宋_GB2312" w:cs="仿宋_GB2312" w:eastAsia="仿宋_GB2312"/>
              </w:rPr>
              <w:t xml:space="preserve"> 二、服务内容</w:t>
            </w:r>
          </w:p>
          <w:tbl>
            <w:tblPr>
              <w:tblInd w:type="dxa" w:w="90"/>
              <w:tblBorders>
                <w:top w:val="none" w:color="000000" w:sz="4"/>
                <w:left w:val="none" w:color="000000" w:sz="4"/>
                <w:bottom w:val="none" w:color="000000" w:sz="4"/>
                <w:right w:val="none" w:color="000000" w:sz="4"/>
                <w:insideH w:val="none"/>
                <w:insideV w:val="none"/>
              </w:tblBorders>
            </w:tblPr>
            <w:tblGrid>
              <w:gridCol w:w="228"/>
              <w:gridCol w:w="1182"/>
              <w:gridCol w:w="262"/>
              <w:gridCol w:w="346"/>
              <w:gridCol w:w="228"/>
              <w:gridCol w:w="307"/>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项目名称</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工程</w:t>
                  </w:r>
                  <w:r>
                    <w:br/>
                  </w:r>
                  <w:r>
                    <w:rPr>
                      <w:rFonts w:ascii="仿宋_GB2312" w:hAnsi="仿宋_GB2312" w:cs="仿宋_GB2312" w:eastAsia="仿宋_GB2312"/>
                      <w:sz w:val="24"/>
                      <w:b/>
                      <w:color w:val="000000"/>
                    </w:rPr>
                    <w:t>数量</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w:t>
                  </w:r>
                  <w:r>
                    <w:br/>
                  </w:r>
                  <w:r>
                    <w:rPr>
                      <w:rFonts w:ascii="仿宋_GB2312" w:hAnsi="仿宋_GB2312" w:cs="仿宋_GB2312" w:eastAsia="仿宋_GB2312"/>
                      <w:sz w:val="24"/>
                      <w:b/>
                      <w:color w:val="000000"/>
                    </w:rPr>
                    <w:t>(元)</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合价</w:t>
                  </w:r>
                  <w:r>
                    <w:br/>
                  </w:r>
                  <w:r>
                    <w:rPr>
                      <w:rFonts w:ascii="仿宋_GB2312" w:hAnsi="仿宋_GB2312" w:cs="仿宋_GB2312" w:eastAsia="仿宋_GB2312"/>
                      <w:sz w:val="24"/>
                      <w:b/>
                      <w:color w:val="000000"/>
                    </w:rPr>
                    <w:t>（元）</w:t>
                  </w: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杨家沟水库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迎水面割草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1783.71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背水面割草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6777.6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潜水泵（</w:t>
                  </w:r>
                  <w:r>
                    <w:rPr>
                      <w:rFonts w:ascii="仿宋_GB2312" w:hAnsi="仿宋_GB2312" w:cs="仿宋_GB2312" w:eastAsia="仿宋_GB2312"/>
                      <w:sz w:val="24"/>
                      <w:color w:val="000000"/>
                    </w:rPr>
                    <w:t>80m³/h 扬程44m  功率15kw）</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潜水泵（</w:t>
                  </w:r>
                  <w:r>
                    <w:rPr>
                      <w:rFonts w:ascii="仿宋_GB2312" w:hAnsi="仿宋_GB2312" w:cs="仿宋_GB2312" w:eastAsia="仿宋_GB2312"/>
                      <w:sz w:val="24"/>
                      <w:color w:val="000000"/>
                    </w:rPr>
                    <w:t>50m³/h  扬程39m  功率</w:t>
                  </w:r>
                  <w:r>
                    <w:rPr>
                      <w:rFonts w:ascii="仿宋_GB2312" w:hAnsi="仿宋_GB2312" w:cs="仿宋_GB2312" w:eastAsia="仿宋_GB2312"/>
                      <w:sz w:val="24"/>
                      <w:color w:val="000000"/>
                    </w:rPr>
                    <w:t>9.5kw）</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水泵专用电缆线（国标</w:t>
                  </w:r>
                  <w:r>
                    <w:rPr>
                      <w:rFonts w:ascii="仿宋_GB2312" w:hAnsi="仿宋_GB2312" w:cs="仿宋_GB2312" w:eastAsia="仿宋_GB2312"/>
                      <w:sz w:val="24"/>
                      <w:color w:val="000000"/>
                    </w:rPr>
                    <w:t>3*6平方米 ）</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吊绳</w:t>
                  </w:r>
                  <w:r>
                    <w:rPr>
                      <w:rFonts w:ascii="仿宋_GB2312" w:hAnsi="仿宋_GB2312" w:cs="仿宋_GB2312" w:eastAsia="仿宋_GB2312"/>
                      <w:sz w:val="24"/>
                      <w:color w:val="000000"/>
                    </w:rPr>
                    <w:t>(直径25mm)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65消防水带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100消防水带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65钢丝卡箍</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65水带接头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100钢丝卡箍</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100水带接头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30KW水泵抽排水</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发电设备租赁</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20KW发电机租赁</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20KW发电机使用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沙子</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升降机租赁</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升降机租赁</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升降机使用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6mm钢丝绳</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更换管理房配电箱</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更换放水塔电线（</w:t>
                  </w:r>
                  <w:r>
                    <w:rPr>
                      <w:rFonts w:ascii="仿宋_GB2312" w:hAnsi="仿宋_GB2312" w:cs="仿宋_GB2312" w:eastAsia="仿宋_GB2312"/>
                      <w:sz w:val="24"/>
                      <w:color w:val="000000"/>
                    </w:rPr>
                    <w:t>5*10平方米）</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车村水库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防汛物资</w:t>
                  </w:r>
                  <w:r>
                    <w:rPr>
                      <w:rFonts w:ascii="仿宋_GB2312" w:hAnsi="仿宋_GB2312" w:cs="仿宋_GB2312" w:eastAsia="仿宋_GB2312"/>
                      <w:sz w:val="24"/>
                      <w:color w:val="000000"/>
                    </w:rPr>
                    <w:t>0#柴油</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1260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红旗水库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 xml:space="preserve"> </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迎水面割草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1236.45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背水面割草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7231.98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胜利水库</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背水面割草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5422.48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rFonts w:ascii="仿宋_GB2312" w:hAnsi="仿宋_GB2312" w:cs="仿宋_GB2312" w:eastAsia="仿宋_GB2312"/>
              </w:rPr>
              <w:t>注：1、所投单价为全费用单价，包含人工费、材料费、机械费、管理费、利润、措施费、规费以及税金等服务所涉及的所有费用。合同承包方式：固定全费用单价，项目实施过程中单价不做调整，结算时以实际产生的工程量为准据实结算。</w:t>
            </w:r>
            <w:r>
              <w:br/>
            </w:r>
            <w:r>
              <w:rPr>
                <w:rFonts w:ascii="仿宋_GB2312" w:hAnsi="仿宋_GB2312" w:cs="仿宋_GB2312" w:eastAsia="仿宋_GB2312"/>
              </w:rPr>
              <w:t xml:space="preserve"> 2.供应商不得随意增加、删除或修改工程量清单中的任何内容，否则按无效文件处理。工程量清单中列明的所有需要填写的单价和合价，供应商均应填写；未填写的单价和合价，视为已包括在工程量清单的其它单价和合价中。</w:t>
            </w:r>
          </w:p>
          <w:p>
            <w:pPr>
              <w:pStyle w:val="null3"/>
            </w:pPr>
            <w:r>
              <w:rPr>
                <w:rFonts w:ascii="仿宋_GB2312" w:hAnsi="仿宋_GB2312" w:cs="仿宋_GB2312" w:eastAsia="仿宋_GB2312"/>
              </w:rPr>
              <w:t>三、技术要求</w:t>
            </w:r>
            <w:r>
              <w:br/>
            </w:r>
            <w:r>
              <w:rPr>
                <w:rFonts w:ascii="仿宋_GB2312" w:hAnsi="仿宋_GB2312" w:cs="仿宋_GB2312" w:eastAsia="仿宋_GB2312"/>
              </w:rPr>
              <w:t xml:space="preserve"> 要求符合现行法律法规，专业技术服务执行水利部、市场监督管理局现行有关规范、标准。</w:t>
            </w:r>
            <w:r>
              <w:br/>
            </w:r>
            <w:r>
              <w:rPr>
                <w:rFonts w:ascii="仿宋_GB2312" w:hAnsi="仿宋_GB2312" w:cs="仿宋_GB2312" w:eastAsia="仿宋_GB2312"/>
              </w:rPr>
              <w:t xml:space="preserve"> 四、服务要求</w:t>
            </w:r>
            <w:r>
              <w:br/>
            </w:r>
            <w:r>
              <w:rPr>
                <w:rFonts w:ascii="仿宋_GB2312" w:hAnsi="仿宋_GB2312" w:cs="仿宋_GB2312" w:eastAsia="仿宋_GB2312"/>
              </w:rPr>
              <w:t xml:space="preserve"> 在合同执行过程中需要服务商应执行的相关服务标准和应当履行的相关义务。</w:t>
            </w:r>
            <w:r>
              <w:br/>
            </w:r>
            <w:r>
              <w:rPr>
                <w:rFonts w:ascii="仿宋_GB2312" w:hAnsi="仿宋_GB2312" w:cs="仿宋_GB2312" w:eastAsia="仿宋_GB2312"/>
              </w:rPr>
              <w:t xml:space="preserve"> 五、其他</w:t>
            </w:r>
            <w:r>
              <w:br/>
            </w:r>
            <w:r>
              <w:rPr>
                <w:rFonts w:ascii="仿宋_GB2312" w:hAnsi="仿宋_GB2312" w:cs="仿宋_GB2312" w:eastAsia="仿宋_GB2312"/>
              </w:rPr>
              <w:t xml:space="preserve"> (一)质量验收标准或规范</w:t>
            </w:r>
            <w:r>
              <w:br/>
            </w:r>
            <w:r>
              <w:rPr>
                <w:rFonts w:ascii="仿宋_GB2312" w:hAnsi="仿宋_GB2312" w:cs="仿宋_GB2312" w:eastAsia="仿宋_GB2312"/>
              </w:rPr>
              <w:t xml:space="preserve"> 满足国家（或行业）相关标准、规范及有关技术文件要求。</w:t>
            </w:r>
            <w:r>
              <w:br/>
            </w:r>
            <w:r>
              <w:rPr>
                <w:rFonts w:ascii="仿宋_GB2312" w:hAnsi="仿宋_GB2312" w:cs="仿宋_GB2312" w:eastAsia="仿宋_GB2312"/>
              </w:rPr>
              <w:t xml:space="preserve"> (二)产品质保期</w:t>
            </w:r>
            <w:r>
              <w:br/>
            </w:r>
            <w:r>
              <w:rPr>
                <w:rFonts w:ascii="仿宋_GB2312" w:hAnsi="仿宋_GB2312" w:cs="仿宋_GB2312" w:eastAsia="仿宋_GB2312"/>
              </w:rPr>
              <w:t xml:space="preserve"> 以产品出厂保质期为准。</w:t>
            </w:r>
            <w:r>
              <w:br/>
            </w:r>
            <w:r>
              <w:rPr>
                <w:rFonts w:ascii="仿宋_GB2312" w:hAnsi="仿宋_GB2312" w:cs="仿宋_GB2312" w:eastAsia="仿宋_GB2312"/>
              </w:rPr>
              <w:t xml:space="preserve"> (三)违约责任</w:t>
            </w:r>
            <w:r>
              <w:br/>
            </w:r>
            <w:r>
              <w:rPr>
                <w:rFonts w:ascii="仿宋_GB2312" w:hAnsi="仿宋_GB2312" w:cs="仿宋_GB2312" w:eastAsia="仿宋_GB2312"/>
              </w:rPr>
              <w:t xml:space="preserve"> 按《中华人民共和国民法典》中的相关条款执行。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自合同签订之日起至3个月内完成全部项目内容，并交付采购人验收合格。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满足国家（或行业）相关标准、规范及有关技术文件要求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一、违约责任：按《中华人民共和国民法典》中的相关条款执行。二、解决争议：双方首先进行友好协商解决，如协商不成，任何一方可向采购人所在地有管辖权的人民法院提起诉讼。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 （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 2、履约验收2.1采购人自行验收。2.2是否委托采购代理机构组织履约验收：否。3、本项目所属行业为其他未列明行业，中小微企业划型标准为：从业人员300人以下的为中小微型企业。其中，从业人员100人及以上的为中型企业；从业人员10人及以上的为小型企业；从业人员10人以下的为微型企业。4 、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5、事业单位参与投标时，可不提供财务状况报告、社会保障资金和税收缴纳证明；依法免税或不需要缴纳社会保障资金的供应商，应提供相应证明文件，证明其依法免税或不需要缴纳社会保障资金。6、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供应商需在项目电子化交易系统中按要求填写《响应函》完成承诺并进行电子签章，且按照资格证明文件中的格式，提供清晰、完整、有效的相关证明材料。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供应商须具备水利水电工程施工总承包三级及以上资质，具备有效的安全生产许可证。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只能有一个有效报价，不得提交选择性报价，且报价不超过采购预算或最高限价金额。</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针对本项目的服务方案，内容包括:①总体服务方案②进度计划③组织机构设置④人员配备计划⑤机械设备配备计划⑥应急预案⑦重难点分析及解决方案。 说明：以上内容切合本项目实际情况及实施要求，内容全面详细、阐述条理清晰详尽，符合本项目采购需求，能保障本项目实施的得42分。 评审内容任意一项缺项扣6分。 评审内容任意一项每有一个缺陷扣3分，假设有n（n为假设数量）个缺陷，则扣n×3分。 （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针对本项目的服务保障措施，内容包括：①质量保障措施②进度保障措施③安全保障措施④环境保护措施⑤劳动力保障措施。 说明：以上内容切合本项目实际情况及实施要求，内容全面详细、阐述条理清晰详尽，符合本项目采购需求，能保障本项目实施的得30分。 评审内容任意一项缺项扣6分。 评审内容任意一项每有一个缺陷扣3分，假设有n（n为假设数量）个缺陷，则扣n×3分。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验收与售后服务</w:t>
            </w:r>
          </w:p>
        </w:tc>
        <w:tc>
          <w:tcPr>
            <w:tcW w:type="dxa" w:w="2492"/>
          </w:tcPr>
          <w:p>
            <w:pPr>
              <w:pStyle w:val="null3"/>
            </w:pPr>
            <w:r>
              <w:rPr>
                <w:rFonts w:ascii="仿宋_GB2312" w:hAnsi="仿宋_GB2312" w:cs="仿宋_GB2312" w:eastAsia="仿宋_GB2312"/>
              </w:rPr>
              <w:t>针对本项目的验收与售后服务方案，内容包括：①验收方案②售后服务方案。 说明：以上内容切合本项目实际情况及实施要求，内容全面详细、阐述条理清晰详尽，符合本项目采购需求，能保障本项目实施的得12分。 评审内容任意一项缺项扣6分。 评审内容任意一项每有一个缺陷扣3分，假设有n（n为假设数量）个缺陷，则扣n×3分。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供应商自2022年1月1日至今承接过类似项目业绩（以合同签订日期为准），每提供一项得2分，最高得6分。 注：提供完整合同扫描件并加盖公章，未提供或提供材料不符合要求不得分。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满足磋商文件要求且最后报价最低的供应商的价格为磋商基准价，其价格分为满分即10分。其他各供应商的报价得分按下列公式计算:（磋商基准价/最后磋商报价）*价格权值（即10%）*100。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