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版本号：DCZB-2025-XA-Z03620251114001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2025年灞桥区高素质农民培育项目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DCZB-2025-XA-Z036</w:t>
      </w:r>
      <w:r>
        <w:br/>
      </w:r>
      <w:r>
        <w:br/>
      </w:r>
      <w:r>
        <w:br/>
      </w:r>
    </w:p>
    <w:p>
      <w:pPr>
        <w:pStyle w:val="null3"/>
        <w:jc w:val="center"/>
        <w:outlineLvl w:val="2"/>
      </w:pPr>
      <w:r>
        <w:rPr>
          <w:rFonts w:ascii="仿宋_GB2312" w:hAnsi="仿宋_GB2312" w:cs="仿宋_GB2312" w:eastAsia="仿宋_GB2312"/>
          <w:sz w:val="28"/>
          <w:b/>
        </w:rPr>
        <w:t>西安市灞桥区农业农村信息中心</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西安市灞桥区农业农村信息中心</w:t>
      </w:r>
      <w:r>
        <w:rPr>
          <w:rFonts w:ascii="仿宋_GB2312" w:hAnsi="仿宋_GB2312" w:cs="仿宋_GB2312" w:eastAsia="仿宋_GB2312"/>
        </w:rPr>
        <w:t>委托，拟对</w:t>
      </w:r>
      <w:r>
        <w:rPr>
          <w:rFonts w:ascii="仿宋_GB2312" w:hAnsi="仿宋_GB2312" w:cs="仿宋_GB2312" w:eastAsia="仿宋_GB2312"/>
        </w:rPr>
        <w:t>2025年灞桥区高素质农民培育项目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DCZB-2025-XA-Z036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2025年灞桥区高素质农民培育项目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灞桥区2025年承担重要农产品生产经营主体能力提升培育，培育任务100人，计划开设3个以实践教学为主的大樱桃产能提升种植类培育小班，一、二班各为35人，三班为30人，要求供应商有相应资质，按照实施方案按时完成培育内容，符合验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采购包1（2025年灞桥区高素质农民培育）：属于专门面向小微企业采购。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身份证明：法定代表人参加投标时，提供法定代表人证明书；授权代表参加投标时，提供法定代表人授权书及单位证明（投标文件提交截止前6个月内任1个月的缴纳社会保障资金证明或劳动合同）；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西安市灞桥区农业农村信息中心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灞桥区纺织城纺一路107号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83331832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陕西省西安市灞桥区西安市灞桥区长乐东路2999号京都国际1号楼2单元29层22902号房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何杨 黄建峰 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代理服务费收费标准：本项目采购代理服务费以采购项目的中标（成交）金额作为收费基数，参照国家计委颁布的《 招标代理服务收费管理暂行办法》（计价格〔2002〕1980号）和（发改办价格〔2003〕857 号）收费标准，采购代理服务费不足伍仟按照伍仟元收取，由（中标）成交供应商向采购代理机构一次性支付，具体收费金额以采购结果公示为准；此服务费应计入投标报价中，不再单独开列。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西安市灞桥区农业农村信息中心</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西安市灞桥区农业农村信息中心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西安市灞桥区农业农村信息中心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按照磋商文件、磋商响应文件及合同要求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西安市灞桥区农业农村信息中心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联系人：何杨</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地址：西安市灞桥区长乐东路2999号京都国际3号楼1506室</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区2025年承担重要农产品生产经营主体能力提升培育，培育任务100人，计划开设3个以实践教学为主的大樱桃产能提升种植类培育小班，一、二班各为35人，三班为30人，要求供应商有相应资质，按照实施方案按时完成培育内容，符合验收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根据西安市农业农村局《关于印发</w:t>
            </w:r>
            <w:r>
              <w:rPr>
                <w:rFonts w:ascii="仿宋_GB2312" w:hAnsi="仿宋_GB2312" w:cs="仿宋_GB2312" w:eastAsia="仿宋_GB2312"/>
                <w:sz w:val="24"/>
              </w:rPr>
              <w:t>2025年中央转移支付农业经营主体能力提升资金实施方案的通知》（市农发〔2025〕157号文件、《2025年高素质农民培育工作实施方案》、《新型职业农民管理办法》及《陕西省高素质农民培育提升三年行动方案》要求，</w:t>
            </w:r>
            <w:r>
              <w:rPr>
                <w:rFonts w:ascii="仿宋_GB2312" w:hAnsi="仿宋_GB2312" w:cs="仿宋_GB2312" w:eastAsia="仿宋_GB2312"/>
                <w:sz w:val="24"/>
              </w:rPr>
              <w:t>灞桥区</w:t>
            </w:r>
            <w:r>
              <w:rPr>
                <w:rFonts w:ascii="仿宋_GB2312" w:hAnsi="仿宋_GB2312" w:cs="仿宋_GB2312" w:eastAsia="仿宋_GB2312"/>
                <w:sz w:val="24"/>
              </w:rPr>
              <w:t>2025年承担重要农产品生产经营主体能力提升培育任务100人，计划开设3个以实践教学为主的大樱桃产能提升种植类培育小班，一、二班各为35人，三班为30人，重点对席王、灞桥、狄寨、洪庆街道等大樱桃主产区 50 家合作社、家庭农场等生产经营主体,实施大樱桃标准化栽培管理绿色防控、灞桥樱桃公共区域品牌建设、樱桃推广短视频拍摄制作等技能培训，破解樱桃产业树体老化、品种退化等问题，以点带面，精准扶持灞桥区域内大樱桃产业提质增效。</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培育对象遴选</w:t>
            </w:r>
            <w:r>
              <w:rPr>
                <w:rFonts w:ascii="仿宋_GB2312" w:hAnsi="仿宋_GB2312" w:cs="仿宋_GB2312" w:eastAsia="仿宋_GB2312"/>
                <w:sz w:val="24"/>
                <w:b/>
              </w:rPr>
              <w:t>及培训课程</w:t>
            </w:r>
          </w:p>
          <w:p>
            <w:pPr>
              <w:pStyle w:val="null3"/>
            </w:pPr>
            <w:r>
              <w:rPr>
                <w:rFonts w:ascii="仿宋_GB2312" w:hAnsi="仿宋_GB2312" w:cs="仿宋_GB2312" w:eastAsia="仿宋_GB2312"/>
                <w:sz w:val="24"/>
                <w:b/>
              </w:rPr>
              <w:t>（一）培育对象遴选</w:t>
            </w:r>
          </w:p>
          <w:p>
            <w:pPr>
              <w:pStyle w:val="null3"/>
              <w:ind w:firstLine="480"/>
              <w:jc w:val="both"/>
            </w:pPr>
            <w:r>
              <w:rPr>
                <w:rFonts w:ascii="仿宋_GB2312" w:hAnsi="仿宋_GB2312" w:cs="仿宋_GB2312" w:eastAsia="仿宋_GB2312"/>
                <w:sz w:val="24"/>
              </w:rPr>
              <w:t>灞桥区域内洪庆、席王、狄寨、灞桥街办大樱桃主产区</w:t>
            </w:r>
            <w:r>
              <w:rPr>
                <w:rFonts w:ascii="仿宋_GB2312" w:hAnsi="仿宋_GB2312" w:cs="仿宋_GB2312" w:eastAsia="仿宋_GB2312"/>
                <w:sz w:val="24"/>
              </w:rPr>
              <w:t>50余家从事大樱桃生产、经营及产业相关服务的合作社、家庭农场、农业企业内从业人员，凡年满18-60周岁，初中及以上文化程度，身体健康，思想品德优良，能够自觉践行社会主义核心价值观，热爱农业农村，学习愿望强烈，遵守法律法规，个人及企业信用良好，无违法违纪等不良记录。遵循立足产业、自觉自愿的原则，做到学员遴选有措施、遴选工作精细化。</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）培育</w:t>
            </w:r>
            <w:r>
              <w:rPr>
                <w:rFonts w:ascii="仿宋_GB2312" w:hAnsi="仿宋_GB2312" w:cs="仿宋_GB2312" w:eastAsia="仿宋_GB2312"/>
                <w:sz w:val="24"/>
                <w:b/>
              </w:rPr>
              <w:t>标准</w:t>
            </w:r>
          </w:p>
          <w:p>
            <w:pPr>
              <w:pStyle w:val="null3"/>
              <w:ind w:firstLine="480"/>
              <w:jc w:val="both"/>
            </w:pPr>
            <w:r>
              <w:rPr>
                <w:rFonts w:ascii="仿宋_GB2312" w:hAnsi="仿宋_GB2312" w:cs="仿宋_GB2312" w:eastAsia="仿宋_GB2312"/>
                <w:sz w:val="24"/>
              </w:rPr>
              <w:t>对照《高素质农民培训规范（试行）》各项要求，加强对高素质农民培训工作的指导、监督和管理，课程考核合格率</w:t>
            </w:r>
            <w:r>
              <w:rPr>
                <w:rFonts w:ascii="仿宋_GB2312" w:hAnsi="仿宋_GB2312" w:cs="仿宋_GB2312" w:eastAsia="仿宋_GB2312"/>
                <w:sz w:val="24"/>
              </w:rPr>
              <w:t>≥95%，学员满意度≥90%。</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）培育时间及内容</w:t>
            </w:r>
          </w:p>
          <w:p>
            <w:pPr>
              <w:pStyle w:val="null3"/>
              <w:ind w:firstLine="480"/>
              <w:jc w:val="both"/>
            </w:pPr>
            <w:r>
              <w:rPr>
                <w:rFonts w:ascii="仿宋_GB2312" w:hAnsi="仿宋_GB2312" w:cs="仿宋_GB2312" w:eastAsia="仿宋_GB2312"/>
                <w:sz w:val="24"/>
              </w:rPr>
              <w:t>1.培育时间 2025 年 12 月 31 日完成培育课程内容。</w:t>
            </w:r>
          </w:p>
          <w:p>
            <w:pPr>
              <w:pStyle w:val="null3"/>
              <w:ind w:firstLine="480"/>
              <w:jc w:val="both"/>
            </w:pPr>
            <w:r>
              <w:rPr>
                <w:rFonts w:ascii="仿宋_GB2312" w:hAnsi="仿宋_GB2312" w:cs="仿宋_GB2312" w:eastAsia="仿宋_GB2312"/>
                <w:sz w:val="24"/>
              </w:rPr>
              <w:t>2.严格按照《高素质农民培育规范（修订）》要求，灞桥区范围内重要农产品生产经营主体能力提升培育，按“综合素养课”“专业技能课”“能力拓展课”“跟踪服务”等内容进行，总学时为80学时，具体分配为专业技能课64学时，综合素养课8学时，能力拓展课8学时。其中公共课16学时，实践教学40学时，理论小课24学时。课程设置结合农事季节分段实施，确保理论与实践教学相结合。</w:t>
            </w:r>
          </w:p>
          <w:tbl>
            <w:tblPr>
              <w:tblBorders>
                <w:top w:val="none" w:color="000000" w:sz="4"/>
                <w:left w:val="none" w:color="000000" w:sz="4"/>
                <w:bottom w:val="none" w:color="000000" w:sz="4"/>
                <w:right w:val="none" w:color="000000" w:sz="4"/>
                <w:insideH w:val="none"/>
                <w:insideV w:val="none"/>
              </w:tblBorders>
            </w:tblPr>
            <w:tblGrid>
              <w:gridCol w:w="518"/>
              <w:gridCol w:w="1179"/>
              <w:gridCol w:w="537"/>
              <w:gridCol w:w="304"/>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课程类型</w:t>
                  </w:r>
                </w:p>
              </w:tc>
              <w:tc>
                <w:tcPr>
                  <w:tcW w:type="dxa" w:w="1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课程内容</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形式</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学时</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综合素养课</w:t>
                  </w:r>
                </w:p>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行政第一课</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党史教育：近代中国的崛起</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农村法律法规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专业技能课</w:t>
                  </w:r>
                </w:p>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80%）</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大樱桃生长环境调控</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大樱桃苗木定植实操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大樱桃优良品种选择与引进</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果园灌溉系统安装与调试</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樱桃苗木嫁接繁殖实操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种植工具维护与使用</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老果园更新改造实操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大樱桃花期生理特性</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大樱桃树体修剪理论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果园地块规划与整理实操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专业技能课（</w:t>
                  </w:r>
                  <w:r>
                    <w:rPr>
                      <w:rFonts w:ascii="仿宋_GB2312" w:hAnsi="仿宋_GB2312" w:cs="仿宋_GB2312" w:eastAsia="仿宋_GB2312"/>
                      <w:sz w:val="22"/>
                      <w:color w:val="000000"/>
                    </w:rPr>
                    <w:t>80%）</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肥料配比与施用实操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大樱桃病虫害防治实操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樱桃病虫害绿色综合防治</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大樱桃科学施肥原理</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土壤检测与改良实操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大樱桃田间肥水管理实操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大樱桃实景直播宣传</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果实采摘与分级实操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果实发育调控理论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种植成本核算与效益分析</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樱桃保鲜基础理论</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绿色种植政策解读</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大樱桃果实管理实操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常见种植问题诊断理论（一）</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常见种植问题诊断理论（二）</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理论小课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果品采摘保鲜处理实操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樱桃售后服务流程</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果园冻害防护实操</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实践教学</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能力拓展课（</w:t>
                  </w:r>
                  <w:r>
                    <w:rPr>
                      <w:rFonts w:ascii="仿宋_GB2312" w:hAnsi="仿宋_GB2312" w:cs="仿宋_GB2312" w:eastAsia="仿宋_GB2312"/>
                      <w:sz w:val="22"/>
                      <w:color w:val="000000"/>
                    </w:rPr>
                    <w:t>10%）</w:t>
                  </w: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现代高科技农业园区观摩</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518"/>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现代美丽乡村建设</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公共课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bl>
          <w:p>
            <w:pPr>
              <w:pStyle w:val="null3"/>
              <w:jc w:val="both"/>
            </w:pPr>
            <w:r>
              <w:rPr>
                <w:rFonts w:ascii="仿宋_GB2312" w:hAnsi="仿宋_GB2312" w:cs="仿宋_GB2312" w:eastAsia="仿宋_GB2312"/>
                <w:sz w:val="24"/>
                <w:b/>
              </w:rPr>
              <w:t>三、跟踪服务</w:t>
            </w:r>
          </w:p>
          <w:p>
            <w:pPr>
              <w:pStyle w:val="null3"/>
              <w:ind w:firstLine="480"/>
              <w:jc w:val="both"/>
            </w:pPr>
            <w:r>
              <w:rPr>
                <w:rFonts w:ascii="仿宋_GB2312" w:hAnsi="仿宋_GB2312" w:cs="仿宋_GB2312" w:eastAsia="仿宋_GB2312"/>
                <w:sz w:val="24"/>
              </w:rPr>
              <w:t>2026年1月—2026年6月，开展为期6个月的跟踪服务，对培训的学员进行跟踪回访，完成培训跟踪监测，具体安排如下：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1）结业后3个月、6个月时各1次，共计2次；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2）每班随机抽取12人，覆盖率达30%以上；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3）重点围绕大樱桃园区管理、夏季樱桃修剪、樱桃商品果包装及物流等环节开展技术指导和产业服务。</w:t>
            </w:r>
          </w:p>
          <w:p>
            <w:pPr>
              <w:pStyle w:val="null3"/>
              <w:jc w:val="both"/>
            </w:pPr>
            <w:r>
              <w:rPr>
                <w:rFonts w:ascii="仿宋_GB2312" w:hAnsi="仿宋_GB2312" w:cs="仿宋_GB2312" w:eastAsia="仿宋_GB2312"/>
                <w:sz w:val="24"/>
                <w:b/>
              </w:rPr>
              <w:t>四、培训费用</w:t>
            </w:r>
          </w:p>
          <w:p>
            <w:pPr>
              <w:pStyle w:val="null3"/>
              <w:ind w:firstLine="480"/>
              <w:jc w:val="both"/>
            </w:pPr>
            <w:r>
              <w:rPr>
                <w:rFonts w:ascii="仿宋_GB2312" w:hAnsi="仿宋_GB2312" w:cs="仿宋_GB2312" w:eastAsia="仿宋_GB2312"/>
                <w:sz w:val="24"/>
              </w:rPr>
              <w:t>1.培训费用4000元/人；</w:t>
            </w:r>
          </w:p>
          <w:p>
            <w:pPr>
              <w:pStyle w:val="null3"/>
              <w:ind w:firstLine="480"/>
              <w:jc w:val="both"/>
            </w:pPr>
            <w:r>
              <w:rPr>
                <w:rFonts w:ascii="仿宋_GB2312" w:hAnsi="仿宋_GB2312" w:cs="仿宋_GB2312" w:eastAsia="仿宋_GB2312"/>
                <w:sz w:val="24"/>
              </w:rPr>
              <w:t>2.培育费用包括培训教材、培训资料（笔记本、中性笔、文件袋）、专家讲课费、学员交通餐饮、基地实训服务费、外聘教师和帮扶技术员授课费、组织外出交流学习、保险、培训宣传资料等。</w:t>
            </w:r>
          </w:p>
          <w:p>
            <w:pPr>
              <w:pStyle w:val="null3"/>
              <w:jc w:val="both"/>
            </w:pPr>
            <w:r>
              <w:rPr>
                <w:rFonts w:ascii="仿宋_GB2312" w:hAnsi="仿宋_GB2312" w:cs="仿宋_GB2312" w:eastAsia="仿宋_GB2312"/>
                <w:sz w:val="24"/>
                <w:b/>
              </w:rPr>
              <w:t>五、信息档案</w:t>
            </w:r>
          </w:p>
          <w:p>
            <w:pPr>
              <w:pStyle w:val="null3"/>
            </w:pPr>
            <w:r>
              <w:rPr>
                <w:rFonts w:ascii="仿宋_GB2312" w:hAnsi="仿宋_GB2312" w:cs="仿宋_GB2312" w:eastAsia="仿宋_GB2312"/>
                <w:sz w:val="24"/>
              </w:rPr>
              <w:t>依托农民教育培训信息管理系统开展培训在线监管和绩效评价，对培训教师、培育基地、培训组织和培训效果进行线上评价，实现培训班和学员基本信息</w:t>
            </w:r>
            <w:r>
              <w:rPr>
                <w:rFonts w:ascii="仿宋_GB2312" w:hAnsi="仿宋_GB2312" w:cs="仿宋_GB2312" w:eastAsia="仿宋_GB2312"/>
                <w:sz w:val="24"/>
              </w:rPr>
              <w:t>100%入库，班级100%评价，确保培训过程全程可监测可追溯。开班计划、学员信息、课程表、考核结果、资金票据、结业证书、跟踪记录、影像资料等8类纸质+电子版文件，统一编号，专柜存放保存5年以备待查。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所聘用员工必须严格管理，并对聘用人员的行为负全责，承包期内，发生治安、交通、安全生产事故、火灾等安全案件或劳动纠纷等，出现人员伤亡和财物损失，均由成交供应商依法负全责，并负责支付由此产生的一切费用，不得以任何理由向采购人追偿。 2.未经采购人书面同意，成交供应商不得将项目的全部或任何部分分包或转包他人。如成交供应商有擅自转包、分包等违约行为，采购人将按合同违约条款，终止合同，由此引起的一切后果，由成交供应商承担。 3.供应商在项目实施期间的自身和学员安全由供应商承担。(提供承诺函)。 4.在服务过程中，供应商须针对本项目被培训人员专门购买团体意外险。(提供承诺函)。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2026年06月30日前完成所有培育内容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西安市灞桥区农业农村信息中心指定地点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结束后，供应商需在10个工作日内向采购人提供培训学员台账、学员签到册、培训现场照片、考试考核材料、《培训效果评价表》、《高素质农民培训验收报告单》等资料进行验收，并且学员满意度达到90%以上。 2.验收依据 (1) 合同文本及合同补充文件（条款）。 (2) 竞争性磋商文件。 (3) 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项目完成所有资料递交采购人，采购人验收合格之后支付剩余款项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按《中华人民共和国民法典》中的相关条款执行。 2. 成交单位未按合同要求提供服务或服务质量不能满足采购需求，采购人有权终止合同，并对其违约行为进行追究。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磋商响应文件，同时，线下提交磋商响应文件正本壹份(邮寄或现场提交均可)。若电子化交易平台文件与纸质磋商响应文件不一致的，以电子化交易平台文件为准。线下递交文件时间与线上磋商截止时间一致；线下递交文件地点：西安市灞桥区长乐东路2999号，京都国际3号楼1506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1.1有效的营业执照副本或事业单位法人证书或民办非企业单位登记证书或社会团体法人登记证书或自然人的身份证明； 1.2提供2024年度经审计完整的财务审计报告（至少包括资产负债表、现金流量表、利润表、附注和会计事务所营业执照及执业证书），2025年以后新成立企业提供成立之日至开标前六月的财务报表（至少包括资产负债表、现金流量表、利润表）；或开标日前三个月内基本存款账户银行出具的资信证明（附开户许可证）； 1.3提供开标前六个月内任意一个月的纳税证明或完税证明（提供增值税、企业所得税至少一种），纳税证明或完税证明上应有代收机构或税务机关的公章或业务专用章。依法免税的投标人应提供相关文件证明； 1.4提供开标前六个月内任意一个月的社会保障资金缴存单据或社保机构开具的社会保险参保缴费情况证明。依法不需要缴纳社会保障资金的投标人应提供相关文件证明； 1.5提供履行合同所必需的设备和专业技术能力的书面声明； 1.6提供参加政府采购活动前3年内在经营活动中没有重大违法记录的书面声明； 1.7供应商须未被列入“信用中国”网站（www.creditchina.gov.cn）记录失信被执行人或重大税收违法案件当事人名单或政府采购严重违法失信行为”记录名单（以开标当天代理机构现场查询为准）。</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投标人身份证明</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法定代表人参加投标时，提供法定代表人证明书；授权代表参加投标时，提供法定代表人授权书及单位证明（投标文件提交截止前6个月内任1个月的缴纳社会保障资金证明或劳动合同）；非法人单位参照执行</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投标单位认为有必要提供的其他材料.docx 标的清单 磋商分项报价表.docx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投标单位认为有必要提供的其他材料.docx 评审响应资料.docx 报价表 商务及服务条款响应偏离表.docx 响应文件封面 残疾人福利性单位声明函 拒绝政府采购领域商业贿赂承诺书.docx 标的清单 磋商分项报价表.docx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实质性响应条款</w:t>
            </w:r>
          </w:p>
        </w:tc>
        <w:tc>
          <w:tcPr>
            <w:tcW w:type="dxa" w:w="3322"/>
          </w:tcPr>
          <w:p>
            <w:pPr>
              <w:pStyle w:val="null3"/>
            </w:pPr>
            <w:r>
              <w:rPr>
                <w:rFonts w:ascii="仿宋_GB2312" w:hAnsi="仿宋_GB2312" w:cs="仿宋_GB2312" w:eastAsia="仿宋_GB2312"/>
              </w:rPr>
              <w:t>完全响应磋商文件要求的各项技术/服务/商务实质性条款。</w:t>
            </w:r>
          </w:p>
        </w:tc>
        <w:tc>
          <w:tcPr>
            <w:tcW w:type="dxa" w:w="1661"/>
          </w:tcPr>
          <w:p>
            <w:pPr>
              <w:pStyle w:val="null3"/>
            </w:pPr>
            <w:r>
              <w:rPr>
                <w:rFonts w:ascii="仿宋_GB2312" w:hAnsi="仿宋_GB2312" w:cs="仿宋_GB2312" w:eastAsia="仿宋_GB2312"/>
              </w:rPr>
              <w:t>中小企业声明函 投标单位认为有必要提供的其他材料.docx 评审响应资料.docx 报价表 商务及服务条款响应偏离表.docx 响应文件封面 残疾人福利性单位声明函 拒绝政府采购领域商业贿赂承诺书.docx 标的清单 磋商分项报价表.docx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法律、法规或招标文件规定的其他无效情形</w:t>
            </w:r>
          </w:p>
        </w:tc>
        <w:tc>
          <w:tcPr>
            <w:tcW w:type="dxa" w:w="3322"/>
          </w:tcPr>
          <w:p>
            <w:pPr>
              <w:pStyle w:val="null3"/>
            </w:pPr>
            <w:r>
              <w:rPr>
                <w:rFonts w:ascii="仿宋_GB2312" w:hAnsi="仿宋_GB2312" w:cs="仿宋_GB2312" w:eastAsia="仿宋_GB2312"/>
              </w:rPr>
              <w:t>不存在法律、法规或招标文件规定的其他无效情形</w:t>
            </w:r>
          </w:p>
        </w:tc>
        <w:tc>
          <w:tcPr>
            <w:tcW w:type="dxa" w:w="1661"/>
          </w:tcPr>
          <w:p>
            <w:pPr>
              <w:pStyle w:val="null3"/>
            </w:pPr>
            <w:r>
              <w:rPr>
                <w:rFonts w:ascii="仿宋_GB2312" w:hAnsi="仿宋_GB2312" w:cs="仿宋_GB2312" w:eastAsia="仿宋_GB2312"/>
              </w:rPr>
              <w:t>中小企业声明函 投标单位认为有必要提供的其他材料.docx 评审响应资料.docx 报价表 商务及服务条款响应偏离表.docx 响应文件封面 残疾人福利性单位声明函 拒绝政府采购领域商业贿赂承诺书.docx 标的清单 磋商分项报价表.docx 资格证明材料.docx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磋商小组对进入详细评审的磋商单位进行综合评分，根据得分由高到低进行排序，并推荐排序第一的成交候选供应商，如果综合评分出现二个磋商单位得分相同的情况，按下列顺序排列： （1）磋商报价价格低的； （2）服务评审得分高的；</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针对本项目的总体实施方案，内容包括：（1）培训对象遴选方案；（2）培训目标；（3）教学安排；（4）配备的师资情况；（5）培训进度计划及保障；（6）培训经费支出计划及管理；（7）考核评估；共7项。 ①方案内容完全满足采购需求，每项计3分，最高计21分； ②方案内容基本满足需求，每项计2分； ③内容不详尽或不适用于本项目每项计1分；未提供不计分。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p>
            <w:pPr>
              <w:pStyle w:val="null3"/>
            </w:pPr>
            <w:r>
              <w:rPr>
                <w:rFonts w:ascii="仿宋_GB2312" w:hAnsi="仿宋_GB2312" w:cs="仿宋_GB2312" w:eastAsia="仿宋_GB2312"/>
              </w:rPr>
              <w:t>投标单位认为有必要提供的其他材料.docx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根据供应商提供针对本项目的服务方案，内容包括：（1）服务质量保障；（2）课程质量把控；（3）教学设施及教学场地；（4）学员安全保障措施；共4项。 ①方案内容完全满足采购需求，每项计3分，最高计12分； ②方案内容基本满足需求，每项计2分； ③内容不详尽或不适用于本项目每项计1分；未提供不计分。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p>
            <w:pPr>
              <w:pStyle w:val="null3"/>
            </w:pPr>
            <w:r>
              <w:rPr>
                <w:rFonts w:ascii="仿宋_GB2312" w:hAnsi="仿宋_GB2312" w:cs="仿宋_GB2312" w:eastAsia="仿宋_GB2312"/>
              </w:rPr>
              <w:t>投标单位认为有必要提供的其他材料.docx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根据供应商提供针对本项目的培训管理制度，内容包括：（1）全程监管制度；（2）档案登记制度；（3）师资管理及聘任制度；共3项。 ①各项制度完善，内容完全满足采购需求，每项计3分，最高计9分； ②各项制度基本完善，内容基本满足需求，每项计2分； ③各项制度内容不详尽或不适用于本项目每项计1分；未提供不计分。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p>
            <w:pPr>
              <w:pStyle w:val="null3"/>
            </w:pPr>
            <w:r>
              <w:rPr>
                <w:rFonts w:ascii="仿宋_GB2312" w:hAnsi="仿宋_GB2312" w:cs="仿宋_GB2312" w:eastAsia="仿宋_GB2312"/>
              </w:rPr>
              <w:t>投标单位认为有必要提供的其他材料.docx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根据供应商提供针对本项目的突发事件应急方案，内容包括：（1）应急处理流程；（2）应急与突发事件管理措施；共2项。 ①方案内容完全满足采购需求，每项计3分，最高计6分； ②方案内容基本满足需求，每项计2分； ③内容不详尽或不适用于本项目每项计1分；未提供不计分。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p>
            <w:pPr>
              <w:pStyle w:val="null3"/>
            </w:pPr>
            <w:r>
              <w:rPr>
                <w:rFonts w:ascii="仿宋_GB2312" w:hAnsi="仿宋_GB2312" w:cs="仿宋_GB2312" w:eastAsia="仿宋_GB2312"/>
              </w:rPr>
              <w:t>投标单位认为有必要提供的其他材料.docx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供应商针对本项目拟投入的人员配备中： 1.具有农业相关高级及以上职称的得2分，中级职称的得1分，初级职称的得0.5分，本项最多得8分； 2.具有教师资格证的，每有一个得2分，最多得6分。 评审依据：以提供人员的职称证、教师资格证等相关证明材料为准，未提供不计分。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p>
            <w:pPr>
              <w:pStyle w:val="null3"/>
            </w:pPr>
            <w:r>
              <w:rPr>
                <w:rFonts w:ascii="仿宋_GB2312" w:hAnsi="仿宋_GB2312" w:cs="仿宋_GB2312" w:eastAsia="仿宋_GB2312"/>
              </w:rPr>
              <w:t>投标单位认为有必要提供的其他材料.docx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提供供应商的2022年01月01日以来同类项目业绩，每提供1份得2分，最高得6分。 评审依据：以响应文件中提供的合同复印件为准。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p>
            <w:pPr>
              <w:pStyle w:val="null3"/>
            </w:pPr>
            <w:r>
              <w:rPr>
                <w:rFonts w:ascii="仿宋_GB2312" w:hAnsi="仿宋_GB2312" w:cs="仿宋_GB2312" w:eastAsia="仿宋_GB2312"/>
              </w:rPr>
              <w:t>投标单位认为有必要提供的其他材料.docx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提供针对本项目后续服务方案，内容包括：（1）后续服务保障措施；（2）跟踪服务体系方案；（3）服务效果评估；（4）指导学员方案(至少包含后续服务人员安排、现场指导、电话或网络服务方式)；共4项。 ①方案内容完全满足采购需求，每项计3分，最高计12分； ②方案内容基本满足需求，每项计2分； ③内容不详尽或不适用于本项目每项计1分；未提供不计分。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p>
            <w:pPr>
              <w:pStyle w:val="null3"/>
            </w:pPr>
            <w:r>
              <w:rPr>
                <w:rFonts w:ascii="仿宋_GB2312" w:hAnsi="仿宋_GB2312" w:cs="仿宋_GB2312" w:eastAsia="仿宋_GB2312"/>
              </w:rPr>
              <w:t>投标单位认为有必要提供的其他材料.docx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评分方法：P=20×Pmin/Pn 其中：Pmin：有效磋商报价中的最低价。 Pn：第n个磋商单位的磋商报价。 磋商单位的报价明显低于正常报价的，磋商小组可要求磋商单位在规定的期限内提供相关证明材料；磋商单位不能证明其报价合理的，可视为无效投标。</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详见附件：商务及服务条款响应偏离表.docx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详见附件：评审响应资料.docx</w:t>
      </w:r>
    </w:p>
    <w:p>
      <w:pPr>
        <w:pStyle w:val="null3"/>
        <w:ind w:firstLine="960"/>
      </w:pPr>
      <w:r>
        <w:rPr>
          <w:rFonts w:ascii="仿宋_GB2312" w:hAnsi="仿宋_GB2312" w:cs="仿宋_GB2312" w:eastAsia="仿宋_GB2312"/>
        </w:rPr>
        <w:t>详见附件：投标单位认为有必要提供的其他材料.docx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