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版本号：ZZGJZB-20251004920251117002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2025年干部职工健康体检服务采购项目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ZZGJZB-202510049</w:t>
      </w:r>
      <w:r>
        <w:br/>
      </w:r>
      <w:r>
        <w:br/>
      </w:r>
      <w:r>
        <w:br/>
      </w:r>
    </w:p>
    <w:p>
      <w:pPr>
        <w:pStyle w:val="null3"/>
        <w:jc w:val="center"/>
        <w:outlineLvl w:val="2"/>
      </w:pPr>
      <w:r>
        <w:rPr>
          <w:rFonts w:ascii="仿宋_GB2312" w:hAnsi="仿宋_GB2312" w:cs="仿宋_GB2312" w:eastAsia="仿宋_GB2312"/>
          <w:sz w:val="28"/>
          <w:b/>
        </w:rPr>
        <w:t>西安市灞桥区人民政府红旗街道办事处</w:t>
      </w:r>
    </w:p>
    <w:p>
      <w:pPr>
        <w:pStyle w:val="null3"/>
        <w:jc w:val="center"/>
        <w:outlineLvl w:val="2"/>
      </w:pPr>
      <w:r>
        <w:rPr>
          <w:rFonts w:ascii="仿宋_GB2312" w:hAnsi="仿宋_GB2312" w:cs="仿宋_GB2312" w:eastAsia="仿宋_GB2312"/>
          <w:sz w:val="28"/>
          <w:b/>
        </w:rPr>
        <w:t>西安中泽国际招标有限公司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西安中泽国际招标有限公司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西安市灞桥区人民政府红旗街道办事处</w:t>
      </w:r>
      <w:r>
        <w:rPr>
          <w:rFonts w:ascii="仿宋_GB2312" w:hAnsi="仿宋_GB2312" w:cs="仿宋_GB2312" w:eastAsia="仿宋_GB2312"/>
        </w:rPr>
        <w:t>委托，拟对</w:t>
      </w:r>
      <w:r>
        <w:rPr>
          <w:rFonts w:ascii="仿宋_GB2312" w:hAnsi="仿宋_GB2312" w:cs="仿宋_GB2312" w:eastAsia="仿宋_GB2312"/>
        </w:rPr>
        <w:t>2025年干部职工健康体检服务采购项目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ZZGJZB-202510049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2025年干部职工健康体检服务采购项目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为保障街办干部职工身体健康，红旗街办拟决定采购第三方机构开展2025年干部职工健康体检服务。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2024年度经审计的财务报告（成立时间至磋商截止时间不足一年的可提供成立后任意时段的资产负债表）或磋商截止时间前六个月内其基本账户银行出具的资信证明或政府采购信用担保机构出具的担保函；注：根据“财办〔2022〕32号、财会〔2023〕15号”的规定，审计报告须在注册会计师行业统一监管平台进行自动赋码验证，未赋码的视为审计报告无效。</w:t>
      </w:r>
    </w:p>
    <w:p>
      <w:pPr>
        <w:pStyle w:val="null3"/>
      </w:pPr>
      <w:r>
        <w:rPr>
          <w:rFonts w:ascii="仿宋_GB2312" w:hAnsi="仿宋_GB2312" w:cs="仿宋_GB2312" w:eastAsia="仿宋_GB2312"/>
        </w:rPr>
        <w:t>3、有依法缴纳税收的良好记录：税收缴纳证明提供磋商截止时间前一年内任意一个月的纳税证明或完税证明，依法免税的单位应提供相关证明材料；</w:t>
      </w:r>
    </w:p>
    <w:p>
      <w:pPr>
        <w:pStyle w:val="null3"/>
      </w:pPr>
      <w:r>
        <w:rPr>
          <w:rFonts w:ascii="仿宋_GB2312" w:hAnsi="仿宋_GB2312" w:cs="仿宋_GB2312" w:eastAsia="仿宋_GB2312"/>
        </w:rPr>
        <w:t>4、有依法缴纳社会保障资金的良好记录：社会保障资金缴纳证明提供磋商截止时间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5、供应商参加政府采购活动前三年内在经营活动中没有重大违法记录：供应商提供参加政府采购活动前三年内在经营活动中没有重大违法记录的书面声明；</w:t>
      </w:r>
    </w:p>
    <w:p>
      <w:pPr>
        <w:pStyle w:val="null3"/>
      </w:pPr>
      <w:r>
        <w:rPr>
          <w:rFonts w:ascii="仿宋_GB2312" w:hAnsi="仿宋_GB2312" w:cs="仿宋_GB2312" w:eastAsia="仿宋_GB2312"/>
        </w:rPr>
        <w:t>6、供应商具有履行合同所必需的设备和专业技术能力：供应商提供具有履行本合同所必需的设备和专业技术能力的说明及承诺；</w:t>
      </w:r>
    </w:p>
    <w:p>
      <w:pPr>
        <w:pStyle w:val="null3"/>
      </w:pPr>
      <w:r>
        <w:rPr>
          <w:rFonts w:ascii="仿宋_GB2312" w:hAnsi="仿宋_GB2312" w:cs="仿宋_GB2312" w:eastAsia="仿宋_GB2312"/>
        </w:rPr>
        <w:t>7、供应商资质：供应商需提供合法有效的《医疗机构执业许可证》和《放射诊疗许可证》；</w:t>
      </w:r>
    </w:p>
    <w:p>
      <w:pPr>
        <w:pStyle w:val="null3"/>
      </w:pPr>
      <w:r>
        <w:rPr>
          <w:rFonts w:ascii="仿宋_GB2312" w:hAnsi="仿宋_GB2312" w:cs="仿宋_GB2312" w:eastAsia="仿宋_GB2312"/>
        </w:rPr>
        <w:t>8、供应商应授权合法的人员参加磋商全过程：法定代表人直接参加磋商的，须出具法定代表人身份证明及身份证；法定代表人授权代表参加磋商的，须出具法定代表人授权委托书及授权代表身份证；</w:t>
      </w:r>
    </w:p>
    <w:p>
      <w:pPr>
        <w:pStyle w:val="null3"/>
      </w:pPr>
      <w:r>
        <w:rPr>
          <w:rFonts w:ascii="仿宋_GB2312" w:hAnsi="仿宋_GB2312" w:cs="仿宋_GB2312" w:eastAsia="仿宋_GB2312"/>
        </w:rPr>
        <w:t>9、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网上查询结果为评审依据）；</w:t>
      </w:r>
    </w:p>
    <w:p>
      <w:pPr>
        <w:pStyle w:val="null3"/>
      </w:pPr>
      <w:r>
        <w:rPr>
          <w:rFonts w:ascii="仿宋_GB2312" w:hAnsi="仿宋_GB2312" w:cs="仿宋_GB2312" w:eastAsia="仿宋_GB2312"/>
        </w:rPr>
        <w:t>10、非联合体磋商：本项目不接受联合体磋商，单位负责人为同一人或者存在控股、管理关系的不同单位不得同时参加（提供书面承诺）。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西安市灞桥区人民政府红旗街道办事处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西安市灞桥区半引路穆将王街1号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029-83590188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西安中泽国际招标有限公司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西安市灞桥区纺西街华夏世纪广场A座1501室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029-83520200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关于印发&lt;招标代理服务收费管理暂行办法&gt;的通知》（计价格[2002]1980号）及《国家发展改革委办公厅关于招标代理服务收费有关问题的通知》（发改价格[2003]857号）文件的通知标准，招标代理服务费不足捌仟元时按捌仟元收取。 服务费缴纳账户：户名：西安中泽国际招标有限公司 开户银行：中国农业银行西安灞桥区支行 银行账户：26120101040014137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西安市灞桥区人民政府红旗街道办事处</w:t>
      </w:r>
      <w:r>
        <w:rPr>
          <w:rFonts w:ascii="仿宋_GB2312" w:hAnsi="仿宋_GB2312" w:cs="仿宋_GB2312" w:eastAsia="仿宋_GB2312"/>
        </w:rPr>
        <w:t>和</w:t>
      </w:r>
      <w:r>
        <w:rPr>
          <w:rFonts w:ascii="仿宋_GB2312" w:hAnsi="仿宋_GB2312" w:cs="仿宋_GB2312" w:eastAsia="仿宋_GB2312"/>
        </w:rPr>
        <w:t>西安中泽国际招标有限公司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西安市灞桥区人民政府红旗街道办事处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西安中泽国际招标有限公司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西安市灞桥区人民政府红旗街道办事处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西安中泽国际招标有限公司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按照《财政部关于进一步加强政府采购需求和履约验收管理的指导意见》(财库(2016)205号)的要求及陕西省财政厅关于进一步加强政府采购履约验收管理有关事项的通知进行验收。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联系人：马迪</w:t>
      </w:r>
    </w:p>
    <w:p>
      <w:pPr>
        <w:pStyle w:val="null3"/>
      </w:pPr>
      <w:r>
        <w:rPr>
          <w:rFonts w:ascii="仿宋_GB2312" w:hAnsi="仿宋_GB2312" w:cs="仿宋_GB2312" w:eastAsia="仿宋_GB2312"/>
        </w:rPr>
        <w:t>联系电话：029-83520200</w:t>
      </w:r>
    </w:p>
    <w:p>
      <w:pPr>
        <w:pStyle w:val="null3"/>
      </w:pPr>
      <w:r>
        <w:rPr>
          <w:rFonts w:ascii="仿宋_GB2312" w:hAnsi="仿宋_GB2312" w:cs="仿宋_GB2312" w:eastAsia="仿宋_GB2312"/>
        </w:rPr>
        <w:t>地址：西安市灞桥区纺西街华夏世纪广场A座1501室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为保障街办干部职工身体健康，红旗街办拟决定采购第三方机构开展2025年干部职工健康体检服务。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干部职工健康体检服务采购项目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标的名称：干部职工健康体检服务采购项目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一、服务内容</w:t>
            </w:r>
          </w:p>
          <w:p>
            <w:pPr>
              <w:pStyle w:val="null3"/>
              <w:ind w:firstLine="400"/>
            </w:pPr>
            <w:r>
              <w:rPr>
                <w:rFonts w:ascii="仿宋_GB2312" w:hAnsi="仿宋_GB2312" w:cs="仿宋_GB2312" w:eastAsia="仿宋_GB2312"/>
                <w:sz w:val="20"/>
              </w:rPr>
              <w:t>为保障街办干部职工身体健康，红旗街办拟决定采购第三方机构开展</w:t>
            </w:r>
            <w:r>
              <w:rPr>
                <w:rFonts w:ascii="仿宋_GB2312" w:hAnsi="仿宋_GB2312" w:cs="仿宋_GB2312" w:eastAsia="仿宋_GB2312"/>
                <w:sz w:val="20"/>
              </w:rPr>
              <w:t>2025年干部职工健康体检服务。</w:t>
            </w:r>
            <w:r>
              <w:rPr>
                <w:rFonts w:ascii="仿宋_GB2312" w:hAnsi="仿宋_GB2312" w:cs="仿宋_GB2312" w:eastAsia="仿宋_GB2312"/>
                <w:sz w:val="20"/>
              </w:rPr>
              <w:t>体检人数约</w:t>
            </w:r>
            <w:r>
              <w:rPr>
                <w:rFonts w:ascii="仿宋_GB2312" w:hAnsi="仿宋_GB2312" w:cs="仿宋_GB2312" w:eastAsia="仿宋_GB2312"/>
                <w:sz w:val="20"/>
              </w:rPr>
              <w:t>322人，其中男士180人，女士142人。</w:t>
            </w:r>
          </w:p>
          <w:tbl>
            <w:tblPr>
              <w:tblBorders>
                <w:top w:val="none" w:color="000000" w:sz="4"/>
                <w:left w:val="none" w:color="000000" w:sz="4"/>
                <w:bottom w:val="none" w:color="000000" w:sz="4"/>
                <w:right w:val="none" w:color="000000" w:sz="4"/>
                <w:insideH w:val="none"/>
                <w:insideV w:val="none"/>
              </w:tblBorders>
            </w:tblPr>
            <w:tblGrid>
              <w:gridCol w:w="408"/>
              <w:gridCol w:w="436"/>
              <w:gridCol w:w="951"/>
              <w:gridCol w:w="403"/>
              <w:gridCol w:w="347"/>
            </w:tblGrid>
            <w:tr>
              <w:tc>
                <w:tcPr>
                  <w:tcW w:type="dxa" w:w="40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3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体检类别</w:t>
                  </w:r>
                </w:p>
              </w:tc>
              <w:tc>
                <w:tcPr>
                  <w:tcW w:type="dxa" w:w="9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体检项目</w:t>
                  </w:r>
                </w:p>
              </w:tc>
              <w:tc>
                <w:tcPr>
                  <w:tcW w:type="dxa" w:w="4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男</w:t>
                  </w:r>
                </w:p>
              </w:tc>
              <w:tc>
                <w:tcPr>
                  <w:tcW w:type="dxa" w:w="3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女</w:t>
                  </w:r>
                </w:p>
              </w:tc>
            </w:tr>
            <w:tr>
              <w:tc>
                <w:tcPr>
                  <w:tcW w:type="dxa" w:w="408"/>
                  <w:vMerge/>
                  <w:tcBorders>
                    <w:top w:val="single" w:color="000000" w:sz="4"/>
                    <w:left w:val="single" w:color="000000" w:sz="4"/>
                    <w:bottom w:val="single" w:color="000000" w:sz="4"/>
                    <w:right w:val="single" w:color="000000" w:sz="4"/>
                  </w:tcBorders>
                </w:tcPr>
                <w:p/>
              </w:tc>
              <w:tc>
                <w:tcPr>
                  <w:tcW w:type="dxa" w:w="436"/>
                  <w:vMerge/>
                  <w:tcBorders>
                    <w:top w:val="single" w:color="000000" w:sz="4"/>
                    <w:left w:val="none" w:color="000000" w:sz="4"/>
                    <w:bottom w:val="single" w:color="000000" w:sz="4"/>
                    <w:right w:val="single" w:color="000000" w:sz="4"/>
                  </w:tcBorders>
                </w:tcPr>
                <w:p/>
              </w:tc>
              <w:tc>
                <w:tcPr>
                  <w:tcW w:type="dxa" w:w="951"/>
                  <w:vMerge/>
                  <w:tcBorders>
                    <w:top w:val="single" w:color="000000" w:sz="4"/>
                    <w:left w:val="none" w:color="000000" w:sz="4"/>
                    <w:bottom w:val="single" w:color="000000" w:sz="4"/>
                    <w:right w:val="single" w:color="000000" w:sz="4"/>
                  </w:tcBorders>
                </w:tcPr>
                <w:p/>
              </w:tc>
              <w:tc>
                <w:tcPr>
                  <w:tcW w:type="dxa" w:w="403"/>
                  <w:vMerge/>
                  <w:tcBorders>
                    <w:top w:val="single" w:color="000000" w:sz="4"/>
                    <w:left w:val="none" w:color="000000" w:sz="4"/>
                    <w:bottom w:val="single" w:color="000000" w:sz="4"/>
                    <w:right w:val="single" w:color="000000" w:sz="4"/>
                  </w:tcBorders>
                </w:tcPr>
                <w:p/>
              </w:tc>
              <w:tc>
                <w:tcPr>
                  <w:tcW w:type="dxa" w:w="347"/>
                  <w:vMerge/>
                  <w:tcBorders>
                    <w:top w:val="single" w:color="000000" w:sz="4"/>
                    <w:left w:val="none" w:color="000000" w:sz="4"/>
                    <w:bottom w:val="single" w:color="000000" w:sz="4"/>
                    <w:right w:val="single" w:color="000000" w:sz="4"/>
                  </w:tcBorders>
                </w:tcP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基础检查</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身高、体重、血压</w:t>
                  </w:r>
                </w:p>
              </w:tc>
              <w:tc>
                <w:tcPr>
                  <w:tcW w:type="dxa" w:w="4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内科</w:t>
                  </w:r>
                </w:p>
              </w:tc>
              <w:tc>
                <w:tcPr>
                  <w:tcW w:type="dxa" w:w="403"/>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外科</w:t>
                  </w:r>
                </w:p>
              </w:tc>
              <w:tc>
                <w:tcPr>
                  <w:tcW w:type="dxa" w:w="403"/>
                  <w:vMerge/>
                  <w:tcBorders>
                    <w:top w:val="none" w:color="000000" w:sz="4"/>
                    <w:left w:val="non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检验项目</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血细胞分析</w:t>
                  </w:r>
                  <w:r>
                    <w:rPr>
                      <w:rFonts w:ascii="仿宋_GB2312" w:hAnsi="仿宋_GB2312" w:cs="仿宋_GB2312" w:eastAsia="仿宋_GB2312"/>
                      <w:sz w:val="20"/>
                      <w:color w:val="000000"/>
                    </w:rPr>
                    <w:t>+</w:t>
                  </w:r>
                  <w:r>
                    <w:rPr>
                      <w:rFonts w:ascii="仿宋_GB2312" w:hAnsi="仿宋_GB2312" w:cs="仿宋_GB2312" w:eastAsia="仿宋_GB2312"/>
                      <w:sz w:val="20"/>
                      <w:color w:val="000000"/>
                    </w:rPr>
                    <w:t>五分类</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尿液分析</w:t>
                  </w:r>
                  <w:r>
                    <w:rPr>
                      <w:rFonts w:ascii="仿宋_GB2312" w:hAnsi="仿宋_GB2312" w:cs="仿宋_GB2312" w:eastAsia="仿宋_GB2312"/>
                      <w:sz w:val="20"/>
                      <w:color w:val="000000"/>
                    </w:rPr>
                    <w:t>+</w:t>
                  </w:r>
                  <w:r>
                    <w:rPr>
                      <w:rFonts w:ascii="仿宋_GB2312" w:hAnsi="仿宋_GB2312" w:cs="仿宋_GB2312" w:eastAsia="仿宋_GB2312"/>
                      <w:sz w:val="20"/>
                      <w:color w:val="000000"/>
                    </w:rPr>
                    <w:t>沉渣镜检</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肝功九项</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肾功四项</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血脂四项</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空腹血糖</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心肌酶谱</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血同型半胱氨酸</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甲功七项</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肿瘤项目</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癌胚抗原定量</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甲胎蛋白定量</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总前列腺特异性抗原</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游离前列腺特异性抗原</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糖类抗原</w:t>
                  </w:r>
                  <w:r>
                    <w:rPr>
                      <w:rFonts w:ascii="仿宋_GB2312" w:hAnsi="仿宋_GB2312" w:cs="仿宋_GB2312" w:eastAsia="仿宋_GB2312"/>
                      <w:sz w:val="20"/>
                      <w:color w:val="000000"/>
                    </w:rPr>
                    <w:t>CA199</w:t>
                  </w:r>
                  <w:r>
                    <w:rPr>
                      <w:rFonts w:ascii="仿宋_GB2312" w:hAnsi="仿宋_GB2312" w:cs="仿宋_GB2312" w:eastAsia="仿宋_GB2312"/>
                      <w:sz w:val="20"/>
                      <w:color w:val="000000"/>
                    </w:rPr>
                    <w:t>（胰腺）</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糖类抗原</w:t>
                  </w:r>
                  <w:r>
                    <w:rPr>
                      <w:rFonts w:ascii="仿宋_GB2312" w:hAnsi="仿宋_GB2312" w:cs="仿宋_GB2312" w:eastAsia="仿宋_GB2312"/>
                      <w:sz w:val="20"/>
                      <w:color w:val="000000"/>
                    </w:rPr>
                    <w:t>CA724</w:t>
                  </w:r>
                  <w:r>
                    <w:rPr>
                      <w:rFonts w:ascii="仿宋_GB2312" w:hAnsi="仿宋_GB2312" w:cs="仿宋_GB2312" w:eastAsia="仿宋_GB2312"/>
                      <w:sz w:val="20"/>
                      <w:color w:val="000000"/>
                    </w:rPr>
                    <w:t>（消化道）</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糖类抗原</w:t>
                  </w:r>
                  <w:r>
                    <w:rPr>
                      <w:rFonts w:ascii="仿宋_GB2312" w:hAnsi="仿宋_GB2312" w:cs="仿宋_GB2312" w:eastAsia="仿宋_GB2312"/>
                      <w:sz w:val="20"/>
                      <w:color w:val="000000"/>
                    </w:rPr>
                    <w:t>CA153</w:t>
                  </w:r>
                  <w:r>
                    <w:rPr>
                      <w:rFonts w:ascii="仿宋_GB2312" w:hAnsi="仿宋_GB2312" w:cs="仿宋_GB2312" w:eastAsia="仿宋_GB2312"/>
                      <w:sz w:val="20"/>
                      <w:color w:val="000000"/>
                    </w:rPr>
                    <w:t>（乳腺）</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糖类抗原</w:t>
                  </w:r>
                  <w:r>
                    <w:rPr>
                      <w:rFonts w:ascii="仿宋_GB2312" w:hAnsi="仿宋_GB2312" w:cs="仿宋_GB2312" w:eastAsia="仿宋_GB2312"/>
                      <w:sz w:val="20"/>
                      <w:color w:val="000000"/>
                    </w:rPr>
                    <w:t>CA125(</w:t>
                  </w:r>
                  <w:r>
                    <w:rPr>
                      <w:rFonts w:ascii="仿宋_GB2312" w:hAnsi="仿宋_GB2312" w:cs="仿宋_GB2312" w:eastAsia="仿宋_GB2312"/>
                      <w:sz w:val="20"/>
                      <w:color w:val="000000"/>
                    </w:rPr>
                    <w:t>卵巢）</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彩超检查</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肝、胆、胰、脾</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男泌尿</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盆腔彩超（子宫附件</w:t>
                  </w:r>
                  <w:r>
                    <w:rPr>
                      <w:rFonts w:ascii="仿宋_GB2312" w:hAnsi="仿宋_GB2312" w:cs="仿宋_GB2312" w:eastAsia="仿宋_GB2312"/>
                      <w:sz w:val="20"/>
                      <w:color w:val="000000"/>
                    </w:rPr>
                    <w:t>+</w:t>
                  </w:r>
                  <w:r>
                    <w:rPr>
                      <w:rFonts w:ascii="仿宋_GB2312" w:hAnsi="仿宋_GB2312" w:cs="仿宋_GB2312" w:eastAsia="仿宋_GB2312"/>
                      <w:sz w:val="20"/>
                      <w:color w:val="000000"/>
                    </w:rPr>
                    <w:t>双肾）</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乳腺彩超</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甲状腺彩超</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颈部血管</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心脏彩超</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影像检查</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胸部</w:t>
                  </w:r>
                  <w:r>
                    <w:rPr>
                      <w:rFonts w:ascii="仿宋_GB2312" w:hAnsi="仿宋_GB2312" w:cs="仿宋_GB2312" w:eastAsia="仿宋_GB2312"/>
                      <w:sz w:val="20"/>
                      <w:color w:val="000000"/>
                    </w:rPr>
                    <w:t>CT</w:t>
                  </w:r>
                  <w:r>
                    <w:rPr>
                      <w:rFonts w:ascii="仿宋_GB2312" w:hAnsi="仿宋_GB2312" w:cs="仿宋_GB2312" w:eastAsia="仿宋_GB2312"/>
                      <w:sz w:val="20"/>
                      <w:color w:val="000000"/>
                    </w:rPr>
                    <w:t>（不含片）</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颅脑</w:t>
                  </w:r>
                  <w:r>
                    <w:rPr>
                      <w:rFonts w:ascii="仿宋_GB2312" w:hAnsi="仿宋_GB2312" w:cs="仿宋_GB2312" w:eastAsia="仿宋_GB2312"/>
                      <w:sz w:val="20"/>
                      <w:color w:val="000000"/>
                    </w:rPr>
                    <w:t>CT</w:t>
                  </w:r>
                  <w:r>
                    <w:rPr>
                      <w:rFonts w:ascii="仿宋_GB2312" w:hAnsi="仿宋_GB2312" w:cs="仿宋_GB2312" w:eastAsia="仿宋_GB2312"/>
                      <w:sz w:val="20"/>
                      <w:color w:val="000000"/>
                    </w:rPr>
                    <w:t>（不含片）</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功能检测</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十二通道心电图</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碳</w:t>
                  </w:r>
                  <w:r>
                    <w:rPr>
                      <w:rFonts w:ascii="仿宋_GB2312" w:hAnsi="仿宋_GB2312" w:cs="仿宋_GB2312" w:eastAsia="仿宋_GB2312"/>
                      <w:sz w:val="20"/>
                      <w:color w:val="000000"/>
                    </w:rPr>
                    <w:t>13</w:t>
                  </w:r>
                  <w:r>
                    <w:rPr>
                      <w:rFonts w:ascii="仿宋_GB2312" w:hAnsi="仿宋_GB2312" w:cs="仿宋_GB2312" w:eastAsia="仿宋_GB2312"/>
                      <w:sz w:val="20"/>
                      <w:color w:val="000000"/>
                    </w:rPr>
                    <w:t>尿素呼气试验</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妇科检查</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妇科常规检查</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阴道分泌物</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36"/>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液基细胞</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0"/>
                <w:color w:val="000000"/>
              </w:rPr>
              <w:t>二、</w:t>
            </w:r>
            <w:r>
              <w:rPr>
                <w:rFonts w:ascii="仿宋_GB2312" w:hAnsi="仿宋_GB2312" w:cs="仿宋_GB2312" w:eastAsia="仿宋_GB2312"/>
                <w:sz w:val="20"/>
                <w:b/>
              </w:rPr>
              <w:t>服务要求</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能够提供专场体检服务</w:t>
            </w:r>
            <w:r>
              <w:rPr>
                <w:rFonts w:ascii="仿宋_GB2312" w:hAnsi="仿宋_GB2312" w:cs="仿宋_GB2312" w:eastAsia="仿宋_GB2312"/>
                <w:sz w:val="20"/>
              </w:rPr>
              <w:t>,未发生过不良体检事件和重大医疗事故；</w:t>
            </w:r>
          </w:p>
          <w:p>
            <w:pPr>
              <w:pStyle w:val="null3"/>
              <w:jc w:val="left"/>
            </w:pPr>
            <w:r>
              <w:rPr>
                <w:rFonts w:ascii="仿宋_GB2312" w:hAnsi="仿宋_GB2312" w:cs="仿宋_GB2312" w:eastAsia="仿宋_GB2312"/>
                <w:sz w:val="20"/>
                <w:color w:val="000000"/>
              </w:rPr>
              <w:t>2、体检过程中所需要的设备和耗材由体检医疗中心提供；妇科检查和实验室检查均要求使用一次性材料。</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可针对体检人员中需求人群</w:t>
            </w:r>
            <w:r>
              <w:rPr>
                <w:rFonts w:ascii="仿宋_GB2312" w:hAnsi="仿宋_GB2312" w:cs="仿宋_GB2312" w:eastAsia="仿宋_GB2312"/>
                <w:sz w:val="20"/>
              </w:rPr>
              <w:t>,免费提供健康管理服务，并根据个人体检情况逐人提供个性化健康指导方案；可提供免费相关咨询服务；</w:t>
            </w:r>
          </w:p>
          <w:p>
            <w:pPr>
              <w:pStyle w:val="null3"/>
              <w:jc w:val="left"/>
            </w:pPr>
            <w:r>
              <w:rPr>
                <w:rFonts w:ascii="仿宋_GB2312" w:hAnsi="仿宋_GB2312" w:cs="仿宋_GB2312" w:eastAsia="仿宋_GB2312"/>
                <w:sz w:val="20"/>
                <w:color w:val="000000"/>
              </w:rPr>
              <w:t>4、提供免费营养早餐，对年老体弱、行动不便的人员提供必要协助。</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体检人员要求自行增加体检项目的，费用自理；</w:t>
            </w:r>
          </w:p>
          <w:p>
            <w:pPr>
              <w:pStyle w:val="null3"/>
              <w:jc w:val="left"/>
            </w:pPr>
            <w:r>
              <w:rPr>
                <w:rFonts w:ascii="仿宋_GB2312" w:hAnsi="仿宋_GB2312" w:cs="仿宋_GB2312" w:eastAsia="仿宋_GB2312"/>
                <w:sz w:val="20"/>
                <w:color w:val="000000"/>
              </w:rPr>
              <w:t>6、体检完成后</w:t>
            </w:r>
            <w:r>
              <w:rPr>
                <w:rFonts w:ascii="仿宋_GB2312" w:hAnsi="仿宋_GB2312" w:cs="仿宋_GB2312" w:eastAsia="仿宋_GB2312"/>
                <w:sz w:val="20"/>
              </w:rPr>
              <w:t>能提供纸质体检报告和体检数据查询，并提供健康分析报告</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7、体检医疗中心须建立电子健康档案，体检结束后10日内，</w:t>
            </w:r>
            <w:r>
              <w:rPr>
                <w:rFonts w:ascii="仿宋_GB2312" w:hAnsi="仿宋_GB2312" w:cs="仿宋_GB2312" w:eastAsia="仿宋_GB2312"/>
                <w:sz w:val="20"/>
              </w:rPr>
              <w:t>将个人体检报告按规定分类交付采购人，由采购人统一发给本单位人员</w:t>
            </w:r>
            <w:r>
              <w:rPr>
                <w:rFonts w:ascii="仿宋_GB2312" w:hAnsi="仿宋_GB2312" w:cs="仿宋_GB2312" w:eastAsia="仿宋_GB2312"/>
                <w:sz w:val="20"/>
              </w:rPr>
              <w:t>。</w:t>
            </w:r>
            <w:r>
              <w:rPr>
                <w:rFonts w:ascii="仿宋_GB2312" w:hAnsi="仿宋_GB2312" w:cs="仿宋_GB2312" w:eastAsia="仿宋_GB2312"/>
                <w:sz w:val="20"/>
                <w:color w:val="000000"/>
              </w:rPr>
              <w:t>体检报告须进行密封，体检结束</w:t>
            </w:r>
            <w:r>
              <w:rPr>
                <w:rFonts w:ascii="仿宋_GB2312" w:hAnsi="仿宋_GB2312" w:cs="仿宋_GB2312" w:eastAsia="仿宋_GB2312"/>
                <w:sz w:val="20"/>
                <w:color w:val="000000"/>
              </w:rPr>
              <w:t>30日内能按照采购人的要求提供团体健康分析报告；能够上门为采购人提供一至两次免费体检报告解析答疑和健康讲座。</w:t>
            </w:r>
          </w:p>
          <w:p>
            <w:pPr>
              <w:pStyle w:val="null3"/>
              <w:jc w:val="left"/>
            </w:pPr>
            <w:r>
              <w:rPr>
                <w:rFonts w:ascii="仿宋_GB2312" w:hAnsi="仿宋_GB2312" w:cs="仿宋_GB2312" w:eastAsia="仿宋_GB2312"/>
                <w:sz w:val="20"/>
                <w:color w:val="000000"/>
              </w:rPr>
              <w:t>8、体检过程中提供各类突发事件的应急预案及处置措施。</w:t>
            </w:r>
          </w:p>
          <w:p>
            <w:pPr>
              <w:pStyle w:val="null3"/>
            </w:pPr>
            <w:r>
              <w:rPr>
                <w:rFonts w:ascii="仿宋_GB2312" w:hAnsi="仿宋_GB2312" w:cs="仿宋_GB2312" w:eastAsia="仿宋_GB2312"/>
                <w:sz w:val="20"/>
                <w:color w:val="000000"/>
              </w:rPr>
              <w:t>9、统一安排车辆对体检人员安排车接车送。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商务要求</w:t>
            </w:r>
          </w:p>
          <w:p>
            <w:pPr>
              <w:pStyle w:val="null3"/>
              <w:jc w:val="both"/>
            </w:pPr>
            <w:r>
              <w:rPr>
                <w:rFonts w:ascii="仿宋_GB2312" w:hAnsi="仿宋_GB2312" w:cs="仿宋_GB2312" w:eastAsia="仿宋_GB2312"/>
                <w:sz w:val="20"/>
                <w:b/>
              </w:rPr>
              <w:t>1、服务期限：自合同签订之日起至2025年12月31日前完成体检。</w:t>
            </w:r>
          </w:p>
          <w:p>
            <w:pPr>
              <w:pStyle w:val="null3"/>
              <w:jc w:val="both"/>
            </w:pPr>
            <w:r>
              <w:rPr>
                <w:rFonts w:ascii="仿宋_GB2312" w:hAnsi="仿宋_GB2312" w:cs="仿宋_GB2312" w:eastAsia="仿宋_GB2312"/>
                <w:sz w:val="20"/>
                <w:b/>
              </w:rPr>
              <w:t>2、体检单价最高限价要求：男性体检单价上限金额为1500元/人，女性体检单价上限金额为1690元/人。</w:t>
            </w:r>
          </w:p>
          <w:p>
            <w:pPr>
              <w:pStyle w:val="null3"/>
            </w:pPr>
            <w:r>
              <w:rPr>
                <w:rFonts w:ascii="仿宋_GB2312" w:hAnsi="仿宋_GB2312" w:cs="仿宋_GB2312" w:eastAsia="仿宋_GB2312"/>
                <w:sz w:val="20"/>
                <w:b/>
              </w:rPr>
              <w:t>3、款项结算：体检服务完成后采购人向成交供应商一次性付款，采购人最终付款金额根据中标单价及实际体检人数进行据实结算。采购人向成交供应商付款前，成交供应商应向采购人开具符合采购人要求的发票，若因成交供应商未开具或逾期开具合法有效的发票，采购人有权顺延付款期限且不承担逾期付款责任 ，达到付款条件起30日内，支付合同结算金额的100.00%。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对本项目所配备人员数量合理、资质符合要求、经验丰富。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报价采用单价报价，供应商报价时为男性体检单价报价+女性体检单价报价之和。供应商所填报的单价不得超过体检单价的上限价（男性体检单价上限金额为1500元/人；女性体检单价上限金额为1690元/人），否则按废标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具体根据采购人安排时间确定。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以供应商提供的服务地点为准。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按照《财政部关于进一步加强政府采购需求和履约验收管理的指导意见》(财库(2016)205号)的要求及陕西省财政厅关于进一步加强政府采购履约验收管理有关事项的通知进行验收。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服务完成后采购人向成交供应商一次性付款，采购人最终付款金额根据单价及实际体检人数进行据实结算。采购人向成交供应商付款前，成交供应商应向采购人开具符合采购人要求的发票，若因成交供应商未开具或逾期开具合法有效的发票，采购人有权顺延付款期限且不承担逾期付款责任，达到付款条件起30日内，支付合同结算金额的100.00%。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供应商需在项目电子化交易系统中按要求上传相应证明文件并进行电子签章。注：根据“财办〔2022〕32号、财会〔2023〕15号”的规定，审计报告须在注册会计师行业统一监管平台进行自动赋码验证，未赋码的视为审计报告无效。</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注：根据“财办〔2022〕32号、财会〔2023〕15号”的规定，审计报告须在注册会计师行业统一监管平台进行自动赋码验证，未赋码的视为审计报告无效。</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税收缴纳证明提供磋商截止时间前一年内任意一个月的纳税证明或完税证明，依法免税的单位应提供相关证明材料；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社会保障资金缴纳证明提供磋商截止时间前一年内任意一个月的社会保障资金缴存单据或社保机构开具的社会保险参保缴费情况证明，依法不需要缴纳社会保障资金的单位应提供相关证明材料；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 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供应商需提供合法有效的《医疗机构执业许可证》和《放射诊疗许可证》；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网上查询结果为评审依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本项目不接受联合体磋商，单位负责人为同一人或者存在控股、管理关系的不同单位不得同时参加（提供书面承诺）。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分项报价表（附表）.docx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法定代表人身份证明及法定代表人授权委托书.docx 分项报价表（附表）.docx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（3）未超出最高限价。</w:t>
            </w:r>
          </w:p>
        </w:tc>
        <w:tc>
          <w:tcPr>
            <w:tcW w:type="dxa" w:w="1661"/>
          </w:tcPr>
          <w:p>
            <w:pPr>
              <w:pStyle w:val="null3"/>
            </w:pPr>
            <w:r>
              <w:rPr>
                <w:rFonts w:ascii="仿宋_GB2312" w:hAnsi="仿宋_GB2312" w:cs="仿宋_GB2312" w:eastAsia="仿宋_GB2312"/>
              </w:rPr>
              <w:t>分项报价表（附表）.docx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商务条款响应表及服务条款响应表.docx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针对本项目提出适用于本项目的总体方案，总体方案包括：①本项目整体统筹方案②具体体检的内容服务方案③确保体检空间，遵循“医检分开、相对独立”方案。④体检人员档案管理与移交方案。 二、评审标准 1、完整性：方案必须全面，对评审内容中的各项要求有详细描述；2、可实施性：切合本项目实际情况，提出步骤清晰、合理的方案；3、针对性：方案能够紧扣项目实际情况，内容科学合理。 三、赋分标准（满分15分） ①本项目整体统筹方案：每完全满足一个评审标准得2分，满分6分； ②具体体检的内容方案:每完全满足一个评审标准得1分，满分3分； ③确保体检空间，遵循“医检分开、相对独立”方案:每完全满足一个评审标准得1分，满分3分； ④体检人员档案管理与移交方案:每完全满足一个评审标准得1分，满分3分；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一、针对本项目拟投入的医疗配备情况，方案包括：①检测仪器等设备设施清单②设备先进及技术成熟程度③设备图片及说明 (包括：设备规格、型号、使用用途等）；二、评分标准：1.内容详细全面、证明资料充分，完全满足服务需求的计12分； 2.无欠缺但设备清单较少、证明资料不充分、基本满足服务需求的计8分；3.针对以上方案内容有1项欠缺的计4分；4.针对以上方案内容有2项欠缺的计1分；5.未提供本项内容的不计分。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体检人员配备</w:t>
            </w:r>
          </w:p>
        </w:tc>
        <w:tc>
          <w:tcPr>
            <w:tcW w:type="dxa" w:w="2492"/>
          </w:tcPr>
          <w:p>
            <w:pPr>
              <w:pStyle w:val="null3"/>
            </w:pPr>
            <w:r>
              <w:rPr>
                <w:rFonts w:ascii="仿宋_GB2312" w:hAnsi="仿宋_GB2312" w:cs="仿宋_GB2312" w:eastAsia="仿宋_GB2312"/>
              </w:rPr>
              <w:t>体检人员配备：1、项目负责人具有高级及以上职称的得3分。2、各专业主检医生中有1名中级及以上职称的得1分，满分3分。 3、结合本项目要求，配备满足体检需求相关服务资格、 责任心强的医护人员，提供完善的人员概况、人员分工及人员相关 资质证书或其他证明材料，能有效保证项目的实施。人员配备方案 完善合理，职责明确，满足采购人实际需求的计4分； 人员配备方案比较完善合理，职责比较明确，基本满足采购人实际需求的计2分；人员配备方案一般、职责划分不明确，响应性差的计1分。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一、供应商在本地有体检服务点，包括但不限于①具备独立的体检场所、体检空间和受检者专用通道，遵循“医检分开、相对独立”的原则，防止受检者与其他无关人员接触；②体检中心设有独立的妇科检查区域，人性化的女性专属通道，查体男女分区等 根据服务体检环境、布局合理程度。 二、评分标准：1.内容详细全面、架构完整、层次清楚、完善可行的计5分； 2.有1项欠缺或只有框架，措施内容或制度不详细的计3分； 3.针对以上内容，有2项欠缺的计1分；4.未提供本项内容的不计分。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针对本项目提供质量保证措施，内容包含①体检结果准确性的保证措施②各工作节点时效性的把控措施 二、评审标准 1、完整性：方案须全面，对评审内容中的各项要求有详细描述及说明 2、可实施性：切合本项目实际情况，实施步骤清晰、合理 3、针对性：方案能够紧扣项目实际情况，内容科学合理 三、赋分标准（满分6分） ①体检结果准确性的保证措施：每完全满足一项评审标准得1分，满分3分； ②各工作节点时效性的把控措施：每完全满足一项评审标准得1分，满分3分；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体检资料</w:t>
            </w:r>
          </w:p>
        </w:tc>
        <w:tc>
          <w:tcPr>
            <w:tcW w:type="dxa" w:w="2492"/>
          </w:tcPr>
          <w:p>
            <w:pPr>
              <w:pStyle w:val="null3"/>
            </w:pPr>
            <w:r>
              <w:rPr>
                <w:rFonts w:ascii="仿宋_GB2312" w:hAnsi="仿宋_GB2312" w:cs="仿宋_GB2312" w:eastAsia="仿宋_GB2312"/>
              </w:rPr>
              <w:t>全体人员体检完成后须向采购人提供以下资料：①体检结果分析、②健康风险评估报告、③治疗建议、④被检人员的体检结果详细资料及电子档案。上述体检资料完整，内容表述清晰，每项得2分，共8分。未提供或其他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专业意见及治疗方案</w:t>
            </w:r>
          </w:p>
        </w:tc>
        <w:tc>
          <w:tcPr>
            <w:tcW w:type="dxa" w:w="2492"/>
          </w:tcPr>
          <w:p>
            <w:pPr>
              <w:pStyle w:val="null3"/>
            </w:pPr>
            <w:r>
              <w:rPr>
                <w:rFonts w:ascii="仿宋_GB2312" w:hAnsi="仿宋_GB2312" w:cs="仿宋_GB2312" w:eastAsia="仿宋_GB2312"/>
              </w:rPr>
              <w:t>供应商可根据体检报告中出现的异常指标出具详细的专业意见及治疗方案，根据响应程度赋分。 ①专业意见及治疗方案针对性、可行性强得6分； ②专业意见及治疗方案针对性、可行性一般得4分； ③专业意见及治疗方案针对性、可行性较差得2分；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供应商针对本项目提供应急方案，方案需包含①突发疾病预案、②人员集中排队等候时间长、③设备故障应急预案等 3个方面的内容进行评审。 以上各项方案内容全面详细、阐述条理清晰详尽、符合本项目采购需求，能有效保障本项目实施的得9分，每有一项方案缺失扣3分，每一项方案内容存在缺陷，按以下说明扣分。说明：缺陷是指①内容不合理、虽有内容但内容稀疏、不完善、且内容表述前后不一致，扣1分；②套用其他项目方案或与项目需求不匹配及其他不利于项目实施的等任意一种情形，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供应商须保证参检人员所有信息数据不得外泄，提供体检过程中个人隐私信息保密方案及体检结果保密措施。 ①个人信息保密方案及结果保密措施完善、科学合理、可行性强，实施过程及成果安全性高，得3分； ②个人信息保密方案及结果保密措施简单，实施过程及成果安全性不足，得1分； ③未提供或其他不得分。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体检后续服务</w:t>
            </w:r>
          </w:p>
        </w:tc>
        <w:tc>
          <w:tcPr>
            <w:tcW w:type="dxa" w:w="2492"/>
          </w:tcPr>
          <w:p>
            <w:pPr>
              <w:pStyle w:val="null3"/>
            </w:pPr>
            <w:r>
              <w:rPr>
                <w:rFonts w:ascii="仿宋_GB2312" w:hAnsi="仿宋_GB2312" w:cs="仿宋_GB2312" w:eastAsia="仿宋_GB2312"/>
              </w:rPr>
              <w:t>针对本项目提供详细的后续服务方案及相关承诺，内容应包括：①体检报告移交及时性；②体检报告的准确性（需保证后期可使用体检报告直接进行就医）；③配套服务（包括但不限于体检结果详细解读、健康讲座等）上述内容完整合理、表述清晰，得6分，每缺一项内容扣2分，每有一项内容不贴合本项目实际需求或有缺陷的扣1分，扣完为止。 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提供2022年1月1日至磋商截止日类似项目业绩，每提供一项得2.5分，最高得10分。业绩证明（以合同签订时间为准，供应商应在响应文件中提供业绩合同扫描件）。 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经初审合格的磋商响应文件，其磋商报价为有效磋商报价,满足磋商文件实质性要求且最终报价最低（男性体检单价报价+女性体检单价报价之和）的供应商的价格为磋商基准价，其价格分为满分10分。 磋商报价得分=（磋商基准价/最终磋商报价）×10。 注：磋商报价不完整的，不进入磋商基准价的计算，本项得0分。 重要说明：1.评审时以供应商所填报的“男性体检单价响应金额+女性体检单价响应金额”之和参与价格分的评审；2.本项目体检单价采购上限价要求为：（1）男性体检单价上限金额为1500元/人； （2）女性体检单价上限金额为1690元/人。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分项报价表（附表）.docx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未预留份额专门面向中小企业采购的采购项目，对符合《政府采购促进中小企业发展管理办法》（财库〔2020〕46号）规定的小微企业报价给予10.00%的扣除，用扣除后的价格参加评审。承接本项目的供应商符合相应条件时，给予10.00%的价格扣除，即：评标价=最后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详见附件：分项报价表（附表）.docx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详见附件：商务条款响应表及服务条款响应表.docx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