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32"/>
          <w:szCs w:val="32"/>
          <w:highlight w:val="none"/>
        </w:rPr>
      </w:pPr>
      <w:r>
        <w:rPr>
          <w:rStyle w:val="18"/>
          <w:rFonts w:hint="eastAsia" w:ascii="宋体" w:hAnsi="宋体" w:eastAsia="宋体" w:cs="宋体"/>
          <w:color w:val="auto"/>
          <w:sz w:val="32"/>
          <w:szCs w:val="32"/>
          <w:highlight w:val="none"/>
        </w:rPr>
        <w:t>供应商资格证明文件</w:t>
      </w:r>
      <w:bookmarkStart w:id="0" w:name="_Toc495681532"/>
      <w:bookmarkStart w:id="1" w:name="_Toc495681251"/>
      <w:bookmarkStart w:id="2" w:name="_Toc31488"/>
      <w:bookmarkStart w:id="3" w:name="_Toc27035"/>
      <w:bookmarkStart w:id="4" w:name="_Toc495908047"/>
      <w:bookmarkStart w:id="5" w:name="_Toc495681405"/>
      <w:bookmarkStart w:id="6" w:name="_Toc495671262"/>
      <w:bookmarkStart w:id="7" w:name="_Toc495908056"/>
      <w:bookmarkStart w:id="8" w:name="_Toc495681541"/>
      <w:bookmarkStart w:id="9" w:name="_Toc495681260"/>
      <w:bookmarkStart w:id="10" w:name="_Toc495671271"/>
      <w:bookmarkStart w:id="11" w:name="_Toc495681414"/>
    </w:p>
    <w:p w14:paraId="60AFDE1B">
      <w:pPr>
        <w:spacing w:line="360" w:lineRule="auto"/>
        <w:jc w:val="center"/>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供应商具有独立承担民事责任的能力：提供合格有效的法人或者其他组织的营业执照、事业单位法人证等证明文件或自然人的身份证明</w:t>
      </w:r>
      <w:r>
        <w:rPr>
          <w:rFonts w:hint="eastAsia" w:ascii="宋体" w:hAnsi="宋体" w:cs="宋体"/>
          <w:b/>
          <w:bCs/>
          <w:color w:val="auto"/>
          <w:sz w:val="24"/>
          <w:szCs w:val="24"/>
          <w:highlight w:val="none"/>
          <w:lang w:eastAsia="zh-CN"/>
        </w:rPr>
        <w:t>。</w:t>
      </w:r>
    </w:p>
    <w:p w14:paraId="5DE64413">
      <w:pPr>
        <w:pStyle w:val="9"/>
        <w:adjustRightInd w:val="0"/>
        <w:snapToGrid w:val="0"/>
        <w:spacing w:line="360" w:lineRule="auto"/>
        <w:rPr>
          <w:rFonts w:hint="eastAsia" w:ascii="宋体" w:hAnsi="宋体" w:eastAsia="宋体" w:cs="宋体"/>
          <w:color w:val="auto"/>
          <w:highlight w:val="none"/>
        </w:rPr>
      </w:pPr>
    </w:p>
    <w:p w14:paraId="01EE249B">
      <w:pPr>
        <w:pStyle w:val="9"/>
        <w:adjustRightInd w:val="0"/>
        <w:snapToGrid w:val="0"/>
        <w:spacing w:line="360" w:lineRule="auto"/>
        <w:rPr>
          <w:rFonts w:hint="eastAsia" w:ascii="宋体" w:hAnsi="宋体" w:eastAsia="宋体" w:cs="宋体"/>
          <w:color w:val="auto"/>
          <w:highlight w:val="none"/>
        </w:rPr>
      </w:pPr>
    </w:p>
    <w:bookmarkEnd w:id="0"/>
    <w:bookmarkEnd w:id="1"/>
    <w:bookmarkEnd w:id="2"/>
    <w:bookmarkEnd w:id="3"/>
    <w:bookmarkEnd w:id="4"/>
    <w:bookmarkEnd w:id="5"/>
    <w:bookmarkEnd w:id="6"/>
    <w:p w14:paraId="419643DC">
      <w:pPr>
        <w:spacing w:line="360" w:lineRule="auto"/>
        <w:ind w:firstLine="480" w:firstLineChars="200"/>
        <w:rPr>
          <w:rFonts w:hint="eastAsia" w:ascii="宋体" w:hAnsi="宋体" w:eastAsia="宋体" w:cs="宋体"/>
          <w:color w:val="auto"/>
          <w:sz w:val="24"/>
          <w:szCs w:val="24"/>
          <w:highlight w:val="none"/>
        </w:rPr>
      </w:pPr>
    </w:p>
    <w:p w14:paraId="1E60F713">
      <w:pPr>
        <w:rPr>
          <w:rFonts w:hint="eastAsia" w:ascii="宋体" w:hAnsi="宋体" w:eastAsia="宋体" w:cs="宋体"/>
          <w:b/>
          <w:bCs/>
          <w:color w:val="auto"/>
          <w:sz w:val="24"/>
          <w:szCs w:val="24"/>
          <w:highlight w:val="none"/>
        </w:rPr>
      </w:pPr>
      <w:bookmarkStart w:id="12" w:name="_Toc894"/>
      <w:r>
        <w:rPr>
          <w:rFonts w:hint="eastAsia" w:ascii="宋体" w:hAnsi="宋体" w:eastAsia="宋体" w:cs="宋体"/>
          <w:b/>
          <w:bCs/>
          <w:color w:val="auto"/>
          <w:sz w:val="24"/>
          <w:szCs w:val="24"/>
          <w:highlight w:val="none"/>
        </w:rPr>
        <w:br w:type="page"/>
      </w:r>
    </w:p>
    <w:p w14:paraId="084A33A6">
      <w:pPr>
        <w:spacing w:line="360" w:lineRule="auto"/>
        <w:ind w:firstLine="562" w:firstLineChars="200"/>
        <w:jc w:val="center"/>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提供202</w:t>
      </w: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年度经审计的财务报告（成立时间至磋商截止时间不足一年的可提供成立后任意时段的资产负债表）或磋商截止时间前六个月内其基本账户银行出具的资信证明或政府采购信用担保机构出具的担保函。</w:t>
      </w:r>
    </w:p>
    <w:p w14:paraId="4E297C87">
      <w:pPr>
        <w:spacing w:line="360" w:lineRule="auto"/>
        <w:ind w:firstLine="480"/>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注：根据“财办〔2022〕32号、财会〔2023〕15号”的规定，审计报告须在注册会计师行业统一监管平台进行自动赋码验证，未赋码的视为审计报告无效。</w:t>
      </w:r>
    </w:p>
    <w:p w14:paraId="00D47A61">
      <w:pPr>
        <w:pStyle w:val="6"/>
        <w:rPr>
          <w:rFonts w:hint="eastAsia"/>
        </w:rPr>
      </w:pPr>
    </w:p>
    <w:p w14:paraId="624604F8">
      <w:pPr>
        <w:pageBreakBefore/>
        <w:numPr>
          <w:ilvl w:val="0"/>
          <w:numId w:val="2"/>
        </w:numPr>
        <w:spacing w:line="360" w:lineRule="auto"/>
        <w:jc w:val="center"/>
        <w:rPr>
          <w:rFonts w:hint="eastAsia" w:ascii="宋体" w:hAnsi="宋体" w:eastAsia="宋体" w:cs="宋体"/>
          <w:b/>
          <w:color w:val="auto"/>
          <w:sz w:val="28"/>
          <w:szCs w:val="28"/>
          <w:highlight w:val="none"/>
        </w:rPr>
      </w:pPr>
      <w:bookmarkStart w:id="14" w:name="_Toc31527"/>
      <w:bookmarkStart w:id="15" w:name="_Toc28901"/>
      <w:bookmarkStart w:id="16" w:name="_Toc1093"/>
      <w:r>
        <w:rPr>
          <w:rFonts w:hint="eastAsia" w:ascii="宋体" w:hAnsi="宋体" w:eastAsia="宋体" w:cs="宋体"/>
          <w:b/>
          <w:color w:val="auto"/>
          <w:sz w:val="28"/>
          <w:szCs w:val="28"/>
          <w:highlight w:val="none"/>
        </w:rPr>
        <w:t>有依法缴纳税收的良好记录</w:t>
      </w:r>
    </w:p>
    <w:p w14:paraId="5F31975A">
      <w:pPr>
        <w:pStyle w:val="6"/>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4"/>
        </w:rPr>
      </w:pPr>
      <w:r>
        <w:rPr>
          <w:rFonts w:hint="eastAsia"/>
          <w:sz w:val="28"/>
          <w:szCs w:val="24"/>
        </w:rPr>
        <w:t>税收缴纳证明提供磋商截止时间前一年内任意一个月的纳税证明或完税证明，依法免税的单位应提供相关证明材料。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社会保障资金缴纳证明提供磋商截止时间前一年内任意一个月的社会保障资金缴存单据或社保机构开具的社会保险参保缴费情况证明，依法不需要缴纳社会保障资金的单位应提供相关证明材料。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5、</w:t>
      </w:r>
      <w:r>
        <w:rPr>
          <w:rFonts w:hint="eastAsia" w:ascii="宋体" w:hAnsi="宋体" w:eastAsia="宋体" w:cs="宋体"/>
          <w:b/>
          <w:color w:val="auto"/>
          <w:sz w:val="32"/>
          <w:szCs w:val="32"/>
          <w:highlight w:val="none"/>
        </w:rPr>
        <w:t>供应商参加政府采购活动前三年内在经营活动中没有重大违法记录</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）的投标供应商，在此郑重声明：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6"/>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6"/>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具备履行合同所必需的设备和专业技术能力</w:t>
      </w:r>
    </w:p>
    <w:p w14:paraId="224AF68B">
      <w:pPr>
        <w:spacing w:line="360" w:lineRule="auto"/>
        <w:rPr>
          <w:rFonts w:hint="eastAsia" w:ascii="宋体" w:hAnsi="宋体" w:eastAsia="宋体" w:cs="宋体"/>
          <w:color w:val="auto"/>
          <w:spacing w:val="4"/>
          <w:sz w:val="24"/>
          <w:szCs w:val="24"/>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29718"/>
      <w:bookmarkStart w:id="19" w:name="_Toc12682"/>
      <w:r>
        <w:rPr>
          <w:rFonts w:hint="eastAsia" w:ascii="宋体" w:hAnsi="宋体" w:eastAsia="宋体" w:cs="宋体"/>
          <w:b/>
          <w:bCs/>
          <w:color w:val="auto"/>
          <w:sz w:val="28"/>
          <w:szCs w:val="28"/>
          <w:highlight w:val="none"/>
        </w:rPr>
        <w:br w:type="page"/>
      </w:r>
    </w:p>
    <w:p w14:paraId="2613AF59">
      <w:pPr>
        <w:numPr>
          <w:ilvl w:val="0"/>
          <w:numId w:val="3"/>
        </w:numPr>
        <w:spacing w:line="360" w:lineRule="auto"/>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供应商资质</w:t>
      </w:r>
    </w:p>
    <w:p w14:paraId="57C6EA2B">
      <w:pPr>
        <w:numPr>
          <w:numId w:val="0"/>
        </w:numPr>
        <w:spacing w:line="360" w:lineRule="auto"/>
        <w:ind w:firstLine="560" w:firstLineChars="200"/>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供应商需提供合法有效的《医疗机构执业许可证》和《放射诊疗许可证》</w:t>
      </w:r>
      <w:r>
        <w:rPr>
          <w:rFonts w:hint="eastAsia" w:ascii="宋体" w:hAnsi="宋体" w:cs="宋体"/>
          <w:b w:val="0"/>
          <w:bCs w:val="0"/>
          <w:color w:val="auto"/>
          <w:sz w:val="28"/>
          <w:szCs w:val="28"/>
          <w:highlight w:val="none"/>
          <w:lang w:val="en-US" w:eastAsia="zh-CN"/>
        </w:rPr>
        <w:t>。</w:t>
      </w:r>
    </w:p>
    <w:p w14:paraId="3C525E80">
      <w:pP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br w:type="page"/>
      </w:r>
    </w:p>
    <w:p w14:paraId="12BF95F6">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8、</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sz w:val="24"/>
          <w:lang w:val="en-US" w:eastAsia="zh-CN"/>
        </w:rPr>
      </w:pPr>
      <w:r>
        <w:rPr>
          <w:rFonts w:hint="eastAsia" w:ascii="宋体" w:hAnsi="宋体" w:cs="宋体"/>
          <w:b/>
          <w:bCs w:val="0"/>
          <w:sz w:val="28"/>
          <w:szCs w:val="28"/>
          <w:lang w:val="en-US" w:eastAsia="zh-CN"/>
        </w:rPr>
        <w:t>9</w:t>
      </w:r>
      <w:r>
        <w:rPr>
          <w:rFonts w:hint="eastAsia" w:ascii="宋体" w:hAnsi="宋体" w:eastAsia="宋体" w:cs="宋体"/>
          <w:b/>
          <w:bCs w:val="0"/>
          <w:sz w:val="28"/>
          <w:szCs w:val="28"/>
          <w:lang w:val="en-US" w:eastAsia="zh-CN"/>
        </w:rPr>
        <w:t>、</w:t>
      </w:r>
      <w:bookmarkStart w:id="20" w:name="OLE_LINK13"/>
      <w:bookmarkStart w:id="21" w:name="OLE_LINK14"/>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）采购活动，服务全部由符合政策要求的中小企业承接。相关企业（含联合体中的中小企业、签订分包意向协议的中小企业）的具体情况如下：</w:t>
      </w:r>
    </w:p>
    <w:p w14:paraId="46D4482F">
      <w:pPr>
        <w:spacing w:line="360" w:lineRule="auto"/>
        <w:ind w:firstLine="480" w:firstLineChars="200"/>
        <w:jc w:val="both"/>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p>
    <w:p w14:paraId="54028F7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r>
        <w:rPr>
          <w:rFonts w:hint="eastAsia" w:ascii="宋体" w:hAnsi="宋体" w:eastAsia="宋体" w:cs="宋体"/>
          <w:color w:val="auto"/>
          <w:sz w:val="24"/>
          <w:szCs w:val="24"/>
          <w:highlight w:val="none"/>
        </w:rPr>
        <w:t>；</w:t>
      </w:r>
    </w:p>
    <w:p w14:paraId="099F7B6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2AA2019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73A1E73">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6501092">
      <w:pPr>
        <w:spacing w:line="560" w:lineRule="exact"/>
        <w:ind w:firstLine="480" w:firstLineChars="200"/>
        <w:jc w:val="both"/>
        <w:outlineLvl w:val="9"/>
        <w:rPr>
          <w:rFonts w:hint="eastAsia" w:ascii="宋体" w:hAnsi="宋体" w:eastAsia="宋体" w:cs="宋体"/>
          <w:color w:val="auto"/>
          <w:sz w:val="24"/>
          <w:szCs w:val="24"/>
          <w:highlight w:val="none"/>
        </w:rPr>
      </w:pPr>
    </w:p>
    <w:p w14:paraId="043D57F2">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4F4E83AF">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99671D9">
      <w:pPr>
        <w:pStyle w:val="9"/>
        <w:spacing w:line="360" w:lineRule="auto"/>
        <w:outlineLvl w:val="9"/>
        <w:rPr>
          <w:rFonts w:hint="eastAsia" w:ascii="宋体" w:hAnsi="宋体" w:eastAsia="宋体" w:cs="宋体"/>
          <w:color w:val="auto"/>
          <w:sz w:val="24"/>
          <w:szCs w:val="24"/>
          <w:highlight w:val="none"/>
        </w:rPr>
      </w:pPr>
    </w:p>
    <w:p w14:paraId="1DD901C1">
      <w:pPr>
        <w:pStyle w:val="9"/>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授权用投标专用章的，与公章具有相同法律效力。</w:t>
      </w:r>
    </w:p>
    <w:p w14:paraId="6BD0F3BB">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从业人员、营业收入、资产总额填报上一年度数据，无上一年度数据的新成立企业可不填报。</w:t>
      </w:r>
    </w:p>
    <w:p w14:paraId="56364A25">
      <w:pPr>
        <w:pStyle w:val="9"/>
        <w:numPr>
          <w:ilvl w:val="0"/>
          <w:numId w:val="0"/>
        </w:numPr>
        <w:spacing w:line="360" w:lineRule="auto"/>
        <w:ind w:firstLine="480" w:firstLineChars="200"/>
        <w:rPr>
          <w:rFonts w:hint="eastAsia" w:ascii="宋体" w:hAnsi="宋体" w:eastAsia="宋体" w:cs="宋体"/>
          <w:sz w:val="24"/>
          <w:szCs w:val="24"/>
          <w:lang w:val="en-US" w:eastAsia="zh-CN"/>
        </w:rPr>
      </w:pPr>
    </w:p>
    <w:p w14:paraId="6E0EA7C1">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E71195A">
      <w:pPr>
        <w:pStyle w:val="9"/>
        <w:spacing w:line="336" w:lineRule="auto"/>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20"/>
      <w:bookmarkEnd w:id="21"/>
    </w:p>
    <w:p w14:paraId="69E67451">
      <w:pPr>
        <w:pStyle w:val="9"/>
        <w:spacing w:line="336" w:lineRule="auto"/>
        <w:jc w:val="center"/>
        <w:rPr>
          <w:rFonts w:hint="eastAsia" w:ascii="宋体" w:hAnsi="宋体" w:eastAsia="宋体" w:cs="宋体"/>
          <w:spacing w:val="6"/>
          <w:sz w:val="30"/>
          <w:szCs w:val="30"/>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6"/>
        <w:tabs>
          <w:tab w:val="left" w:pos="567"/>
        </w:tabs>
        <w:rPr>
          <w:rFonts w:hint="eastAsia" w:ascii="宋体" w:hAnsi="宋体" w:eastAsia="宋体" w:cs="宋体"/>
          <w:color w:val="000000"/>
          <w:sz w:val="28"/>
          <w:szCs w:val="28"/>
        </w:rPr>
      </w:pPr>
    </w:p>
    <w:p w14:paraId="44F5B216">
      <w:pPr>
        <w:rPr>
          <w:rFonts w:hint="eastAsia" w:ascii="宋体" w:hAnsi="宋体" w:eastAsia="宋体" w:cs="宋体"/>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6"/>
        <w:tabs>
          <w:tab w:val="left" w:pos="567"/>
        </w:tabs>
        <w:rPr>
          <w:rFonts w:hint="eastAsia" w:ascii="宋体" w:hAnsi="宋体" w:eastAsia="宋体" w:cs="宋体"/>
          <w:color w:val="000000"/>
          <w:sz w:val="28"/>
          <w:szCs w:val="28"/>
        </w:rPr>
      </w:pPr>
    </w:p>
    <w:p w14:paraId="7051A77A">
      <w:pPr>
        <w:rPr>
          <w:rFonts w:hint="eastAsia" w:ascii="宋体" w:hAnsi="宋体" w:eastAsia="宋体" w:cs="宋体"/>
        </w:rPr>
      </w:pPr>
    </w:p>
    <w:p w14:paraId="6DC930DF">
      <w:pPr>
        <w:pStyle w:val="9"/>
        <w:spacing w:line="336" w:lineRule="auto"/>
        <w:ind w:firstLine="420" w:firstLineChars="200"/>
        <w:rPr>
          <w:rFonts w:hint="eastAsia" w:ascii="宋体" w:hAnsi="宋体" w:eastAsia="宋体" w:cs="宋体"/>
          <w:szCs w:val="32"/>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8184C9">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769EC654">
      <w:pPr>
        <w:pStyle w:val="9"/>
        <w:numPr>
          <w:ilvl w:val="0"/>
          <w:numId w:val="0"/>
        </w:numPr>
        <w:spacing w:line="336" w:lineRule="auto"/>
        <w:ind w:firstLine="643" w:firstLineChars="200"/>
        <w:rPr>
          <w:rFonts w:hint="eastAsia" w:ascii="宋体" w:hAnsi="宋体" w:eastAsia="宋体" w:cs="宋体"/>
          <w:b/>
          <w:bCs/>
          <w:color w:val="000000"/>
          <w:kern w:val="0"/>
          <w:sz w:val="32"/>
          <w:szCs w:val="32"/>
        </w:rPr>
      </w:pPr>
    </w:p>
    <w:p w14:paraId="5B53D8BE">
      <w:pPr>
        <w:pStyle w:val="6"/>
        <w:tabs>
          <w:tab w:val="left" w:pos="567"/>
        </w:tabs>
        <w:rPr>
          <w:rFonts w:hint="eastAsia" w:ascii="宋体" w:hAnsi="宋体" w:eastAsia="宋体" w:cs="宋体"/>
          <w:b/>
          <w:bCs/>
          <w:color w:val="000000"/>
          <w:kern w:val="0"/>
          <w:sz w:val="32"/>
          <w:szCs w:val="32"/>
        </w:rPr>
      </w:pPr>
    </w:p>
    <w:p w14:paraId="78D596EC">
      <w:pPr>
        <w:spacing w:line="500" w:lineRule="atLeast"/>
        <w:jc w:val="center"/>
        <w:outlineLvl w:val="2"/>
        <w:rPr>
          <w:rFonts w:hint="eastAsia" w:ascii="宋体" w:hAnsi="宋体" w:eastAsia="宋体" w:cs="宋体"/>
          <w:color w:val="000000"/>
          <w:sz w:val="28"/>
        </w:rPr>
      </w:pPr>
      <w:bookmarkStart w:id="22" w:name="_Toc8116"/>
      <w:bookmarkStart w:id="23" w:name="_Toc6754"/>
      <w:bookmarkStart w:id="24" w:name="_Toc95206822"/>
      <w:bookmarkStart w:id="25" w:name="_Toc8762"/>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04" w:firstLineChars="200"/>
        <w:jc w:val="center"/>
        <w:rPr>
          <w:rFonts w:hint="eastAsia" w:ascii="宋体" w:hAnsi="宋体" w:eastAsia="宋体" w:cs="宋体"/>
          <w:spacing w:val="6"/>
          <w:sz w:val="24"/>
        </w:rPr>
      </w:pPr>
    </w:p>
    <w:p w14:paraId="2C71E898">
      <w:pPr>
        <w:pStyle w:val="6"/>
        <w:tabs>
          <w:tab w:val="left" w:pos="567"/>
        </w:tabs>
        <w:rPr>
          <w:rFonts w:hint="eastAsia" w:ascii="宋体" w:hAnsi="宋体" w:eastAsia="宋体" w:cs="宋体"/>
          <w:spacing w:val="6"/>
          <w:sz w:val="24"/>
        </w:rPr>
      </w:pPr>
    </w:p>
    <w:p w14:paraId="1CDC6125">
      <w:pPr>
        <w:rPr>
          <w:rFonts w:hint="eastAsia" w:ascii="宋体" w:hAnsi="宋体" w:eastAsia="宋体" w:cs="宋体"/>
          <w:spacing w:val="6"/>
          <w:sz w:val="24"/>
        </w:rPr>
      </w:pPr>
    </w:p>
    <w:p w14:paraId="6A102897">
      <w:pPr>
        <w:pStyle w:val="6"/>
        <w:tabs>
          <w:tab w:val="left" w:pos="567"/>
        </w:tabs>
        <w:rPr>
          <w:rFonts w:hint="eastAsia" w:ascii="宋体" w:hAnsi="宋体" w:eastAsia="宋体" w:cs="宋体"/>
          <w:spacing w:val="6"/>
          <w:sz w:val="24"/>
        </w:rPr>
      </w:pPr>
    </w:p>
    <w:p w14:paraId="7E484924">
      <w:pPr>
        <w:rPr>
          <w:rFonts w:hint="eastAsia" w:ascii="宋体" w:hAnsi="宋体" w:eastAsia="宋体" w:cs="宋体"/>
          <w:spacing w:val="6"/>
          <w:sz w:val="24"/>
        </w:rPr>
      </w:pPr>
    </w:p>
    <w:p w14:paraId="37D29BB5">
      <w:pPr>
        <w:pStyle w:val="6"/>
        <w:tabs>
          <w:tab w:val="left" w:pos="567"/>
        </w:tabs>
        <w:rPr>
          <w:rFonts w:hint="eastAsia" w:ascii="宋体" w:hAnsi="宋体" w:eastAsia="宋体" w:cs="宋体"/>
          <w:spacing w:val="6"/>
          <w:sz w:val="24"/>
        </w:rPr>
      </w:pPr>
    </w:p>
    <w:p w14:paraId="1AF886FE">
      <w:pPr>
        <w:rPr>
          <w:rFonts w:hint="eastAsia" w:ascii="宋体" w:hAnsi="宋体" w:eastAsia="宋体" w:cs="宋体"/>
          <w:spacing w:val="6"/>
          <w:sz w:val="24"/>
        </w:rPr>
      </w:pPr>
    </w:p>
    <w:p w14:paraId="4AC6EC85">
      <w:pPr>
        <w:pStyle w:val="6"/>
        <w:tabs>
          <w:tab w:val="left" w:pos="567"/>
        </w:tabs>
        <w:rPr>
          <w:rFonts w:hint="eastAsia" w:ascii="宋体" w:hAnsi="宋体" w:eastAsia="宋体" w:cs="宋体"/>
          <w:spacing w:val="6"/>
          <w:sz w:val="24"/>
        </w:rPr>
      </w:pPr>
    </w:p>
    <w:p w14:paraId="2AFD8537">
      <w:pPr>
        <w:rPr>
          <w:rFonts w:hint="eastAsia" w:ascii="宋体" w:hAnsi="宋体" w:eastAsia="宋体" w:cs="宋体"/>
          <w:spacing w:val="6"/>
          <w:sz w:val="24"/>
        </w:rPr>
      </w:pPr>
    </w:p>
    <w:p w14:paraId="1E6AB018">
      <w:pPr>
        <w:pStyle w:val="6"/>
        <w:tabs>
          <w:tab w:val="left" w:pos="567"/>
        </w:tabs>
        <w:rPr>
          <w:rFonts w:hint="eastAsia" w:ascii="宋体" w:hAnsi="宋体" w:eastAsia="宋体" w:cs="宋体"/>
          <w:spacing w:val="6"/>
          <w:sz w:val="24"/>
        </w:rPr>
      </w:pPr>
    </w:p>
    <w:p w14:paraId="73C5395F">
      <w:pPr>
        <w:rPr>
          <w:rFonts w:hint="eastAsia" w:ascii="宋体" w:hAnsi="宋体" w:eastAsia="宋体" w:cs="宋体"/>
          <w:spacing w:val="6"/>
          <w:sz w:val="24"/>
        </w:rPr>
      </w:pPr>
    </w:p>
    <w:p w14:paraId="4A63E6FC">
      <w:pPr>
        <w:pStyle w:val="6"/>
        <w:tabs>
          <w:tab w:val="left" w:pos="567"/>
        </w:tabs>
        <w:rPr>
          <w:rFonts w:hint="eastAsia" w:ascii="宋体" w:hAnsi="宋体" w:eastAsia="宋体" w:cs="宋体"/>
          <w:spacing w:val="6"/>
          <w:sz w:val="24"/>
        </w:rPr>
      </w:pPr>
    </w:p>
    <w:p w14:paraId="34D5505F">
      <w:pPr>
        <w:rPr>
          <w:rFonts w:hint="eastAsia" w:ascii="宋体" w:hAnsi="宋体" w:eastAsia="宋体" w:cs="宋体"/>
          <w:spacing w:val="6"/>
          <w:sz w:val="24"/>
        </w:rPr>
      </w:pPr>
    </w:p>
    <w:p w14:paraId="47DBB962">
      <w:pPr>
        <w:pStyle w:val="6"/>
        <w:tabs>
          <w:tab w:val="left" w:pos="567"/>
        </w:tabs>
        <w:rPr>
          <w:rFonts w:hint="eastAsia" w:ascii="宋体" w:hAnsi="宋体" w:eastAsia="宋体" w:cs="宋体"/>
          <w:spacing w:val="6"/>
          <w:sz w:val="24"/>
        </w:rPr>
      </w:pPr>
    </w:p>
    <w:p w14:paraId="733333E5">
      <w:pPr>
        <w:rPr>
          <w:rFonts w:hint="eastAsia" w:ascii="宋体" w:hAnsi="宋体" w:eastAsia="宋体" w:cs="宋体"/>
          <w:spacing w:val="6"/>
          <w:sz w:val="24"/>
        </w:rPr>
      </w:pPr>
    </w:p>
    <w:p w14:paraId="4CF0B0D3">
      <w:pPr>
        <w:pStyle w:val="6"/>
        <w:tabs>
          <w:tab w:val="left" w:pos="567"/>
        </w:tabs>
        <w:rPr>
          <w:rFonts w:hint="eastAsia"/>
        </w:rPr>
      </w:pPr>
    </w:p>
    <w:p w14:paraId="644AD38D">
      <w:pPr>
        <w:pStyle w:val="6"/>
        <w:tabs>
          <w:tab w:val="left" w:pos="567"/>
        </w:tabs>
        <w:rPr>
          <w:rFonts w:hint="eastAsia" w:ascii="宋体" w:hAnsi="宋体" w:eastAsia="宋体" w:cs="宋体"/>
          <w:spacing w:val="6"/>
          <w:sz w:val="24"/>
        </w:rPr>
      </w:pPr>
    </w:p>
    <w:p w14:paraId="17F3EEAA">
      <w:pPr>
        <w:rPr>
          <w:rFonts w:hint="eastAsia" w:ascii="宋体" w:hAnsi="宋体" w:eastAsia="宋体" w:cs="宋体"/>
          <w:spacing w:val="6"/>
          <w:sz w:val="24"/>
        </w:rPr>
      </w:pPr>
    </w:p>
    <w:p w14:paraId="7AB1344D">
      <w:pPr>
        <w:pStyle w:val="6"/>
        <w:tabs>
          <w:tab w:val="left" w:pos="567"/>
        </w:tabs>
        <w:rPr>
          <w:rFonts w:hint="eastAsia" w:ascii="宋体" w:hAnsi="宋体" w:eastAsia="宋体" w:cs="宋体"/>
          <w:spacing w:val="6"/>
          <w:sz w:val="24"/>
        </w:rPr>
      </w:pPr>
    </w:p>
    <w:p w14:paraId="06698584">
      <w:pPr>
        <w:rPr>
          <w:rFonts w:hint="eastAsia" w:ascii="宋体" w:hAnsi="宋体" w:eastAsia="宋体" w:cs="宋体"/>
        </w:rPr>
      </w:pPr>
    </w:p>
    <w:p w14:paraId="02FC8ED4">
      <w:pPr>
        <w:numPr>
          <w:ilvl w:val="0"/>
          <w:numId w:val="0"/>
        </w:numPr>
        <w:spacing w:line="360" w:lineRule="auto"/>
        <w:jc w:val="left"/>
        <w:rPr>
          <w:rFonts w:hint="eastAsia" w:ascii="宋体" w:hAnsi="宋体" w:eastAsia="宋体" w:cs="宋体"/>
          <w:b/>
          <w:bCs/>
          <w:sz w:val="24"/>
          <w:szCs w:val="24"/>
          <w:highlight w:val="none"/>
          <w:lang w:val="en-US" w:eastAsia="zh-CN"/>
        </w:rPr>
      </w:pPr>
    </w:p>
    <w:p w14:paraId="6E78B49F">
      <w:pPr>
        <w:numPr>
          <w:ilvl w:val="0"/>
          <w:numId w:val="0"/>
        </w:numPr>
        <w:spacing w:line="360" w:lineRule="auto"/>
        <w:jc w:val="left"/>
        <w:rPr>
          <w:rFonts w:hint="eastAsia" w:ascii="宋体" w:hAnsi="宋体" w:eastAsia="宋体" w:cs="宋体"/>
          <w:b/>
          <w:bCs/>
          <w:sz w:val="24"/>
          <w:szCs w:val="24"/>
          <w:highlight w:val="none"/>
          <w:lang w:val="en-US" w:eastAsia="zh-CN"/>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cs="宋体"/>
          <w:b/>
          <w:bCs/>
          <w:sz w:val="28"/>
          <w:szCs w:val="28"/>
          <w:highlight w:val="none"/>
          <w:lang w:val="en-US" w:eastAsia="zh-CN"/>
        </w:rPr>
        <w:t>10</w:t>
      </w:r>
      <w:r>
        <w:rPr>
          <w:rFonts w:hint="eastAsia" w:ascii="宋体" w:hAnsi="宋体" w:eastAsia="宋体" w:cs="宋体"/>
          <w:b/>
          <w:bCs/>
          <w:sz w:val="28"/>
          <w:szCs w:val="28"/>
          <w:highlight w:val="none"/>
          <w:lang w:val="en-US" w:eastAsia="zh-CN"/>
        </w:rPr>
        <w:t>、单位负责人为同一人或者存在控股、管理关系的不同单位不得同时参加本项目磋商</w:t>
      </w:r>
    </w:p>
    <w:p w14:paraId="35BC8AC6">
      <w:pPr>
        <w:spacing w:line="480" w:lineRule="auto"/>
        <w:rPr>
          <w:rFonts w:hint="eastAsia" w:ascii="宋体" w:hAnsi="宋体" w:eastAsia="宋体" w:cs="宋体"/>
          <w:b/>
          <w:bCs/>
          <w:sz w:val="24"/>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bookmarkStart w:id="26" w:name="_GoBack"/>
      <w:bookmarkEnd w:id="26"/>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0D590DD8">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71A14A4A">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7BA28CBA">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p w14:paraId="134CC01B">
      <w:pPr>
        <w:spacing w:line="480" w:lineRule="auto"/>
        <w:ind w:firstLine="1960" w:firstLineChars="700"/>
        <w:jc w:val="both"/>
        <w:rPr>
          <w:rFonts w:hint="eastAsia" w:ascii="宋体" w:hAnsi="宋体" w:eastAsia="宋体" w:cs="宋体"/>
          <w:sz w:val="28"/>
          <w:szCs w:val="28"/>
        </w:rPr>
      </w:pPr>
    </w:p>
    <w:p w14:paraId="07CBBFBC">
      <w:pPr>
        <w:pStyle w:val="3"/>
        <w:numPr>
          <w:ilvl w:val="0"/>
          <w:numId w:val="0"/>
        </w:numPr>
        <w:rPr>
          <w:rFonts w:hint="eastAsia" w:ascii="宋体" w:hAnsi="宋体" w:eastAsia="宋体" w:cs="宋体"/>
          <w:lang w:val="en-US" w:eastAsia="zh-CN"/>
        </w:rPr>
      </w:pPr>
    </w:p>
    <w:p w14:paraId="02A205AD">
      <w:pPr>
        <w:rPr>
          <w:rFonts w:hint="eastAsia" w:ascii="宋体" w:hAnsi="宋体" w:eastAsia="宋体" w:cs="宋体"/>
        </w:rPr>
      </w:pPr>
    </w:p>
    <w:p w14:paraId="6BE098A6">
      <w:pPr>
        <w:pStyle w:val="3"/>
        <w:numPr>
          <w:ilvl w:val="0"/>
          <w:numId w:val="0"/>
        </w:numPr>
        <w:rPr>
          <w:rFonts w:hint="eastAsia" w:ascii="宋体" w:hAnsi="宋体" w:eastAsia="宋体" w:cs="宋体"/>
          <w:lang w:val="en-US" w:eastAsia="zh-CN"/>
        </w:rPr>
      </w:pPr>
    </w:p>
    <w:p w14:paraId="6222099A">
      <w:pPr>
        <w:rPr>
          <w:rFonts w:hint="eastAsia" w:ascii="宋体" w:hAnsi="宋体" w:eastAsia="宋体" w:cs="宋体"/>
        </w:rPr>
      </w:pPr>
    </w:p>
    <w:p w14:paraId="42A05B62">
      <w:pPr>
        <w:pStyle w:val="13"/>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r>
        <w:rPr>
          <w:rFonts w:hint="eastAsia" w:ascii="宋体" w:hAnsi="宋体" w:cs="宋体"/>
          <w:b/>
          <w:sz w:val="28"/>
          <w:szCs w:val="28"/>
          <w:lang w:val="en-US" w:eastAsia="zh-CN"/>
        </w:rPr>
        <w:t>11</w:t>
      </w:r>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eastAsia="宋体" w:cs="宋体"/>
          <w:sz w:val="28"/>
          <w:szCs w:val="28"/>
          <w:u w:val="single"/>
          <w:lang w:eastAsia="zh-CN"/>
        </w:rPr>
        <w:t>（</w:t>
      </w:r>
      <w:r>
        <w:rPr>
          <w:rFonts w:hint="eastAsia" w:ascii="宋体" w:hAnsi="宋体" w:eastAsia="宋体" w:cs="宋体"/>
          <w:sz w:val="28"/>
          <w:szCs w:val="28"/>
          <w:u w:val="single"/>
        </w:rPr>
        <w:t>项目</w:t>
      </w:r>
      <w:r>
        <w:rPr>
          <w:rFonts w:hint="eastAsia" w:eastAsia="宋体" w:cs="宋体"/>
          <w:sz w:val="28"/>
          <w:szCs w:val="28"/>
          <w:u w:val="single"/>
          <w:lang w:val="en-US" w:eastAsia="zh-CN"/>
        </w:rPr>
        <w:t>名称）</w:t>
      </w:r>
      <w:r>
        <w:rPr>
          <w:rFonts w:hint="eastAsia" w:ascii="宋体" w:hAnsi="宋体" w:eastAsia="宋体" w:cs="宋体"/>
          <w:sz w:val="28"/>
          <w:szCs w:val="28"/>
        </w:rPr>
        <w:t>的</w:t>
      </w:r>
      <w:r>
        <w:rPr>
          <w:rFonts w:hint="eastAsia"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bookmarkEnd w:id="18"/>
    <w:bookmarkEnd w:id="19"/>
    <w:p w14:paraId="124F5D3F">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B49"/>
    <w:multiLevelType w:val="singleLevel"/>
    <w:tmpl w:val="DD770B49"/>
    <w:lvl w:ilvl="0" w:tentative="0">
      <w:start w:val="3"/>
      <w:numFmt w:val="decimal"/>
      <w:suff w:val="nothing"/>
      <w:lvlText w:val="%1、"/>
      <w:lvlJc w:val="left"/>
    </w:lvl>
  </w:abstractNum>
  <w:abstractNum w:abstractNumId="1">
    <w:nsid w:val="EC48BDFB"/>
    <w:multiLevelType w:val="singleLevel"/>
    <w:tmpl w:val="EC48BDFB"/>
    <w:lvl w:ilvl="0" w:tentative="0">
      <w:start w:val="7"/>
      <w:numFmt w:val="decimal"/>
      <w:suff w:val="nothing"/>
      <w:lvlText w:val="%1、"/>
      <w:lvlJc w:val="left"/>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C5F40C4"/>
    <w:rsid w:val="19F00E89"/>
    <w:rsid w:val="19FF6703"/>
    <w:rsid w:val="22C31A28"/>
    <w:rsid w:val="2B9C01E9"/>
    <w:rsid w:val="2E005F50"/>
    <w:rsid w:val="30426B74"/>
    <w:rsid w:val="39DE5B70"/>
    <w:rsid w:val="458B1645"/>
    <w:rsid w:val="510E169C"/>
    <w:rsid w:val="64D23A3B"/>
    <w:rsid w:val="721F2D15"/>
    <w:rsid w:val="72634814"/>
    <w:rsid w:val="7730056F"/>
    <w:rsid w:val="7AE47B79"/>
    <w:rsid w:val="7DCB56F9"/>
    <w:rsid w:val="7EBF4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toa heading"/>
    <w:basedOn w:val="1"/>
    <w:next w:val="1"/>
    <w:unhideWhenUsed/>
    <w:qFormat/>
    <w:uiPriority w:val="0"/>
    <w:rPr>
      <w:rFonts w:ascii="Arial" w:hAnsi="Arial"/>
      <w:sz w:val="24"/>
    </w:rPr>
  </w:style>
  <w:style w:type="paragraph" w:styleId="5">
    <w:name w:val="annotation text"/>
    <w:basedOn w:val="1"/>
    <w:qFormat/>
    <w:uiPriority w:val="0"/>
    <w:pPr>
      <w:jc w:val="left"/>
    </w:pPr>
  </w:style>
  <w:style w:type="paragraph" w:styleId="6">
    <w:name w:val="Body Text"/>
    <w:basedOn w:val="1"/>
    <w:next w:val="1"/>
    <w:qFormat/>
    <w:uiPriority w:val="0"/>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5"/>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2"/>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2755</Words>
  <Characters>2883</Characters>
  <Lines>0</Lines>
  <Paragraphs>0</Paragraphs>
  <TotalTime>0</TotalTime>
  <ScaleCrop>false</ScaleCrop>
  <LinksUpToDate>false</LinksUpToDate>
  <CharactersWithSpaces>3450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可儿✨可心</cp:lastModifiedBy>
  <dcterms:modified xsi:type="dcterms:W3CDTF">2025-11-17T03:11:14Z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B385E9FB34704337AE2DC50C03D8E99B_13</vt:lpwstr>
  </property>
  <property fmtid="{D5CDD505-2E9C-101B-9397-08002B2CF9AE}" pid="4" name="KSOTemplateDocerSaveRecord">
    <vt:lpwstr>eyJoZGlkIjoiNmNlODdmYTZjMDBjNDU5NmRjMDlmMjkyYTZiMTNmMmQiLCJ1c2VySWQiOiIzNTIwODA2OTUifQ==</vt:lpwstr>
  </property>
</Properties>
</file>