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版本号：LC-ZC-2025-02620251204001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灞桥区门户网站运维及政务公开综合服务项目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LC-ZC-2025-026</w:t>
      </w:r>
      <w:r>
        <w:br/>
      </w:r>
      <w:r>
        <w:br/>
      </w:r>
      <w:r>
        <w:br/>
      </w:r>
    </w:p>
    <w:p>
      <w:pPr>
        <w:pStyle w:val="null3"/>
        <w:jc w:val="center"/>
        <w:outlineLvl w:val="2"/>
      </w:pPr>
      <w:r>
        <w:rPr>
          <w:rFonts w:ascii="仿宋_GB2312" w:hAnsi="仿宋_GB2312" w:cs="仿宋_GB2312" w:eastAsia="仿宋_GB2312"/>
          <w:sz w:val="28"/>
          <w:b/>
        </w:rPr>
        <w:t>西安市灞桥区人民政府办公室</w:t>
      </w:r>
    </w:p>
    <w:p>
      <w:pPr>
        <w:pStyle w:val="null3"/>
        <w:jc w:val="center"/>
        <w:outlineLvl w:val="2"/>
      </w:pPr>
      <w:r>
        <w:rPr>
          <w:rFonts w:ascii="仿宋_GB2312" w:hAnsi="仿宋_GB2312" w:cs="仿宋_GB2312" w:eastAsia="仿宋_GB2312"/>
          <w:sz w:val="28"/>
          <w:b/>
        </w:rPr>
        <w:t>陕西龙辰全过程工程咨询有限公司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陕西龙辰全过程工程咨询有限公司</w:t>
      </w:r>
      <w:r>
        <w:rPr>
          <w:rFonts w:ascii="仿宋_GB2312" w:hAnsi="仿宋_GB2312" w:cs="仿宋_GB2312" w:eastAsia="仿宋_GB2312"/>
        </w:rPr>
        <w:t>（以下简称“代理机构”）受</w:t>
      </w:r>
      <w:r>
        <w:rPr>
          <w:rFonts w:ascii="仿宋_GB2312" w:hAnsi="仿宋_GB2312" w:cs="仿宋_GB2312" w:eastAsia="仿宋_GB2312"/>
        </w:rPr>
        <w:t>西安市灞桥区人民政府办公室</w:t>
      </w:r>
      <w:r>
        <w:rPr>
          <w:rFonts w:ascii="仿宋_GB2312" w:hAnsi="仿宋_GB2312" w:cs="仿宋_GB2312" w:eastAsia="仿宋_GB2312"/>
        </w:rPr>
        <w:t>委托，拟对</w:t>
      </w:r>
      <w:r>
        <w:rPr>
          <w:rFonts w:ascii="仿宋_GB2312" w:hAnsi="仿宋_GB2312" w:cs="仿宋_GB2312" w:eastAsia="仿宋_GB2312"/>
        </w:rPr>
        <w:t>灞桥区门户网站运维及政务公开综合服务项目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LC-ZC-2025-026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灞桥区门户网站运维及政务公开综合服务项目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按政策要求，进行网站页面调整维护、栏目及功能优化提升、制作政策解读、网站及新媒体日常监测、对标诊断、驻场运维、安全测评、个性化需求定制等工作。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采购包1（灞桥区门户网站运维及政务公开综合服务项目）：属于专门面向中小企业采购。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1、法定代表人（主要责任人）委托授权书/身份证明：法定代表人授权书（附法定代表人、被授权人身份证复印件）及被授权人身份证（法定代表人直接参加磋商，须提供法定代表人身份证明及身份证原件）。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2、信用记录审查：供应商不得为“信用中国”网站中列入失信被执行人和重大税收违法案件当事人名单的供应商，不得为中国政府采购网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西安市灞桥区纺织城街道纺一路809号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029-83524439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陕西龙辰全过程工程咨询有限公司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西安市朱宏路3号陕西省统建管理办公室10楼（西安银行南侧）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乔子霁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029-86350681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代理服务费收费标准：以中标金额为基数，参照国家计委颁发的计价格〔2002〕1980号和发改办价格〔2003〕857号文件的有关规定计算下浮5%，向成交供应商收取。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西安市灞桥区人民政府办公室</w:t>
      </w:r>
      <w:r>
        <w:rPr>
          <w:rFonts w:ascii="仿宋_GB2312" w:hAnsi="仿宋_GB2312" w:cs="仿宋_GB2312" w:eastAsia="仿宋_GB2312"/>
        </w:rPr>
        <w:t>和</w:t>
      </w:r>
      <w:r>
        <w:rPr>
          <w:rFonts w:ascii="仿宋_GB2312" w:hAnsi="仿宋_GB2312" w:cs="仿宋_GB2312" w:eastAsia="仿宋_GB2312"/>
        </w:rPr>
        <w:t>陕西龙辰全过程工程咨询有限公司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陕西龙辰全过程工程咨询有限公司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陕西龙辰全过程工程咨询有限公司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满足采购人需求及相关行业要求，具体验收方案详见合同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联系人：乔子霁</w:t>
      </w:r>
    </w:p>
    <w:p>
      <w:pPr>
        <w:pStyle w:val="null3"/>
      </w:pPr>
      <w:r>
        <w:rPr>
          <w:rFonts w:ascii="仿宋_GB2312" w:hAnsi="仿宋_GB2312" w:cs="仿宋_GB2312" w:eastAsia="仿宋_GB2312"/>
        </w:rPr>
        <w:t>联系电话：029-86350681</w:t>
      </w:r>
    </w:p>
    <w:p>
      <w:pPr>
        <w:pStyle w:val="null3"/>
      </w:pPr>
      <w:r>
        <w:rPr>
          <w:rFonts w:ascii="仿宋_GB2312" w:hAnsi="仿宋_GB2312" w:cs="仿宋_GB2312" w:eastAsia="仿宋_GB2312"/>
        </w:rPr>
        <w:t>地址：西安市朱宏路3号陕西省统建管理办公室10楼（西安银行南侧）</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按政策要求，进行网站页面调整维护、栏目及功能优化提升、制作政策解读、网站及新媒体日常监测、对标诊断、驻场运维、安全测评、个性化需求定制等工作。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灞桥区门户网站运维及政务公开综合服务项目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标的名称：灞桥区门户网站运维及政务公开综合服务项目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（一）网站运维与优化服务</w:t>
            </w:r>
            <w:r>
              <w:br/>
            </w:r>
            <w:r>
              <w:rPr>
                <w:rFonts w:ascii="仿宋_GB2312" w:hAnsi="仿宋_GB2312" w:cs="仿宋_GB2312" w:eastAsia="仿宋_GB2312"/>
              </w:rPr>
              <w:t xml:space="preserve"> 1、网站日常运维。提供网站日常运维服务，包括问题修改、页面及栏目优化调整、图片设计制作、统计分析、用户权限维护、安全维护、技术咨询、重保运维、系统培训等服务。</w:t>
            </w:r>
            <w:r>
              <w:br/>
            </w:r>
            <w:r>
              <w:rPr>
                <w:rFonts w:ascii="仿宋_GB2312" w:hAnsi="仿宋_GB2312" w:cs="仿宋_GB2312" w:eastAsia="仿宋_GB2312"/>
              </w:rPr>
              <w:t xml:space="preserve"> 2、网站专题设计制作。根据中省市要求及灞桥区重点工作和热点活动需要，规划建设网站专题专栏，提供专题专栏制作服务。制作专题具体流程是设计、切图、制作模板、创建专题栏目、实施、测试、交付。</w:t>
            </w:r>
            <w:r>
              <w:br/>
            </w:r>
            <w:r>
              <w:rPr>
                <w:rFonts w:ascii="仿宋_GB2312" w:hAnsi="仿宋_GB2312" w:cs="仿宋_GB2312" w:eastAsia="仿宋_GB2312"/>
              </w:rPr>
              <w:t xml:space="preserve"> 3、政策解读。开展灞桥区相关政策、重要文件、政府会议、统计数据等重点信息政策解读的设计、制作和发布。具体包括政策图解和政策动漫解读等解读形式。政策图解数量不超过40个，动漫解读数量2个。</w:t>
            </w:r>
            <w:r>
              <w:br/>
            </w:r>
            <w:r>
              <w:rPr>
                <w:rFonts w:ascii="仿宋_GB2312" w:hAnsi="仿宋_GB2312" w:cs="仿宋_GB2312" w:eastAsia="仿宋_GB2312"/>
              </w:rPr>
              <w:t xml:space="preserve"> 4、智能问答服务。提供智能问答系统服务，具体包括意图识别、自动问答、办事问答、场景服务、知识库管理等功能。同时，提供智能问答知识库梳理、更新、维护、语义训练和分析报告等服务。</w:t>
            </w:r>
            <w:r>
              <w:br/>
            </w:r>
            <w:r>
              <w:rPr>
                <w:rFonts w:ascii="仿宋_GB2312" w:hAnsi="仿宋_GB2312" w:cs="仿宋_GB2312" w:eastAsia="仿宋_GB2312"/>
              </w:rPr>
              <w:t xml:space="preserve"> （二）网站和新媒体监测服务</w:t>
            </w:r>
            <w:r>
              <w:br/>
            </w:r>
            <w:r>
              <w:rPr>
                <w:rFonts w:ascii="仿宋_GB2312" w:hAnsi="仿宋_GB2312" w:cs="仿宋_GB2312" w:eastAsia="仿宋_GB2312"/>
              </w:rPr>
              <w:t xml:space="preserve"> 1、政府网站监测。基于云服务模式提供网站监测系统，针对政府网站首页更新、栏目更新、错敏信息、隐私泄露、外链暗链、首页连通性、栏目连通性、链接可用性等方面进行实时扫描和监测，及时进行问题预警提醒。并根据《政府网站与政务新媒体检查指标》，按季度对政府网站进行全面检测，结合系统监测和人工检查结果，出具全面的网站监测报告。</w:t>
            </w:r>
            <w:r>
              <w:br/>
            </w:r>
            <w:r>
              <w:rPr>
                <w:rFonts w:ascii="仿宋_GB2312" w:hAnsi="仿宋_GB2312" w:cs="仿宋_GB2312" w:eastAsia="仿宋_GB2312"/>
              </w:rPr>
              <w:t xml:space="preserve"> 2、政务新媒体监测。根据《政府网站与政务新媒体检查指标》要求，基于政务新媒体监测平台，采用系统+人工的方式开展政务新媒体监测服务。针对政务新媒体的错敏信息、隐私泄露、外链暗链、内容更新、互动回应和账号运营情况等进行全面检查和监测。同时，提供预警提醒、人工检查和监测报告等服务。</w:t>
            </w:r>
            <w:r>
              <w:br/>
            </w:r>
            <w:r>
              <w:rPr>
                <w:rFonts w:ascii="仿宋_GB2312" w:hAnsi="仿宋_GB2312" w:cs="仿宋_GB2312" w:eastAsia="仿宋_GB2312"/>
              </w:rPr>
              <w:t xml:space="preserve"> （三）政务公开质效监测服务</w:t>
            </w:r>
            <w:r>
              <w:br/>
            </w:r>
            <w:r>
              <w:rPr>
                <w:rFonts w:ascii="仿宋_GB2312" w:hAnsi="仿宋_GB2312" w:cs="仿宋_GB2312" w:eastAsia="仿宋_GB2312"/>
              </w:rPr>
              <w:t xml:space="preserve"> 落实政府信息公开条例、做好新时代政务公开意见等文件精神，参照根据西安市政务公开质效监测指标要求，采用网站浏览检索、订阅下载使用、模拟用户验证、系统自动扫描等方式，对灞桥区政务公开和政府网站进行全面诊断和对标检查，形成对标诊断报告，及时发现公开不全面、不深入，政策解读质量不高，公开风险潜在风险，平台功能不实用，信息公开年报不准确、不规范等问题，辅助查漏补缺，不断提升政务公开工作的质量和实效。</w:t>
            </w:r>
            <w:r>
              <w:br/>
            </w:r>
            <w:r>
              <w:rPr>
                <w:rFonts w:ascii="仿宋_GB2312" w:hAnsi="仿宋_GB2312" w:cs="仿宋_GB2312" w:eastAsia="仿宋_GB2312"/>
              </w:rPr>
              <w:t xml:space="preserve"> （四）网站安全服务</w:t>
            </w:r>
            <w:r>
              <w:br/>
            </w:r>
            <w:r>
              <w:rPr>
                <w:rFonts w:ascii="仿宋_GB2312" w:hAnsi="仿宋_GB2312" w:cs="仿宋_GB2312" w:eastAsia="仿宋_GB2312"/>
              </w:rPr>
              <w:t xml:space="preserve"> 1、等保测评。提供网站二级等保测评服务</w:t>
            </w:r>
            <w:r>
              <w:br/>
            </w:r>
            <w:r>
              <w:rPr>
                <w:rFonts w:ascii="仿宋_GB2312" w:hAnsi="仿宋_GB2312" w:cs="仿宋_GB2312" w:eastAsia="仿宋_GB2312"/>
              </w:rPr>
              <w:t xml:space="preserve"> 2、SSL证书服务。购买第三方SSL证书服务，实现灞桥区政府门户网站的身份验证和数据传输加密功能。</w:t>
            </w:r>
            <w:r>
              <w:br/>
            </w:r>
            <w:r>
              <w:rPr>
                <w:rFonts w:ascii="仿宋_GB2312" w:hAnsi="仿宋_GB2312" w:cs="仿宋_GB2312" w:eastAsia="仿宋_GB2312"/>
              </w:rPr>
              <w:t xml:space="preserve"> （五）人员驻场服务</w:t>
            </w:r>
            <w:r>
              <w:br/>
            </w:r>
            <w:r>
              <w:rPr>
                <w:rFonts w:ascii="仿宋_GB2312" w:hAnsi="仿宋_GB2312" w:cs="仿宋_GB2312" w:eastAsia="仿宋_GB2312"/>
              </w:rPr>
              <w:t xml:space="preserve"> 提供2名运维人员驻场服务。根据客户要求提供网站内容采编与维护管理、网站日常检查、网站错敏信息修改、网站断错链修改、网站问题整改跟踪、需求收集与反馈、数据统计与报表等服务。</w:t>
            </w:r>
            <w:r>
              <w:br/>
            </w:r>
            <w:r>
              <w:rPr>
                <w:rFonts w:ascii="仿宋_GB2312" w:hAnsi="仿宋_GB2312" w:cs="仿宋_GB2312" w:eastAsia="仿宋_GB2312"/>
              </w:rPr>
              <w:t xml:space="preserve"> 注：合同承包方式为固定总价承包，在合同执行过程中，合同总价不做调整。合同价格为含税价，乙方提供服务所发生的一切费用（包括增值税等相关税费）等都已包含于合同价款中。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满足采购人需求及相关行业要求，具体验收方案详见合同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一、违约责任：按《民法典》中的相关条款执行。 二、争议的解决：双方应首先通过友好协商解决，如果协商不成，任何一方可向采购人所在地有管辖权的人民法院提起诉讼。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落实的政府采购政策：（1）《政府采购促进中小企业发展管理办法》（财库〔2020〕46号）；（2）《关于政府采购支持监狱企业发展有关问题的通知》（财库〔2014〕68号）；（3）《国务院办公厅关于建立政府强制采购节能产品制度的通知》（国办发〔2007〕51号）；（4）《关于印发环境标志产品政府采购品目清单的通知》--（财库〔2019〕18号）；（5）《关于印发节能产品政府采购品目清单的通知》--（财库〔2019〕19号）；（6）《关于促进残疾人就业政府采购政策的通知》（财库〔2017〕141号）；（7）《财政部发展改革委生态环境部市场监管总局关于调整优化节能产品、环境标志产品政府采购执行机制的通知》（财库〔2019〕9号）；（8）陕西省财政厅关于印发《陕西省中小企业政府采购信用融资办法》（陕财办采〔2018〕23号）；（9）其他需要落实的政府采购政策，如有最新颁布的政府采购政策，按最新的文件执行。2、履约验收2.1采购人自行验收。2.2是否委托采购代理机构组织履约验收：否。3、本项目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4、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5、事业单位参与投标时，可不提供财务状况报告、社会保障资金和税收缴纳证明；依法免税或不需要缴纳社会保障资金的供应商，应提供相应证明文件，证明其依法免税或不需要缴纳社会保障资金。6、供应商获取采购文件的，如不参与项目投标，应在递交响应文件递交截止时间前一日以书面形式告知采购代理机构。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供应商需在项目电子化交易系统中按要求填写《响应函》完成承诺并进行电子签章，且按照资格证明文件中的格式，提供清晰、完整、有效的相关证明材料。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法定代表人（主要责任人）委托授权书/身份证明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只能有一个有效报价，不得提交选择性报价，且报价不超过采购预算或最高限价金额。</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评审内容：针对本项目提出具体的服务方案，内容包含：①网站运维与优化服务②网站和新媒体监测服务③政务公开质效监测服务④网站安全服务⑤人员驻场服务。 说明：以上内容切合本项目实际情况及实施要求，内容全面详细、阐述条理清晰详尽，符合本项目采购需求，能保障本项目实施的得30分。 评审内容任意一项缺项扣6分。 评审内容任意一项每有一个缺陷扣3分，假设有n（n为假设数量）个缺陷，则扣n×3分。 （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缺陷”定义同此处。）</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评审内容：针对本项目提出具体的服务保障措施，内容包含：①服务质量保证措施②数据安全保密措施③故障处理响应时间④突发事件应急措施。 说明：以上内容切合本项目实际情况及实施要求，内容全面详细、阐述条理清晰详尽，符合本项目采购需求，能保障本项目实施的得24分。 评审内容任意一项缺项扣6分。 评审内容任意一项每有一个缺陷扣3分，假设有n（n为假设数量）个缺陷，则扣n×3分。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人员管理方案</w:t>
            </w:r>
          </w:p>
        </w:tc>
        <w:tc>
          <w:tcPr>
            <w:tcW w:type="dxa" w:w="2492"/>
          </w:tcPr>
          <w:p>
            <w:pPr>
              <w:pStyle w:val="null3"/>
            </w:pPr>
            <w:r>
              <w:rPr>
                <w:rFonts w:ascii="仿宋_GB2312" w:hAnsi="仿宋_GB2312" w:cs="仿宋_GB2312" w:eastAsia="仿宋_GB2312"/>
              </w:rPr>
              <w:t>评审内容：针对本项目提出具体的人员管理方案，内容包含：①服务实施组织机构及人员安排②岗位职责③人员管理制度。 说明：以上内容切合本项目实际情况及实施要求，内容全面详细、阐述条理清晰详尽，符合本项目采购需求，能保障本项目实施的得18分。 评审内容任意一项缺项扣6分。 评审内容任意一项每有一个缺陷扣3分，假设有n（n为假设数量）个缺陷，则扣n×3分。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评审内容：针对本项目提出具体的人员培训方案，内容包含：①培训内容②培训计划及安排。 说明：以上内容切合本项目实际情况及实施要求，内容全面详细、阐述条理清晰详尽，符合本项目采购需求，能保障本项目实施的得12分。 评审内容任意一项缺项扣6分。 评审内容任意一项每有一个缺陷扣3分，假设有n（n为假设数量）个缺陷，则扣n×3分。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供应商自2022年1月1日至今承接过类似项目业绩（以合同签订日期为准），每提供一项得2分，最高得6分。 注：提供完整合同扫描件并加盖公章，未提供或提供材料不符合要求不得分。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满足磋商文件资格性和符合性要求且提交最后报价最低的供应商的价格为磋商基准价，其价格分为满分。其他供应商的价格分统一按照下列公式计算：磋商报价得分=（磋商基准价/最后磋商报价）×价格分值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