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版本号：YCXM-202512920251208001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2025年灞桥区全民健身惠民工程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YCXM-2025129</w:t>
      </w:r>
      <w:r>
        <w:br/>
      </w:r>
      <w:r>
        <w:br/>
      </w:r>
      <w:r>
        <w:br/>
      </w:r>
    </w:p>
    <w:p>
      <w:pPr>
        <w:pStyle w:val="null3"/>
        <w:jc w:val="center"/>
        <w:outlineLvl w:val="2"/>
      </w:pPr>
      <w:r>
        <w:rPr>
          <w:rFonts w:ascii="仿宋_GB2312" w:hAnsi="仿宋_GB2312" w:cs="仿宋_GB2312" w:eastAsia="仿宋_GB2312"/>
          <w:sz w:val="28"/>
          <w:b/>
        </w:rPr>
        <w:t>西安市灞桥区文化和旅游体育局</w:t>
      </w:r>
    </w:p>
    <w:p>
      <w:pPr>
        <w:pStyle w:val="null3"/>
        <w:jc w:val="center"/>
        <w:outlineLvl w:val="2"/>
      </w:pPr>
      <w:r>
        <w:rPr>
          <w:rFonts w:ascii="仿宋_GB2312" w:hAnsi="仿宋_GB2312" w:cs="仿宋_GB2312" w:eastAsia="仿宋_GB2312"/>
          <w:sz w:val="28"/>
          <w:b/>
        </w:rPr>
        <w:t>陕西玥诚工程项目管理有限公司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陕西玥诚工程项目管理有限公司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西安市灞桥区文化和旅游体育局</w:t>
      </w:r>
      <w:r>
        <w:rPr>
          <w:rFonts w:ascii="仿宋_GB2312" w:hAnsi="仿宋_GB2312" w:cs="仿宋_GB2312" w:eastAsia="仿宋_GB2312"/>
        </w:rPr>
        <w:t>委托，拟对</w:t>
      </w:r>
      <w:r>
        <w:rPr>
          <w:rFonts w:ascii="仿宋_GB2312" w:hAnsi="仿宋_GB2312" w:cs="仿宋_GB2312" w:eastAsia="仿宋_GB2312"/>
        </w:rPr>
        <w:t>2025年灞桥区全民健身惠民工程</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YCXM-2025129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2025年灞桥区全民健身惠民工程</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开展灞桥区全民健身惠民工程采购健身器材一批,拟对原有过期健身器材进行更换，拟新建新建笼式篮球场一块，群众健身房一个。可带动群众进行健身活动，有利于提升辖区群众健康体质和体育素质，满足群众健身需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采购包1（全民健身路径及多功能运动场）：属于专门面向中小企业采购。</w:t>
      </w:r>
    </w:p>
    <w:p>
      <w:pPr>
        <w:pStyle w:val="null3"/>
      </w:pPr>
      <w:r>
        <w:rPr>
          <w:rFonts w:ascii="仿宋_GB2312" w:hAnsi="仿宋_GB2312" w:cs="仿宋_GB2312" w:eastAsia="仿宋_GB2312"/>
        </w:rPr>
        <w:t>采购包2（全民健身路径及群众健身房）：属于专门面向中小企业采购。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身份证明：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w:t>
      </w:r>
    </w:p>
    <w:p>
      <w:pPr>
        <w:pStyle w:val="null3"/>
      </w:pPr>
      <w:r>
        <w:rPr>
          <w:rFonts w:ascii="仿宋_GB2312" w:hAnsi="仿宋_GB2312" w:cs="仿宋_GB2312" w:eastAsia="仿宋_GB2312"/>
        </w:rPr>
        <w:t>3、财务状况报告：供应商应提供2024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注：审计报告应当经过注册会计师行业统一监管平台备案赋码）</w:t>
      </w:r>
    </w:p>
    <w:p>
      <w:pPr>
        <w:pStyle w:val="null3"/>
      </w:pPr>
      <w:r>
        <w:rPr>
          <w:rFonts w:ascii="仿宋_GB2312" w:hAnsi="仿宋_GB2312" w:cs="仿宋_GB2312" w:eastAsia="仿宋_GB2312"/>
        </w:rPr>
        <w:t>4、税收缴纳证明：提供供应商投标截止日前6个月内至少一个月已缴纳的增值税纳税证明或完税证明，依法免税的供应商应提供加盖公章的相关证明文件；</w:t>
      </w:r>
    </w:p>
    <w:p>
      <w:pPr>
        <w:pStyle w:val="null3"/>
      </w:pPr>
      <w:r>
        <w:rPr>
          <w:rFonts w:ascii="仿宋_GB2312" w:hAnsi="仿宋_GB2312" w:cs="仿宋_GB2312" w:eastAsia="仿宋_GB2312"/>
        </w:rPr>
        <w:t>5、社会保障资金缴纳证明：提供供应商投标截止日前6个月内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6、具备履行合同所必需的设备和专业技术能力的证明材料：具备履行合同所必需的设备和专业技术能力的证明材料(由供应商根据项目需求提供说明材料或者承诺)；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无重大违法记录的书面声明：参加本次政府采购活动前3年内在经营活动中没有重大违纪、未被列入失信被执行人、重大税收违法案件当事人名单、政府采购严重违法失信行为记录名单的书面声明。开标评审将登陆“信用中国”网站 （www.creditchina.gov.cn）和“中国政府采购网”（www.ccgp.gov.cn）进行审查。</w:t>
      </w:r>
    </w:p>
    <w:p>
      <w:pPr>
        <w:pStyle w:val="null3"/>
      </w:pPr>
      <w:r>
        <w:rPr>
          <w:rFonts w:ascii="仿宋_GB2312" w:hAnsi="仿宋_GB2312" w:cs="仿宋_GB2312" w:eastAsia="仿宋_GB2312"/>
        </w:rPr>
        <w:t>8、非联合体声明：本项目不接受联合体投标；</w:t>
      </w:r>
    </w:p>
    <w:p>
      <w:pPr>
        <w:pStyle w:val="null3"/>
      </w:pPr>
      <w:r>
        <w:rPr>
          <w:rFonts w:ascii="仿宋_GB2312" w:hAnsi="仿宋_GB2312" w:cs="仿宋_GB2312" w:eastAsia="仿宋_GB2312"/>
        </w:rPr>
        <w:t>9、本项目专门面向中小企业采购：本项目专门面向中小企业采购（提供中小企业声明函）；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rFonts w:ascii="仿宋_GB2312" w:hAnsi="仿宋_GB2312" w:cs="仿宋_GB2312" w:eastAsia="仿宋_GB2312"/>
        </w:rPr>
        <w:t>2、身份证明：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w:t>
      </w:r>
    </w:p>
    <w:p>
      <w:pPr>
        <w:pStyle w:val="null3"/>
      </w:pPr>
      <w:r>
        <w:rPr>
          <w:rFonts w:ascii="仿宋_GB2312" w:hAnsi="仿宋_GB2312" w:cs="仿宋_GB2312" w:eastAsia="仿宋_GB2312"/>
        </w:rPr>
        <w:t>3、财务状况报告：供应商应提供2024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注：审计报告应当经过注册会计师行业统一监管平台备案赋码）</w:t>
      </w:r>
    </w:p>
    <w:p>
      <w:pPr>
        <w:pStyle w:val="null3"/>
      </w:pPr>
      <w:r>
        <w:rPr>
          <w:rFonts w:ascii="仿宋_GB2312" w:hAnsi="仿宋_GB2312" w:cs="仿宋_GB2312" w:eastAsia="仿宋_GB2312"/>
        </w:rPr>
        <w:t>4、税收缴纳证明：提供供应商投标截止日前6个月内至少一个月已缴纳的增值税纳税证明或完税证明，依法免税的供应商应提供加盖公章的相关证明文件；</w:t>
      </w:r>
    </w:p>
    <w:p>
      <w:pPr>
        <w:pStyle w:val="null3"/>
      </w:pPr>
      <w:r>
        <w:rPr>
          <w:rFonts w:ascii="仿宋_GB2312" w:hAnsi="仿宋_GB2312" w:cs="仿宋_GB2312" w:eastAsia="仿宋_GB2312"/>
        </w:rPr>
        <w:t>5、社会保障资金缴纳证明：提供供应商投标截止日前6个月内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6、具备履行合同所必需的设备和专业技术能力的证明材料：具备履行合同所必需的设备和专业技术能力的证明材料(由供应商根据项目需求提供说明材料或者承诺)；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无重大违法记录的书面声明：参加本次政府采购活动前3年内在经营活动中没有重大违纪、未被列入失信被执行人、重大税收违法案件当事人名单、政府采购严重违法失信行为记录名单的书面声明。开标评审将登陆“信用中国”网站 （www.creditchina.gov.cn）和“中国政府采购网”（www.ccgp.gov.cn）进行审查。</w:t>
      </w:r>
    </w:p>
    <w:p>
      <w:pPr>
        <w:pStyle w:val="null3"/>
      </w:pPr>
      <w:r>
        <w:rPr>
          <w:rFonts w:ascii="仿宋_GB2312" w:hAnsi="仿宋_GB2312" w:cs="仿宋_GB2312" w:eastAsia="仿宋_GB2312"/>
        </w:rPr>
        <w:t>8、非联合体声明：本项目不接受联合体投标；</w:t>
      </w:r>
    </w:p>
    <w:p>
      <w:pPr>
        <w:pStyle w:val="null3"/>
      </w:pPr>
      <w:r>
        <w:rPr>
          <w:rFonts w:ascii="仿宋_GB2312" w:hAnsi="仿宋_GB2312" w:cs="仿宋_GB2312" w:eastAsia="仿宋_GB2312"/>
        </w:rPr>
        <w:t>9、本项目专门面向中小企业采购：本项目专门面向中小企业采购（提供中小企业声明函）；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陕西省西安市灞桥区纺一路809号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029-83510491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陕西玥诚工程项目管理有限公司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西安市雁塔区雁展路莱安中心T7栋10层1006室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卞兴前、马宁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13484613855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采购包1：315,000.00元</w:t>
            </w:r>
          </w:p>
          <w:p>
            <w:pPr>
              <w:pStyle w:val="null3"/>
            </w:pPr>
            <w:r>
              <w:rPr>
                <w:rFonts w:ascii="仿宋_GB2312" w:hAnsi="仿宋_GB2312" w:cs="仿宋_GB2312" w:eastAsia="仿宋_GB2312"/>
              </w:rPr>
              <w:t>采购包2：310,000.00元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和国家发展改革委员会办公厅颁发的《关于招标代理服务收费有关问题的通知》（发改办价格[2003]857号）的有关规定执行，由中标（成交）人在领取中标通知书或成交通知书前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西安市灞桥区文化和旅游体育局</w:t>
      </w:r>
      <w:r>
        <w:rPr>
          <w:rFonts w:ascii="仿宋_GB2312" w:hAnsi="仿宋_GB2312" w:cs="仿宋_GB2312" w:eastAsia="仿宋_GB2312"/>
        </w:rPr>
        <w:t>和</w:t>
      </w:r>
      <w:r>
        <w:rPr>
          <w:rFonts w:ascii="仿宋_GB2312" w:hAnsi="仿宋_GB2312" w:cs="仿宋_GB2312" w:eastAsia="仿宋_GB2312"/>
        </w:rPr>
        <w:t>陕西玥诚工程项目管理有限公司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西安市灞桥区文化和旅游体育局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陕西玥诚工程项目管理有限公司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西安市灞桥区文化和旅游体育局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陕西玥诚工程项目管理有限公司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符合国家相关标准，详见谈判文件及合同相关要求。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符合国家相关标准，详见谈判文件及合同相关要求。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陕西玥诚工程项目管理有限公司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联系人：马宁</w:t>
      </w:r>
    </w:p>
    <w:p>
      <w:pPr>
        <w:pStyle w:val="null3"/>
      </w:pPr>
      <w:r>
        <w:rPr>
          <w:rFonts w:ascii="仿宋_GB2312" w:hAnsi="仿宋_GB2312" w:cs="仿宋_GB2312" w:eastAsia="仿宋_GB2312"/>
        </w:rPr>
        <w:t>联系电话：13484613855</w:t>
      </w:r>
    </w:p>
    <w:p>
      <w:pPr>
        <w:pStyle w:val="null3"/>
      </w:pPr>
      <w:r>
        <w:rPr>
          <w:rFonts w:ascii="仿宋_GB2312" w:hAnsi="仿宋_GB2312" w:cs="仿宋_GB2312" w:eastAsia="仿宋_GB2312"/>
        </w:rPr>
        <w:t>地址：西安市雁塔区雁展路莱安中心T7栋10层1006室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灞桥区全民健身惠民工程采购健身器材一批,拟对原有过期健身器材进行更换，拟新建新建笼式篮球场一块，群众健身房一个。可带动群众进行健身活动，有利于提升辖区群众健康体质和体育素质，满足群众健身需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315,000.00</w:t>
      </w:r>
    </w:p>
    <w:p>
      <w:pPr>
        <w:pStyle w:val="null3"/>
      </w:pPr>
      <w:r>
        <w:rPr>
          <w:rFonts w:ascii="仿宋_GB2312" w:hAnsi="仿宋_GB2312" w:cs="仿宋_GB2312" w:eastAsia="仿宋_GB2312"/>
        </w:rPr>
        <w:t>采购包最高限价（元）: 315,000.00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全民健身路径及多功能运动场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310,000.00</w:t>
      </w:r>
    </w:p>
    <w:p>
      <w:pPr>
        <w:pStyle w:val="null3"/>
      </w:pPr>
      <w:r>
        <w:rPr>
          <w:rFonts w:ascii="仿宋_GB2312" w:hAnsi="仿宋_GB2312" w:cs="仿宋_GB2312" w:eastAsia="仿宋_GB2312"/>
        </w:rPr>
        <w:t>采购包最高限价（元）: 310,000.00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全民健身路径及群众健身房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标的名称：全民健身路径及多功能运动场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标的名称：全民健身路径及群众健身房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合同签订后支付合同价款的40%作为预付款;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交货完工且验收合格后30个工作日内一次性支付剩余合同价款,供应商在质保期内须提供质量保修服务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合同签订后支付合同价款的40%作为预付款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交货完工且验收合格后30个工作日内一次性支付剩余合同价款,供应商在质保期内须提供质量保修服务</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符合相关验收标准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8年，具体详见谈判文件及合同相关要求。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8年，具体详见谈判文件及合同相关要求。</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开标结束后，成交供应商需提供一正一副和上传版本一致的响应文件纸质版。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开标结束后，成交供应商需提供一正一副和上传版本一致的响应文件纸质版。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应提供2024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注：审计报告应当经过注册会计师行业统一监管平台备案赋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提供供应商投标截止日前6个月内至少一个月已缴纳的增值税纳税证明或完税证明，依法免税的供应商应提供加盖公章的相关证明文件；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提供供应商投标截止日前6个月内至少一个月已缴纳的社会保障资金缴存单据或社保机构开具的社会保险参保缴费情况证明；依法不需要缴纳社会保障资金的供应商应提供加盖公章的相关证明文件；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 （www.creditchina.gov.cn）和“中国政府采购网”（www.ccgp.gov.cn）进行审查。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磋商，须提供法定代表人身份证明及身份证）：法定代表人直接参加磋商的，须提供法定代表人身份证明及身份证；法定代表人授权他人参加的，须提供法定代表人授权书（附法定代表人、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应提供2024年度经审计的财务会计报告（成立时间至提交磋商响应文件截止时间不足一年的可提供成立后任意时段的资产负债表），或提交磋商响应截止时间前3个月内银行出具的资信证明，或信用担保机构出具的担保函（以上三种形式的资料提供任何一种即可）；其他组织和自然人提供银行出具的资信证明或财务报表；（注：审计报告应当经过注册会计师行业统一监管平台备案赋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提供供应商投标截止日前6个月内至少一个月已缴纳的增值税纳税证明或完税证明，依法免税的供应商应提供加盖公章的相关证明文件；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提供供应商投标截止日前6个月内至少一个月已缴纳的社会保障资金缴存单据或社保机构开具的社会保险参保缴费情况证明；依法不需要缴纳社会保障资金的供应商应提供加盖公章的相关证明文件；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 （www.creditchina.gov.cn）和“中国政府采购网”（www.ccgp.gov.cn）进行审查。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谈判方案说明书.docx 中小企业声明函 谈判分项报价表.docx 报价表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谈判方案说明书.docx 中小企业声明函 谈判分项报价表.docx 报价表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w:t>
            </w:r>
          </w:p>
        </w:tc>
        <w:tc>
          <w:tcPr>
            <w:tcW w:type="dxa" w:w="1661"/>
          </w:tcPr>
          <w:p>
            <w:pPr>
              <w:pStyle w:val="null3"/>
            </w:pPr>
            <w:r>
              <w:rPr>
                <w:rFonts w:ascii="仿宋_GB2312" w:hAnsi="仿宋_GB2312" w:cs="仿宋_GB2312" w:eastAsia="仿宋_GB2312"/>
              </w:rPr>
              <w:t>谈判分项报价表.docx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谈判方案说明书.docx 中小企业声明函 谈判分项报价表.docx 报价表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谈判方案说明书.docx 中小企业声明函 谈判分项报价表.docx 报价表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谈判分项报价表.docx 标的清单 报价表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谈判方案说明书.docx 中小企业声明函 谈判分项报价表.docx 报价表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谈判方案说明书.docx 中小企业声明函 谈判分项报价表.docx 报价表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w:t>
            </w:r>
          </w:p>
        </w:tc>
        <w:tc>
          <w:tcPr>
            <w:tcW w:type="dxa" w:w="1661"/>
          </w:tcPr>
          <w:p>
            <w:pPr>
              <w:pStyle w:val="null3"/>
            </w:pPr>
            <w:r>
              <w:rPr>
                <w:rFonts w:ascii="仿宋_GB2312" w:hAnsi="仿宋_GB2312" w:cs="仿宋_GB2312" w:eastAsia="仿宋_GB2312"/>
              </w:rPr>
              <w:t>谈判分项报价表.docx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谈判方案说明书.docx 中小企业声明函 谈判分项报价表.docx 报价表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谈判方案说明书.docx 中小企业声明函 谈判分项报价表.docx 报价表 供应商承诺书.docx 资格证明文件.docx 响应文件封面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详见附件：谈判分项报价表.docx</w:t>
      </w:r>
    </w:p>
    <w:p>
      <w:pPr>
        <w:pStyle w:val="null3"/>
        <w:ind w:firstLine="960"/>
      </w:pPr>
      <w:r>
        <w:rPr>
          <w:rFonts w:ascii="仿宋_GB2312" w:hAnsi="仿宋_GB2312" w:cs="仿宋_GB2312" w:eastAsia="仿宋_GB2312"/>
        </w:rPr>
        <w:t>详见附件：谈判方案说明书.docx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详见附件：谈判分项报价表.docx</w:t>
      </w:r>
    </w:p>
    <w:p>
      <w:pPr>
        <w:pStyle w:val="null3"/>
        <w:ind w:firstLine="960"/>
      </w:pPr>
      <w:r>
        <w:rPr>
          <w:rFonts w:ascii="仿宋_GB2312" w:hAnsi="仿宋_GB2312" w:cs="仿宋_GB2312" w:eastAsia="仿宋_GB2312"/>
        </w:rPr>
        <w:t>详见附件：谈判方案说明书.docx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