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C5B442">
      <w:pPr>
        <w:pStyle w:val="4"/>
        <w:numPr>
          <w:ilvl w:val="0"/>
          <w:numId w:val="0"/>
        </w:numPr>
        <w:jc w:val="center"/>
      </w:pPr>
      <w:bookmarkStart w:id="0" w:name="_Toc5681"/>
      <w:r>
        <w:rPr>
          <w:rFonts w:hint="eastAsia"/>
        </w:rPr>
        <w:t>合同条款及格式</w:t>
      </w:r>
      <w:bookmarkEnd w:id="0"/>
    </w:p>
    <w:p w14:paraId="77833DAC">
      <w:pPr>
        <w:spacing w:line="480" w:lineRule="auto"/>
        <w:jc w:val="center"/>
        <w:rPr>
          <w:rFonts w:ascii="仿宋" w:hAnsi="仿宋" w:cs="仿宋"/>
          <w:b/>
          <w:spacing w:val="24"/>
          <w:sz w:val="44"/>
          <w:szCs w:val="44"/>
        </w:rPr>
      </w:pPr>
      <w:r>
        <w:rPr>
          <w:rFonts w:hint="eastAsia" w:ascii="仿宋" w:hAnsi="仿宋" w:cs="仿宋"/>
          <w:b/>
          <w:spacing w:val="24"/>
          <w:sz w:val="44"/>
          <w:szCs w:val="44"/>
        </w:rPr>
        <w:t>合同主要条款</w:t>
      </w:r>
    </w:p>
    <w:p w14:paraId="7ACF0C60">
      <w:pPr>
        <w:spacing w:line="360" w:lineRule="auto"/>
        <w:jc w:val="center"/>
        <w:rPr>
          <w:rFonts w:ascii="仿宋" w:hAnsi="仿宋" w:cs="仿宋"/>
          <w:bCs/>
        </w:rPr>
      </w:pPr>
      <w:r>
        <w:rPr>
          <w:rFonts w:hint="eastAsia" w:ascii="仿宋" w:hAnsi="仿宋" w:cs="仿宋"/>
          <w:b/>
          <w:sz w:val="24"/>
        </w:rPr>
        <w:t>（本合同仅供参考，合同具体条款以双方签订的正式合同为准）</w:t>
      </w:r>
    </w:p>
    <w:p w14:paraId="6A8BB681">
      <w:pPr>
        <w:adjustRightInd w:val="0"/>
        <w:snapToGrid w:val="0"/>
        <w:spacing w:line="360" w:lineRule="auto"/>
        <w:rPr>
          <w:rFonts w:ascii="仿宋" w:hAnsi="仿宋" w:cs="仿宋"/>
          <w:b/>
          <w:bCs/>
        </w:rPr>
      </w:pPr>
    </w:p>
    <w:p w14:paraId="3C02A949">
      <w:pPr>
        <w:spacing w:line="360" w:lineRule="auto"/>
        <w:rPr>
          <w:rFonts w:hint="eastAsia" w:ascii="仿宋" w:hAnsi="仿宋" w:eastAsia="仿宋" w:cs="仿宋"/>
          <w:sz w:val="24"/>
          <w:szCs w:val="24"/>
          <w:u w:val="single"/>
          <w:lang w:eastAsia="zh-CN"/>
        </w:rPr>
      </w:pPr>
      <w:r>
        <w:rPr>
          <w:rFonts w:hint="eastAsia" w:ascii="仿宋" w:hAnsi="仿宋" w:cs="仿宋"/>
          <w:sz w:val="24"/>
          <w:szCs w:val="24"/>
        </w:rPr>
        <w:t>甲方（委托方）：</w:t>
      </w:r>
      <w:r>
        <w:rPr>
          <w:rFonts w:hint="eastAsia" w:ascii="仿宋" w:hAnsi="仿宋" w:cs="仿宋"/>
          <w:sz w:val="24"/>
          <w:szCs w:val="24"/>
          <w:u w:val="single"/>
          <w:lang w:eastAsia="zh-CN"/>
        </w:rPr>
        <w:t>西安市灞桥区文化和旅游体育局</w:t>
      </w:r>
    </w:p>
    <w:p w14:paraId="345AA019">
      <w:pPr>
        <w:spacing w:line="360" w:lineRule="auto"/>
        <w:rPr>
          <w:rFonts w:ascii="仿宋" w:hAnsi="仿宋" w:cs="仿宋"/>
          <w:sz w:val="24"/>
          <w:szCs w:val="24"/>
        </w:rPr>
      </w:pPr>
      <w:r>
        <w:rPr>
          <w:rFonts w:hint="eastAsia" w:ascii="仿宋" w:hAnsi="仿宋" w:cs="仿宋"/>
          <w:sz w:val="24"/>
          <w:szCs w:val="24"/>
        </w:rPr>
        <w:t>乙方（受托方）：</w:t>
      </w:r>
      <w:r>
        <w:rPr>
          <w:rFonts w:hint="eastAsia" w:ascii="仿宋" w:hAnsi="仿宋" w:cs="仿宋"/>
          <w:sz w:val="24"/>
          <w:szCs w:val="24"/>
          <w:u w:val="single"/>
        </w:rPr>
        <w:t xml:space="preserve">                  </w:t>
      </w:r>
      <w:r>
        <w:rPr>
          <w:rFonts w:hint="eastAsia" w:ascii="仿宋" w:hAnsi="仿宋" w:cs="仿宋"/>
          <w:sz w:val="24"/>
          <w:szCs w:val="24"/>
          <w:u w:val="single"/>
          <w:lang w:val="en-US" w:eastAsia="zh-CN"/>
        </w:rPr>
        <w:t xml:space="preserve">          </w:t>
      </w:r>
      <w:r>
        <w:rPr>
          <w:rFonts w:hint="eastAsia" w:ascii="仿宋" w:hAnsi="仿宋" w:cs="仿宋"/>
          <w:b/>
          <w:bCs/>
          <w:sz w:val="24"/>
          <w:szCs w:val="24"/>
        </w:rPr>
        <w:t xml:space="preserve">  </w:t>
      </w:r>
      <w:r>
        <w:rPr>
          <w:rFonts w:hint="eastAsia" w:ascii="仿宋" w:hAnsi="仿宋" w:cs="仿宋"/>
          <w:sz w:val="24"/>
          <w:szCs w:val="24"/>
        </w:rPr>
        <w:t xml:space="preserve">                         </w:t>
      </w:r>
    </w:p>
    <w:p w14:paraId="650683D2">
      <w:pPr>
        <w:adjustRightInd w:val="0"/>
        <w:snapToGrid w:val="0"/>
        <w:spacing w:line="360" w:lineRule="auto"/>
        <w:ind w:firstLine="480" w:firstLineChars="200"/>
        <w:rPr>
          <w:rFonts w:ascii="仿宋" w:hAnsi="仿宋" w:cs="仿宋"/>
          <w:sz w:val="24"/>
          <w:szCs w:val="24"/>
          <w:u w:val="single"/>
        </w:rPr>
      </w:pPr>
      <w:r>
        <w:rPr>
          <w:rFonts w:hint="eastAsia" w:ascii="仿宋" w:hAnsi="仿宋" w:cs="仿宋"/>
          <w:sz w:val="24"/>
          <w:szCs w:val="24"/>
        </w:rPr>
        <w:t>根据</w:t>
      </w:r>
      <w:r>
        <w:rPr>
          <w:rFonts w:hint="eastAsia" w:ascii="仿宋" w:hAnsi="仿宋" w:cs="仿宋"/>
          <w:sz w:val="24"/>
          <w:szCs w:val="24"/>
          <w:u w:val="single"/>
        </w:rPr>
        <w:t>（</w:t>
      </w:r>
      <w:r>
        <w:rPr>
          <w:rFonts w:hint="eastAsia" w:ascii="仿宋" w:hAnsi="仿宋" w:cs="仿宋"/>
          <w:sz w:val="24"/>
          <w:szCs w:val="24"/>
          <w:u w:val="single"/>
          <w:lang w:eastAsia="zh-CN"/>
        </w:rPr>
        <w:t>2025年灞桥区全民健身惠民工程</w:t>
      </w:r>
      <w:r>
        <w:rPr>
          <w:rFonts w:hint="eastAsia" w:ascii="仿宋" w:hAnsi="仿宋" w:cs="仿宋"/>
          <w:sz w:val="24"/>
          <w:szCs w:val="24"/>
          <w:u w:val="single"/>
          <w:lang w:val="en-US" w:eastAsia="zh-CN"/>
        </w:rPr>
        <w:t>包（ ）</w:t>
      </w:r>
      <w:r>
        <w:rPr>
          <w:rFonts w:hint="eastAsia" w:ascii="仿宋" w:hAnsi="仿宋" w:cs="仿宋"/>
          <w:sz w:val="24"/>
          <w:szCs w:val="24"/>
          <w:u w:val="single"/>
        </w:rPr>
        <w:t>）</w:t>
      </w:r>
      <w:r>
        <w:rPr>
          <w:rFonts w:hint="eastAsia" w:ascii="仿宋" w:hAnsi="仿宋" w:cs="仿宋"/>
          <w:sz w:val="24"/>
          <w:szCs w:val="24"/>
        </w:rPr>
        <w:t>的采购结果，按照《中华人民共和国民法典》及其他有关法律、法规，遵循</w:t>
      </w:r>
      <w:bookmarkStart w:id="38" w:name="_GoBack"/>
      <w:bookmarkEnd w:id="38"/>
      <w:r>
        <w:rPr>
          <w:rFonts w:hint="eastAsia" w:ascii="仿宋" w:hAnsi="仿宋" w:cs="仿宋"/>
          <w:sz w:val="24"/>
          <w:szCs w:val="24"/>
        </w:rPr>
        <w:t>平等、自愿、公平和诚信的原则，双方就下述项目范围与相关服务事项协商一致，订立本合同。</w:t>
      </w:r>
    </w:p>
    <w:p w14:paraId="0FADC5F7">
      <w:pPr>
        <w:spacing w:line="360" w:lineRule="auto"/>
        <w:rPr>
          <w:rFonts w:ascii="仿宋" w:hAnsi="仿宋" w:cs="仿宋"/>
          <w:b/>
          <w:sz w:val="24"/>
          <w:szCs w:val="24"/>
        </w:rPr>
      </w:pPr>
      <w:r>
        <w:rPr>
          <w:rFonts w:hint="eastAsia" w:ascii="仿宋" w:hAnsi="仿宋" w:cs="仿宋"/>
          <w:b/>
          <w:sz w:val="24"/>
          <w:szCs w:val="24"/>
        </w:rPr>
        <w:t>一、项目概况</w:t>
      </w:r>
    </w:p>
    <w:p w14:paraId="3C187B4B">
      <w:pPr>
        <w:adjustRightInd w:val="0"/>
        <w:snapToGrid w:val="0"/>
        <w:spacing w:line="360" w:lineRule="auto"/>
        <w:ind w:firstLine="480" w:firstLineChars="200"/>
        <w:outlineLvl w:val="1"/>
        <w:rPr>
          <w:rFonts w:ascii="仿宋" w:hAnsi="仿宋" w:cs="仿宋"/>
          <w:sz w:val="24"/>
          <w:szCs w:val="24"/>
          <w:u w:val="single"/>
        </w:rPr>
      </w:pPr>
      <w:bookmarkStart w:id="1" w:name="_Toc14051"/>
      <w:bookmarkStart w:id="2" w:name="_Toc20252"/>
      <w:bookmarkStart w:id="3" w:name="_Toc9887"/>
      <w:r>
        <w:rPr>
          <w:rFonts w:hint="eastAsia" w:ascii="仿宋" w:hAnsi="仿宋" w:cs="仿宋"/>
          <w:sz w:val="24"/>
          <w:szCs w:val="24"/>
        </w:rPr>
        <w:t>1、项目名称：</w:t>
      </w:r>
      <w:r>
        <w:rPr>
          <w:rFonts w:hint="eastAsia" w:ascii="仿宋" w:hAnsi="仿宋" w:cs="仿宋"/>
          <w:sz w:val="24"/>
          <w:szCs w:val="24"/>
          <w:u w:val="single"/>
          <w:lang w:eastAsia="zh-CN"/>
        </w:rPr>
        <w:t>2025年灞桥区全民健身惠民工程</w:t>
      </w:r>
      <w:r>
        <w:rPr>
          <w:rFonts w:hint="eastAsia" w:ascii="仿宋" w:hAnsi="仿宋" w:cs="仿宋"/>
          <w:sz w:val="24"/>
          <w:szCs w:val="24"/>
          <w:u w:val="single"/>
        </w:rPr>
        <w:t xml:space="preserve"> ；</w:t>
      </w:r>
      <w:bookmarkEnd w:id="1"/>
      <w:bookmarkEnd w:id="2"/>
      <w:bookmarkEnd w:id="3"/>
    </w:p>
    <w:p w14:paraId="0229A62F">
      <w:pPr>
        <w:adjustRightInd w:val="0"/>
        <w:snapToGrid w:val="0"/>
        <w:spacing w:line="360" w:lineRule="auto"/>
        <w:ind w:firstLine="480" w:firstLineChars="200"/>
        <w:outlineLvl w:val="1"/>
        <w:rPr>
          <w:rFonts w:ascii="仿宋" w:hAnsi="仿宋" w:cs="仿宋"/>
          <w:sz w:val="24"/>
          <w:szCs w:val="24"/>
        </w:rPr>
      </w:pPr>
      <w:bookmarkStart w:id="4" w:name="_Toc26738"/>
      <w:bookmarkStart w:id="5" w:name="_Toc7927"/>
      <w:bookmarkStart w:id="6" w:name="_Toc27168"/>
      <w:r>
        <w:rPr>
          <w:rFonts w:hint="eastAsia" w:ascii="仿宋" w:hAnsi="仿宋" w:cs="仿宋"/>
          <w:sz w:val="24"/>
          <w:szCs w:val="24"/>
        </w:rPr>
        <w:t>2、项目地点：</w:t>
      </w:r>
      <w:r>
        <w:rPr>
          <w:rFonts w:hint="eastAsia" w:ascii="仿宋" w:hAnsi="仿宋" w:cs="仿宋"/>
          <w:sz w:val="24"/>
          <w:szCs w:val="24"/>
          <w:u w:val="single"/>
        </w:rPr>
        <w:t>采购人指定地点；</w:t>
      </w:r>
      <w:bookmarkEnd w:id="4"/>
      <w:bookmarkEnd w:id="5"/>
      <w:bookmarkEnd w:id="6"/>
    </w:p>
    <w:p w14:paraId="716D2CF4">
      <w:pPr>
        <w:spacing w:line="360" w:lineRule="auto"/>
        <w:rPr>
          <w:rFonts w:ascii="仿宋" w:hAnsi="仿宋" w:cs="仿宋"/>
          <w:b/>
          <w:sz w:val="24"/>
          <w:szCs w:val="24"/>
        </w:rPr>
      </w:pPr>
      <w:r>
        <w:rPr>
          <w:rFonts w:hint="eastAsia" w:ascii="仿宋" w:hAnsi="仿宋" w:cs="仿宋"/>
          <w:b/>
          <w:sz w:val="24"/>
          <w:szCs w:val="24"/>
        </w:rPr>
        <w:t>二、组成本合同的文件</w:t>
      </w:r>
    </w:p>
    <w:p w14:paraId="1856B5B7">
      <w:pPr>
        <w:adjustRightInd w:val="0"/>
        <w:snapToGrid w:val="0"/>
        <w:spacing w:line="360" w:lineRule="auto"/>
        <w:ind w:firstLine="475" w:firstLineChars="198"/>
        <w:rPr>
          <w:rFonts w:ascii="仿宋" w:hAnsi="仿宋" w:cs="仿宋"/>
          <w:sz w:val="24"/>
          <w:szCs w:val="24"/>
        </w:rPr>
      </w:pPr>
      <w:r>
        <w:rPr>
          <w:rFonts w:hint="eastAsia" w:ascii="仿宋" w:hAnsi="仿宋" w:cs="仿宋"/>
          <w:sz w:val="24"/>
          <w:szCs w:val="24"/>
        </w:rPr>
        <w:t>1. 合同书；</w:t>
      </w:r>
    </w:p>
    <w:p w14:paraId="5BEC1D88">
      <w:pPr>
        <w:adjustRightInd w:val="0"/>
        <w:snapToGrid w:val="0"/>
        <w:spacing w:line="360" w:lineRule="auto"/>
        <w:ind w:firstLine="475" w:firstLineChars="198"/>
        <w:rPr>
          <w:rFonts w:ascii="仿宋" w:hAnsi="仿宋" w:cs="仿宋"/>
          <w:sz w:val="24"/>
          <w:szCs w:val="24"/>
        </w:rPr>
      </w:pPr>
      <w:r>
        <w:rPr>
          <w:rFonts w:hint="eastAsia" w:ascii="仿宋" w:hAnsi="仿宋" w:cs="仿宋"/>
          <w:sz w:val="24"/>
          <w:szCs w:val="24"/>
        </w:rPr>
        <w:t>2. 成交通知书、谈判响应文件、竞争性谈判文件、澄清、补充文件；</w:t>
      </w:r>
    </w:p>
    <w:p w14:paraId="120C4A1F">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3. 相关服务建议书；</w:t>
      </w:r>
    </w:p>
    <w:p w14:paraId="1D4D2C0C">
      <w:pPr>
        <w:adjustRightInd w:val="0"/>
        <w:snapToGrid w:val="0"/>
        <w:spacing w:line="360" w:lineRule="auto"/>
        <w:rPr>
          <w:rFonts w:ascii="仿宋" w:hAnsi="仿宋" w:cs="仿宋"/>
          <w:sz w:val="24"/>
          <w:szCs w:val="24"/>
        </w:rPr>
      </w:pPr>
      <w:r>
        <w:rPr>
          <w:rFonts w:hint="eastAsia" w:ascii="仿宋" w:hAnsi="仿宋" w:cs="仿宋"/>
          <w:sz w:val="24"/>
          <w:szCs w:val="24"/>
        </w:rPr>
        <w:t xml:space="preserve">    4. 附录，即：附表内相关服务的范围和内容；</w:t>
      </w:r>
    </w:p>
    <w:p w14:paraId="0CA4F6EB">
      <w:pPr>
        <w:adjustRightInd w:val="0"/>
        <w:snapToGrid w:val="0"/>
        <w:spacing w:line="360" w:lineRule="auto"/>
        <w:ind w:firstLine="475" w:firstLineChars="198"/>
        <w:rPr>
          <w:rFonts w:ascii="仿宋" w:hAnsi="仿宋" w:cs="仿宋"/>
          <w:sz w:val="24"/>
          <w:szCs w:val="24"/>
        </w:rPr>
      </w:pPr>
      <w:r>
        <w:rPr>
          <w:rFonts w:hint="eastAsia" w:ascii="仿宋" w:hAnsi="仿宋" w:cs="仿宋"/>
          <w:sz w:val="24"/>
          <w:szCs w:val="24"/>
        </w:rPr>
        <w:t>本合同签订后，双方依法签订的补充协议也是本合同文件的组成部分，具有同等法律效力。</w:t>
      </w:r>
    </w:p>
    <w:p w14:paraId="7FE9D3B9">
      <w:pPr>
        <w:spacing w:line="360" w:lineRule="auto"/>
        <w:rPr>
          <w:rFonts w:ascii="仿宋" w:hAnsi="仿宋" w:cs="仿宋"/>
          <w:b/>
          <w:sz w:val="24"/>
          <w:szCs w:val="24"/>
        </w:rPr>
      </w:pPr>
      <w:r>
        <w:rPr>
          <w:rFonts w:hint="eastAsia" w:ascii="仿宋" w:hAnsi="仿宋" w:cs="仿宋"/>
          <w:b/>
          <w:sz w:val="24"/>
          <w:szCs w:val="24"/>
        </w:rPr>
        <w:t>三、合同总价</w:t>
      </w:r>
    </w:p>
    <w:p w14:paraId="3DD4598C">
      <w:pPr>
        <w:adjustRightInd w:val="0"/>
        <w:snapToGrid w:val="0"/>
        <w:spacing w:line="360" w:lineRule="auto"/>
        <w:ind w:firstLine="482" w:firstLineChars="200"/>
        <w:rPr>
          <w:rFonts w:ascii="仿宋" w:hAnsi="仿宋" w:cs="仿宋"/>
          <w:sz w:val="24"/>
          <w:szCs w:val="24"/>
        </w:rPr>
      </w:pPr>
      <w:r>
        <w:rPr>
          <w:rFonts w:hint="eastAsia" w:ascii="仿宋" w:hAnsi="仿宋" w:cs="仿宋"/>
          <w:b/>
          <w:sz w:val="24"/>
          <w:szCs w:val="24"/>
        </w:rPr>
        <w:t>合同总价</w:t>
      </w:r>
      <w:r>
        <w:rPr>
          <w:rFonts w:hint="eastAsia" w:ascii="仿宋" w:hAnsi="仿宋" w:cs="仿宋"/>
          <w:sz w:val="24"/>
          <w:szCs w:val="24"/>
        </w:rPr>
        <w:t>（大写）：</w:t>
      </w:r>
      <w:r>
        <w:rPr>
          <w:rFonts w:hint="eastAsia" w:ascii="仿宋" w:hAnsi="仿宋" w:cs="仿宋"/>
          <w:sz w:val="24"/>
          <w:szCs w:val="24"/>
          <w:u w:val="single"/>
        </w:rPr>
        <w:t xml:space="preserve">                            </w:t>
      </w:r>
      <w:r>
        <w:rPr>
          <w:rFonts w:hint="eastAsia" w:ascii="仿宋" w:hAnsi="仿宋" w:cs="仿宋"/>
          <w:sz w:val="24"/>
          <w:szCs w:val="24"/>
        </w:rPr>
        <w:t>（¥        ）；</w:t>
      </w:r>
    </w:p>
    <w:p w14:paraId="36F0748E">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合同总价即中标价，总价包干，不受市场价变化或实际工作量变化的影响。合同价格为含税价，供应商提供产品发生的一切税（包括增值税）费等都已包含于合同价款中。</w:t>
      </w:r>
    </w:p>
    <w:p w14:paraId="62D7C912">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附分项清单：</w:t>
      </w:r>
    </w:p>
    <w:tbl>
      <w:tblPr>
        <w:tblStyle w:val="9"/>
        <w:tblW w:w="87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970"/>
        <w:gridCol w:w="1584"/>
        <w:gridCol w:w="1584"/>
        <w:gridCol w:w="756"/>
        <w:gridCol w:w="734"/>
        <w:gridCol w:w="1026"/>
        <w:gridCol w:w="1379"/>
      </w:tblGrid>
      <w:tr w14:paraId="3D37D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exact"/>
          <w:jc w:val="center"/>
        </w:trPr>
        <w:tc>
          <w:tcPr>
            <w:tcW w:w="724" w:type="dxa"/>
            <w:vAlign w:val="center"/>
          </w:tcPr>
          <w:p w14:paraId="703C2CA5">
            <w:pPr>
              <w:adjustRightInd w:val="0"/>
              <w:snapToGrid w:val="0"/>
              <w:jc w:val="center"/>
              <w:rPr>
                <w:rFonts w:ascii="仿宋" w:hAnsi="仿宋" w:cs="仿宋"/>
                <w:sz w:val="24"/>
                <w:szCs w:val="24"/>
              </w:rPr>
            </w:pPr>
            <w:r>
              <w:rPr>
                <w:rFonts w:hint="eastAsia" w:ascii="仿宋" w:hAnsi="仿宋" w:cs="仿宋"/>
                <w:sz w:val="24"/>
                <w:szCs w:val="24"/>
              </w:rPr>
              <w:t>序号</w:t>
            </w:r>
          </w:p>
        </w:tc>
        <w:tc>
          <w:tcPr>
            <w:tcW w:w="970" w:type="dxa"/>
            <w:vAlign w:val="center"/>
          </w:tcPr>
          <w:p w14:paraId="06384AC7">
            <w:pPr>
              <w:adjustRightInd w:val="0"/>
              <w:snapToGrid w:val="0"/>
              <w:jc w:val="center"/>
              <w:rPr>
                <w:rFonts w:ascii="仿宋" w:hAnsi="仿宋" w:cs="仿宋"/>
                <w:sz w:val="24"/>
                <w:szCs w:val="24"/>
              </w:rPr>
            </w:pPr>
            <w:r>
              <w:rPr>
                <w:rFonts w:hint="eastAsia" w:ascii="仿宋" w:hAnsi="仿宋" w:cs="仿宋"/>
                <w:sz w:val="24"/>
                <w:szCs w:val="24"/>
              </w:rPr>
              <w:t>名称</w:t>
            </w:r>
          </w:p>
        </w:tc>
        <w:tc>
          <w:tcPr>
            <w:tcW w:w="1584" w:type="dxa"/>
            <w:vAlign w:val="center"/>
          </w:tcPr>
          <w:p w14:paraId="11274012">
            <w:pPr>
              <w:adjustRightInd w:val="0"/>
              <w:snapToGrid w:val="0"/>
              <w:jc w:val="center"/>
              <w:rPr>
                <w:rFonts w:ascii="仿宋" w:hAnsi="仿宋" w:cs="仿宋"/>
                <w:sz w:val="24"/>
                <w:szCs w:val="24"/>
              </w:rPr>
            </w:pPr>
            <w:r>
              <w:rPr>
                <w:rFonts w:hint="eastAsia" w:ascii="仿宋" w:hAnsi="仿宋" w:cs="仿宋"/>
                <w:sz w:val="24"/>
                <w:szCs w:val="24"/>
              </w:rPr>
              <w:t>品牌</w:t>
            </w:r>
          </w:p>
        </w:tc>
        <w:tc>
          <w:tcPr>
            <w:tcW w:w="1584" w:type="dxa"/>
            <w:vAlign w:val="center"/>
          </w:tcPr>
          <w:p w14:paraId="5E7BE766">
            <w:pPr>
              <w:adjustRightInd w:val="0"/>
              <w:snapToGrid w:val="0"/>
              <w:jc w:val="center"/>
              <w:rPr>
                <w:rFonts w:ascii="仿宋" w:hAnsi="仿宋" w:cs="仿宋"/>
                <w:sz w:val="24"/>
                <w:szCs w:val="24"/>
              </w:rPr>
            </w:pPr>
            <w:r>
              <w:rPr>
                <w:rFonts w:hint="eastAsia" w:ascii="仿宋" w:hAnsi="仿宋" w:cs="仿宋"/>
                <w:sz w:val="24"/>
                <w:szCs w:val="24"/>
              </w:rPr>
              <w:t>规格型号</w:t>
            </w:r>
          </w:p>
        </w:tc>
        <w:tc>
          <w:tcPr>
            <w:tcW w:w="756" w:type="dxa"/>
            <w:vAlign w:val="center"/>
          </w:tcPr>
          <w:p w14:paraId="1A967BB7">
            <w:pPr>
              <w:adjustRightInd w:val="0"/>
              <w:snapToGrid w:val="0"/>
              <w:jc w:val="center"/>
              <w:rPr>
                <w:rFonts w:ascii="仿宋" w:hAnsi="仿宋" w:cs="仿宋"/>
                <w:sz w:val="24"/>
                <w:szCs w:val="24"/>
              </w:rPr>
            </w:pPr>
            <w:r>
              <w:rPr>
                <w:rFonts w:hint="eastAsia" w:ascii="仿宋" w:hAnsi="仿宋" w:cs="仿宋"/>
                <w:sz w:val="24"/>
                <w:szCs w:val="24"/>
              </w:rPr>
              <w:t>数量</w:t>
            </w:r>
          </w:p>
        </w:tc>
        <w:tc>
          <w:tcPr>
            <w:tcW w:w="734" w:type="dxa"/>
            <w:vAlign w:val="center"/>
          </w:tcPr>
          <w:p w14:paraId="6E369EC9">
            <w:pPr>
              <w:adjustRightInd w:val="0"/>
              <w:snapToGrid w:val="0"/>
              <w:jc w:val="center"/>
              <w:rPr>
                <w:rFonts w:ascii="仿宋" w:hAnsi="仿宋" w:cs="仿宋"/>
                <w:sz w:val="24"/>
                <w:szCs w:val="24"/>
              </w:rPr>
            </w:pPr>
            <w:r>
              <w:rPr>
                <w:rFonts w:hint="eastAsia" w:ascii="仿宋" w:hAnsi="仿宋" w:cs="仿宋"/>
                <w:sz w:val="24"/>
                <w:szCs w:val="24"/>
              </w:rPr>
              <w:t>单位</w:t>
            </w:r>
          </w:p>
        </w:tc>
        <w:tc>
          <w:tcPr>
            <w:tcW w:w="1026" w:type="dxa"/>
            <w:vAlign w:val="center"/>
          </w:tcPr>
          <w:p w14:paraId="1EFD72EA">
            <w:pPr>
              <w:adjustRightInd w:val="0"/>
              <w:snapToGrid w:val="0"/>
              <w:jc w:val="center"/>
              <w:rPr>
                <w:rFonts w:ascii="仿宋" w:hAnsi="仿宋" w:cs="仿宋"/>
                <w:sz w:val="24"/>
                <w:szCs w:val="24"/>
              </w:rPr>
            </w:pPr>
            <w:r>
              <w:rPr>
                <w:rFonts w:hint="eastAsia" w:ascii="仿宋" w:hAnsi="仿宋" w:cs="仿宋"/>
                <w:sz w:val="24"/>
                <w:szCs w:val="24"/>
              </w:rPr>
              <w:t>单价</w:t>
            </w:r>
          </w:p>
          <w:p w14:paraId="411458EA">
            <w:pPr>
              <w:adjustRightInd w:val="0"/>
              <w:snapToGrid w:val="0"/>
              <w:jc w:val="center"/>
              <w:rPr>
                <w:rFonts w:ascii="仿宋" w:hAnsi="仿宋" w:cs="仿宋"/>
                <w:sz w:val="24"/>
                <w:szCs w:val="24"/>
              </w:rPr>
            </w:pPr>
            <w:r>
              <w:rPr>
                <w:rFonts w:hint="eastAsia" w:ascii="仿宋" w:hAnsi="仿宋" w:cs="仿宋"/>
                <w:sz w:val="24"/>
                <w:szCs w:val="24"/>
              </w:rPr>
              <w:t>（元）</w:t>
            </w:r>
          </w:p>
        </w:tc>
        <w:tc>
          <w:tcPr>
            <w:tcW w:w="1379" w:type="dxa"/>
            <w:vAlign w:val="center"/>
          </w:tcPr>
          <w:p w14:paraId="32A7E23C">
            <w:pPr>
              <w:adjustRightInd w:val="0"/>
              <w:snapToGrid w:val="0"/>
              <w:jc w:val="center"/>
              <w:rPr>
                <w:rFonts w:ascii="仿宋" w:hAnsi="仿宋" w:cs="仿宋"/>
                <w:sz w:val="24"/>
                <w:szCs w:val="24"/>
              </w:rPr>
            </w:pPr>
            <w:r>
              <w:rPr>
                <w:rFonts w:hint="eastAsia" w:ascii="仿宋" w:hAnsi="仿宋" w:cs="仿宋"/>
                <w:sz w:val="24"/>
                <w:szCs w:val="24"/>
              </w:rPr>
              <w:t>合计</w:t>
            </w:r>
          </w:p>
          <w:p w14:paraId="14294A19">
            <w:pPr>
              <w:adjustRightInd w:val="0"/>
              <w:snapToGrid w:val="0"/>
              <w:jc w:val="center"/>
              <w:rPr>
                <w:rFonts w:ascii="仿宋" w:hAnsi="仿宋" w:cs="仿宋"/>
                <w:sz w:val="24"/>
                <w:szCs w:val="24"/>
              </w:rPr>
            </w:pPr>
            <w:r>
              <w:rPr>
                <w:rFonts w:hint="eastAsia" w:ascii="仿宋" w:hAnsi="仿宋" w:cs="仿宋"/>
                <w:sz w:val="24"/>
                <w:szCs w:val="24"/>
              </w:rPr>
              <w:t>（元）</w:t>
            </w:r>
          </w:p>
        </w:tc>
      </w:tr>
      <w:tr w14:paraId="37C45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724" w:type="dxa"/>
            <w:vAlign w:val="center"/>
          </w:tcPr>
          <w:p w14:paraId="17C4C99E">
            <w:pPr>
              <w:adjustRightInd w:val="0"/>
              <w:snapToGrid w:val="0"/>
              <w:jc w:val="center"/>
              <w:rPr>
                <w:rFonts w:ascii="仿宋" w:hAnsi="仿宋" w:cs="仿宋"/>
                <w:sz w:val="24"/>
                <w:szCs w:val="24"/>
              </w:rPr>
            </w:pPr>
          </w:p>
        </w:tc>
        <w:tc>
          <w:tcPr>
            <w:tcW w:w="970" w:type="dxa"/>
            <w:vAlign w:val="center"/>
          </w:tcPr>
          <w:p w14:paraId="2B80F7AB">
            <w:pPr>
              <w:adjustRightInd w:val="0"/>
              <w:snapToGrid w:val="0"/>
              <w:jc w:val="center"/>
              <w:rPr>
                <w:rFonts w:ascii="仿宋" w:hAnsi="仿宋" w:cs="仿宋"/>
                <w:sz w:val="24"/>
                <w:szCs w:val="24"/>
              </w:rPr>
            </w:pPr>
          </w:p>
        </w:tc>
        <w:tc>
          <w:tcPr>
            <w:tcW w:w="1584" w:type="dxa"/>
            <w:vAlign w:val="center"/>
          </w:tcPr>
          <w:p w14:paraId="515AB0B5">
            <w:pPr>
              <w:adjustRightInd w:val="0"/>
              <w:snapToGrid w:val="0"/>
              <w:jc w:val="center"/>
              <w:rPr>
                <w:rFonts w:ascii="仿宋" w:hAnsi="仿宋" w:cs="仿宋"/>
                <w:sz w:val="24"/>
                <w:szCs w:val="24"/>
              </w:rPr>
            </w:pPr>
          </w:p>
        </w:tc>
        <w:tc>
          <w:tcPr>
            <w:tcW w:w="1584" w:type="dxa"/>
            <w:vAlign w:val="center"/>
          </w:tcPr>
          <w:p w14:paraId="3BB91908">
            <w:pPr>
              <w:adjustRightInd w:val="0"/>
              <w:snapToGrid w:val="0"/>
              <w:jc w:val="center"/>
              <w:rPr>
                <w:rFonts w:ascii="仿宋" w:hAnsi="仿宋" w:cs="仿宋"/>
                <w:sz w:val="24"/>
                <w:szCs w:val="24"/>
              </w:rPr>
            </w:pPr>
          </w:p>
        </w:tc>
        <w:tc>
          <w:tcPr>
            <w:tcW w:w="756" w:type="dxa"/>
            <w:vAlign w:val="center"/>
          </w:tcPr>
          <w:p w14:paraId="031E6436">
            <w:pPr>
              <w:adjustRightInd w:val="0"/>
              <w:snapToGrid w:val="0"/>
              <w:jc w:val="center"/>
              <w:rPr>
                <w:rFonts w:ascii="仿宋" w:hAnsi="仿宋" w:cs="仿宋"/>
                <w:sz w:val="24"/>
                <w:szCs w:val="24"/>
              </w:rPr>
            </w:pPr>
          </w:p>
        </w:tc>
        <w:tc>
          <w:tcPr>
            <w:tcW w:w="734" w:type="dxa"/>
            <w:vAlign w:val="center"/>
          </w:tcPr>
          <w:p w14:paraId="19FE1A9A">
            <w:pPr>
              <w:adjustRightInd w:val="0"/>
              <w:snapToGrid w:val="0"/>
              <w:jc w:val="center"/>
              <w:rPr>
                <w:rFonts w:ascii="仿宋" w:hAnsi="仿宋" w:cs="仿宋"/>
                <w:sz w:val="24"/>
                <w:szCs w:val="24"/>
              </w:rPr>
            </w:pPr>
          </w:p>
        </w:tc>
        <w:tc>
          <w:tcPr>
            <w:tcW w:w="1026" w:type="dxa"/>
            <w:vAlign w:val="center"/>
          </w:tcPr>
          <w:p w14:paraId="490122C2">
            <w:pPr>
              <w:adjustRightInd w:val="0"/>
              <w:snapToGrid w:val="0"/>
              <w:jc w:val="center"/>
              <w:rPr>
                <w:rFonts w:ascii="仿宋" w:hAnsi="仿宋" w:cs="仿宋"/>
                <w:sz w:val="24"/>
                <w:szCs w:val="24"/>
              </w:rPr>
            </w:pPr>
          </w:p>
        </w:tc>
        <w:tc>
          <w:tcPr>
            <w:tcW w:w="1379" w:type="dxa"/>
            <w:vAlign w:val="center"/>
          </w:tcPr>
          <w:p w14:paraId="1F407BB8">
            <w:pPr>
              <w:adjustRightInd w:val="0"/>
              <w:snapToGrid w:val="0"/>
              <w:jc w:val="center"/>
              <w:rPr>
                <w:rFonts w:ascii="仿宋" w:hAnsi="仿宋" w:cs="仿宋"/>
                <w:sz w:val="24"/>
                <w:szCs w:val="24"/>
              </w:rPr>
            </w:pPr>
          </w:p>
        </w:tc>
      </w:tr>
      <w:tr w14:paraId="78A7E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724" w:type="dxa"/>
            <w:vAlign w:val="center"/>
          </w:tcPr>
          <w:p w14:paraId="4BB6DB02">
            <w:pPr>
              <w:adjustRightInd w:val="0"/>
              <w:snapToGrid w:val="0"/>
              <w:jc w:val="center"/>
              <w:rPr>
                <w:rFonts w:ascii="仿宋" w:hAnsi="仿宋" w:cs="仿宋"/>
                <w:sz w:val="24"/>
                <w:szCs w:val="24"/>
              </w:rPr>
            </w:pPr>
          </w:p>
        </w:tc>
        <w:tc>
          <w:tcPr>
            <w:tcW w:w="970" w:type="dxa"/>
            <w:vAlign w:val="center"/>
          </w:tcPr>
          <w:p w14:paraId="63D815B9">
            <w:pPr>
              <w:adjustRightInd w:val="0"/>
              <w:snapToGrid w:val="0"/>
              <w:jc w:val="center"/>
              <w:rPr>
                <w:rFonts w:ascii="仿宋" w:hAnsi="仿宋" w:cs="仿宋"/>
                <w:sz w:val="24"/>
                <w:szCs w:val="24"/>
              </w:rPr>
            </w:pPr>
          </w:p>
        </w:tc>
        <w:tc>
          <w:tcPr>
            <w:tcW w:w="1584" w:type="dxa"/>
            <w:vAlign w:val="center"/>
          </w:tcPr>
          <w:p w14:paraId="07A6B656">
            <w:pPr>
              <w:adjustRightInd w:val="0"/>
              <w:snapToGrid w:val="0"/>
              <w:jc w:val="center"/>
              <w:rPr>
                <w:rFonts w:ascii="仿宋" w:hAnsi="仿宋" w:cs="仿宋"/>
                <w:sz w:val="24"/>
                <w:szCs w:val="24"/>
              </w:rPr>
            </w:pPr>
          </w:p>
        </w:tc>
        <w:tc>
          <w:tcPr>
            <w:tcW w:w="1584" w:type="dxa"/>
            <w:vAlign w:val="center"/>
          </w:tcPr>
          <w:p w14:paraId="59AAA6F0">
            <w:pPr>
              <w:adjustRightInd w:val="0"/>
              <w:snapToGrid w:val="0"/>
              <w:jc w:val="center"/>
              <w:rPr>
                <w:rFonts w:ascii="仿宋" w:hAnsi="仿宋" w:cs="仿宋"/>
                <w:sz w:val="24"/>
                <w:szCs w:val="24"/>
              </w:rPr>
            </w:pPr>
          </w:p>
        </w:tc>
        <w:tc>
          <w:tcPr>
            <w:tcW w:w="756" w:type="dxa"/>
            <w:vAlign w:val="center"/>
          </w:tcPr>
          <w:p w14:paraId="73022325">
            <w:pPr>
              <w:adjustRightInd w:val="0"/>
              <w:snapToGrid w:val="0"/>
              <w:jc w:val="center"/>
              <w:rPr>
                <w:rFonts w:ascii="仿宋" w:hAnsi="仿宋" w:cs="仿宋"/>
                <w:sz w:val="24"/>
                <w:szCs w:val="24"/>
              </w:rPr>
            </w:pPr>
          </w:p>
        </w:tc>
        <w:tc>
          <w:tcPr>
            <w:tcW w:w="734" w:type="dxa"/>
            <w:vAlign w:val="center"/>
          </w:tcPr>
          <w:p w14:paraId="60D32766">
            <w:pPr>
              <w:adjustRightInd w:val="0"/>
              <w:snapToGrid w:val="0"/>
              <w:jc w:val="center"/>
              <w:rPr>
                <w:rFonts w:ascii="仿宋" w:hAnsi="仿宋" w:cs="仿宋"/>
                <w:sz w:val="24"/>
                <w:szCs w:val="24"/>
              </w:rPr>
            </w:pPr>
          </w:p>
        </w:tc>
        <w:tc>
          <w:tcPr>
            <w:tcW w:w="1026" w:type="dxa"/>
            <w:vAlign w:val="center"/>
          </w:tcPr>
          <w:p w14:paraId="02363FA3">
            <w:pPr>
              <w:adjustRightInd w:val="0"/>
              <w:snapToGrid w:val="0"/>
              <w:jc w:val="center"/>
              <w:rPr>
                <w:rFonts w:ascii="仿宋" w:hAnsi="仿宋" w:cs="仿宋"/>
                <w:sz w:val="24"/>
                <w:szCs w:val="24"/>
              </w:rPr>
            </w:pPr>
          </w:p>
        </w:tc>
        <w:tc>
          <w:tcPr>
            <w:tcW w:w="1379" w:type="dxa"/>
            <w:vAlign w:val="center"/>
          </w:tcPr>
          <w:p w14:paraId="6CE75E78">
            <w:pPr>
              <w:adjustRightInd w:val="0"/>
              <w:snapToGrid w:val="0"/>
              <w:jc w:val="center"/>
              <w:rPr>
                <w:rFonts w:ascii="仿宋" w:hAnsi="仿宋" w:cs="仿宋"/>
                <w:sz w:val="24"/>
                <w:szCs w:val="24"/>
              </w:rPr>
            </w:pPr>
          </w:p>
        </w:tc>
      </w:tr>
      <w:tr w14:paraId="3682B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jc w:val="center"/>
        </w:trPr>
        <w:tc>
          <w:tcPr>
            <w:tcW w:w="724" w:type="dxa"/>
            <w:vAlign w:val="center"/>
          </w:tcPr>
          <w:p w14:paraId="58264002">
            <w:pPr>
              <w:adjustRightInd w:val="0"/>
              <w:snapToGrid w:val="0"/>
              <w:jc w:val="center"/>
              <w:rPr>
                <w:rFonts w:ascii="仿宋" w:hAnsi="仿宋" w:cs="仿宋"/>
                <w:sz w:val="24"/>
                <w:szCs w:val="24"/>
              </w:rPr>
            </w:pPr>
          </w:p>
        </w:tc>
        <w:tc>
          <w:tcPr>
            <w:tcW w:w="970" w:type="dxa"/>
            <w:vAlign w:val="center"/>
          </w:tcPr>
          <w:p w14:paraId="589EF7EE">
            <w:pPr>
              <w:adjustRightInd w:val="0"/>
              <w:snapToGrid w:val="0"/>
              <w:jc w:val="center"/>
              <w:rPr>
                <w:rFonts w:ascii="仿宋" w:hAnsi="仿宋" w:cs="仿宋"/>
                <w:sz w:val="24"/>
                <w:szCs w:val="24"/>
              </w:rPr>
            </w:pPr>
          </w:p>
        </w:tc>
        <w:tc>
          <w:tcPr>
            <w:tcW w:w="1584" w:type="dxa"/>
            <w:vAlign w:val="center"/>
          </w:tcPr>
          <w:p w14:paraId="0F10627C">
            <w:pPr>
              <w:adjustRightInd w:val="0"/>
              <w:snapToGrid w:val="0"/>
              <w:jc w:val="center"/>
              <w:rPr>
                <w:rFonts w:ascii="仿宋" w:hAnsi="仿宋" w:cs="仿宋"/>
                <w:sz w:val="24"/>
                <w:szCs w:val="24"/>
              </w:rPr>
            </w:pPr>
          </w:p>
        </w:tc>
        <w:tc>
          <w:tcPr>
            <w:tcW w:w="1584" w:type="dxa"/>
            <w:vAlign w:val="center"/>
          </w:tcPr>
          <w:p w14:paraId="2BE7CA76">
            <w:pPr>
              <w:adjustRightInd w:val="0"/>
              <w:snapToGrid w:val="0"/>
              <w:jc w:val="center"/>
              <w:rPr>
                <w:rFonts w:ascii="仿宋" w:hAnsi="仿宋" w:cs="仿宋"/>
                <w:sz w:val="24"/>
                <w:szCs w:val="24"/>
              </w:rPr>
            </w:pPr>
          </w:p>
        </w:tc>
        <w:tc>
          <w:tcPr>
            <w:tcW w:w="756" w:type="dxa"/>
            <w:vAlign w:val="center"/>
          </w:tcPr>
          <w:p w14:paraId="6E493933">
            <w:pPr>
              <w:adjustRightInd w:val="0"/>
              <w:snapToGrid w:val="0"/>
              <w:jc w:val="center"/>
              <w:rPr>
                <w:rFonts w:ascii="仿宋" w:hAnsi="仿宋" w:cs="仿宋"/>
                <w:sz w:val="24"/>
                <w:szCs w:val="24"/>
              </w:rPr>
            </w:pPr>
          </w:p>
        </w:tc>
        <w:tc>
          <w:tcPr>
            <w:tcW w:w="734" w:type="dxa"/>
            <w:vAlign w:val="center"/>
          </w:tcPr>
          <w:p w14:paraId="1E83C9DB">
            <w:pPr>
              <w:adjustRightInd w:val="0"/>
              <w:snapToGrid w:val="0"/>
              <w:jc w:val="center"/>
              <w:rPr>
                <w:rFonts w:ascii="仿宋" w:hAnsi="仿宋" w:cs="仿宋"/>
                <w:sz w:val="24"/>
                <w:szCs w:val="24"/>
              </w:rPr>
            </w:pPr>
          </w:p>
        </w:tc>
        <w:tc>
          <w:tcPr>
            <w:tcW w:w="1026" w:type="dxa"/>
            <w:vAlign w:val="center"/>
          </w:tcPr>
          <w:p w14:paraId="3AF2B209">
            <w:pPr>
              <w:adjustRightInd w:val="0"/>
              <w:snapToGrid w:val="0"/>
              <w:jc w:val="center"/>
              <w:rPr>
                <w:rFonts w:ascii="仿宋" w:hAnsi="仿宋" w:cs="仿宋"/>
                <w:sz w:val="24"/>
                <w:szCs w:val="24"/>
              </w:rPr>
            </w:pPr>
          </w:p>
        </w:tc>
        <w:tc>
          <w:tcPr>
            <w:tcW w:w="1379" w:type="dxa"/>
            <w:vAlign w:val="center"/>
          </w:tcPr>
          <w:p w14:paraId="58647EAB">
            <w:pPr>
              <w:adjustRightInd w:val="0"/>
              <w:snapToGrid w:val="0"/>
              <w:jc w:val="center"/>
              <w:rPr>
                <w:rFonts w:ascii="仿宋" w:hAnsi="仿宋" w:cs="仿宋"/>
                <w:sz w:val="24"/>
                <w:szCs w:val="24"/>
              </w:rPr>
            </w:pPr>
          </w:p>
        </w:tc>
      </w:tr>
      <w:tr w14:paraId="7DD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exact"/>
          <w:jc w:val="center"/>
        </w:trPr>
        <w:tc>
          <w:tcPr>
            <w:tcW w:w="8757" w:type="dxa"/>
            <w:gridSpan w:val="8"/>
            <w:vAlign w:val="center"/>
          </w:tcPr>
          <w:p w14:paraId="04A9BFD2">
            <w:pPr>
              <w:adjustRightInd w:val="0"/>
              <w:snapToGrid w:val="0"/>
              <w:jc w:val="left"/>
              <w:rPr>
                <w:rFonts w:ascii="仿宋" w:hAnsi="仿宋" w:cs="仿宋"/>
                <w:sz w:val="24"/>
                <w:szCs w:val="24"/>
              </w:rPr>
            </w:pPr>
            <w:r>
              <w:rPr>
                <w:rFonts w:hint="eastAsia" w:ascii="仿宋" w:hAnsi="仿宋" w:cs="仿宋"/>
                <w:sz w:val="24"/>
                <w:szCs w:val="24"/>
              </w:rPr>
              <w:t>合计金额：¥          元；     大写：人民币                           元。</w:t>
            </w:r>
          </w:p>
        </w:tc>
      </w:tr>
    </w:tbl>
    <w:p w14:paraId="767801A0">
      <w:pPr>
        <w:adjustRightInd w:val="0"/>
        <w:snapToGrid w:val="0"/>
        <w:spacing w:line="560" w:lineRule="exact"/>
        <w:ind w:firstLine="475" w:firstLineChars="198"/>
        <w:rPr>
          <w:rFonts w:ascii="仿宋" w:hAnsi="仿宋" w:cs="仿宋"/>
          <w:sz w:val="24"/>
          <w:szCs w:val="24"/>
        </w:rPr>
      </w:pPr>
      <w:r>
        <w:rPr>
          <w:rFonts w:hint="eastAsia" w:ascii="仿宋" w:hAnsi="仿宋" w:cs="仿宋"/>
          <w:sz w:val="24"/>
          <w:szCs w:val="24"/>
        </w:rPr>
        <w:t>注：此表应与招标文件、投标文件内容一致。</w:t>
      </w:r>
    </w:p>
    <w:p w14:paraId="35AD0D40">
      <w:pPr>
        <w:spacing w:line="360" w:lineRule="auto"/>
        <w:rPr>
          <w:rFonts w:ascii="仿宋" w:hAnsi="仿宋" w:cs="仿宋"/>
          <w:b/>
          <w:sz w:val="24"/>
          <w:szCs w:val="24"/>
        </w:rPr>
      </w:pPr>
      <w:r>
        <w:rPr>
          <w:rFonts w:hint="eastAsia" w:ascii="仿宋" w:hAnsi="仿宋" w:cs="仿宋"/>
          <w:b/>
          <w:sz w:val="24"/>
          <w:szCs w:val="24"/>
        </w:rPr>
        <w:t>四、结算方式：</w:t>
      </w:r>
    </w:p>
    <w:p w14:paraId="2F860079">
      <w:pPr>
        <w:spacing w:line="360" w:lineRule="auto"/>
        <w:ind w:firstLine="480" w:firstLineChars="200"/>
        <w:rPr>
          <w:rFonts w:ascii="仿宋" w:hAnsi="仿宋" w:cs="仿宋"/>
          <w:sz w:val="24"/>
          <w:szCs w:val="24"/>
          <w:highlight w:val="none"/>
        </w:rPr>
      </w:pPr>
      <w:r>
        <w:rPr>
          <w:rFonts w:hint="eastAsia" w:ascii="仿宋" w:hAnsi="仿宋" w:cs="仿宋"/>
          <w:sz w:val="24"/>
          <w:szCs w:val="24"/>
          <w:highlight w:val="none"/>
        </w:rPr>
        <w:t>（1）结算</w:t>
      </w:r>
      <w:r>
        <w:rPr>
          <w:rFonts w:hint="eastAsia" w:ascii="仿宋" w:hAnsi="仿宋" w:cs="仿宋"/>
          <w:sz w:val="24"/>
          <w:szCs w:val="24"/>
          <w:highlight w:val="none"/>
          <w:lang w:val="en-US" w:eastAsia="zh-CN"/>
        </w:rPr>
        <w:t>单位</w:t>
      </w:r>
      <w:r>
        <w:rPr>
          <w:rFonts w:hint="eastAsia" w:ascii="仿宋" w:hAnsi="仿宋" w:cs="仿宋"/>
          <w:sz w:val="24"/>
          <w:szCs w:val="24"/>
          <w:highlight w:val="none"/>
        </w:rPr>
        <w:t xml:space="preserve">：银行转账，由采购人负责结算。在付款前，供应商必须开具与合同金额相应的发票给采购人，附详细清单。 </w:t>
      </w:r>
    </w:p>
    <w:p w14:paraId="62CB2058">
      <w:pPr>
        <w:spacing w:line="360" w:lineRule="auto"/>
        <w:ind w:firstLine="480" w:firstLineChars="200"/>
        <w:rPr>
          <w:rFonts w:hint="eastAsia" w:ascii="仿宋" w:hAnsi="仿宋" w:cs="仿宋"/>
          <w:sz w:val="24"/>
          <w:szCs w:val="24"/>
          <w:highlight w:val="none"/>
        </w:rPr>
      </w:pPr>
      <w:r>
        <w:rPr>
          <w:rFonts w:hint="eastAsia" w:ascii="仿宋" w:hAnsi="仿宋" w:cs="仿宋"/>
          <w:sz w:val="24"/>
          <w:szCs w:val="24"/>
          <w:highlight w:val="none"/>
        </w:rPr>
        <w:t>（2）付款方式：</w:t>
      </w:r>
    </w:p>
    <w:p w14:paraId="3AF4D1CF">
      <w:pPr>
        <w:spacing w:line="360" w:lineRule="auto"/>
        <w:ind w:firstLine="480" w:firstLineChars="200"/>
        <w:rPr>
          <w:rFonts w:hint="eastAsia" w:ascii="仿宋" w:hAnsi="仿宋" w:cs="仿宋"/>
          <w:sz w:val="24"/>
          <w:szCs w:val="24"/>
          <w:highlight w:val="none"/>
          <w:lang w:val="en-US" w:eastAsia="zh-CN"/>
        </w:rPr>
      </w:pPr>
      <w:r>
        <w:rPr>
          <w:rFonts w:hint="eastAsia" w:ascii="仿宋" w:hAnsi="仿宋" w:cs="仿宋"/>
          <w:sz w:val="24"/>
          <w:szCs w:val="24"/>
          <w:highlight w:val="none"/>
          <w:lang w:val="en-US" w:eastAsia="zh-CN"/>
        </w:rPr>
        <w:t>①合同签订后支付合同价款的40%作为预付款;</w:t>
      </w:r>
    </w:p>
    <w:p w14:paraId="743DB40E">
      <w:pPr>
        <w:spacing w:line="360" w:lineRule="auto"/>
        <w:ind w:firstLine="480" w:firstLineChars="200"/>
        <w:rPr>
          <w:rFonts w:hint="eastAsia" w:ascii="仿宋" w:hAnsi="仿宋" w:cs="仿宋"/>
          <w:sz w:val="24"/>
          <w:szCs w:val="24"/>
          <w:highlight w:val="none"/>
          <w:lang w:val="en-US" w:eastAsia="zh-CN"/>
        </w:rPr>
      </w:pPr>
      <w:r>
        <w:rPr>
          <w:rFonts w:hint="eastAsia" w:ascii="仿宋" w:hAnsi="仿宋" w:cs="仿宋"/>
          <w:sz w:val="24"/>
          <w:szCs w:val="24"/>
          <w:highlight w:val="none"/>
          <w:lang w:val="en-US" w:eastAsia="zh-CN"/>
        </w:rPr>
        <w:t>②交货完工且验收合格后30个工作日内一次性支付剩余合同价款,供应商在质保期内须提供质量保修服务。</w:t>
      </w:r>
    </w:p>
    <w:p w14:paraId="112A0C06">
      <w:pPr>
        <w:adjustRightInd w:val="0"/>
        <w:snapToGrid w:val="0"/>
        <w:spacing w:line="360" w:lineRule="auto"/>
        <w:rPr>
          <w:rFonts w:ascii="仿宋" w:hAnsi="仿宋" w:cs="仿宋"/>
          <w:b/>
          <w:sz w:val="24"/>
          <w:szCs w:val="24"/>
        </w:rPr>
      </w:pPr>
      <w:r>
        <w:rPr>
          <w:rFonts w:hint="eastAsia" w:ascii="仿宋" w:hAnsi="仿宋" w:cs="仿宋"/>
          <w:b/>
          <w:sz w:val="24"/>
          <w:szCs w:val="24"/>
        </w:rPr>
        <w:t>五、交货地点及交货期</w:t>
      </w:r>
    </w:p>
    <w:p w14:paraId="62ACE8A7">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1、交货地点：采购人指定地点</w:t>
      </w:r>
    </w:p>
    <w:p w14:paraId="664B9742">
      <w:pPr>
        <w:spacing w:line="360" w:lineRule="auto"/>
        <w:ind w:firstLine="480" w:firstLineChars="200"/>
        <w:rPr>
          <w:rFonts w:ascii="仿宋" w:hAnsi="仿宋" w:cs="仿宋"/>
          <w:color w:val="auto"/>
          <w:sz w:val="24"/>
          <w:szCs w:val="24"/>
          <w:highlight w:val="none"/>
        </w:rPr>
      </w:pPr>
      <w:r>
        <w:rPr>
          <w:rFonts w:hint="eastAsia" w:ascii="仿宋" w:hAnsi="仿宋" w:cs="仿宋"/>
          <w:color w:val="000000"/>
          <w:sz w:val="24"/>
          <w:szCs w:val="24"/>
        </w:rPr>
        <w:t>2、交货期：</w:t>
      </w:r>
      <w:r>
        <w:rPr>
          <w:rFonts w:hint="eastAsia" w:ascii="仿宋" w:hAnsi="仿宋"/>
          <w:sz w:val="24"/>
          <w:szCs w:val="24"/>
          <w:highlight w:val="none"/>
          <w:lang w:eastAsia="zh-CN"/>
        </w:rPr>
        <w:t>自合同签订之日起30个日历日</w:t>
      </w:r>
      <w:r>
        <w:rPr>
          <w:rFonts w:hint="eastAsia" w:ascii="仿宋" w:hAnsi="仿宋" w:cs="仿宋"/>
          <w:color w:val="auto"/>
          <w:sz w:val="24"/>
          <w:szCs w:val="24"/>
          <w:highlight w:val="none"/>
        </w:rPr>
        <w:t>。</w:t>
      </w:r>
    </w:p>
    <w:p w14:paraId="6BDE8B2D">
      <w:pPr>
        <w:spacing w:line="360" w:lineRule="auto"/>
        <w:rPr>
          <w:rFonts w:ascii="仿宋" w:hAnsi="仿宋" w:cs="仿宋"/>
          <w:b/>
          <w:bCs/>
          <w:sz w:val="24"/>
          <w:szCs w:val="24"/>
        </w:rPr>
      </w:pPr>
      <w:r>
        <w:rPr>
          <w:rFonts w:hint="eastAsia" w:ascii="仿宋" w:hAnsi="仿宋" w:cs="仿宋"/>
          <w:b/>
          <w:bCs/>
          <w:sz w:val="24"/>
          <w:szCs w:val="24"/>
        </w:rPr>
        <w:t>六、双方承诺</w:t>
      </w:r>
    </w:p>
    <w:p w14:paraId="1D34B9E2">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1、供应商向采购人承诺，按照本合同约定提供相关服务。</w:t>
      </w:r>
    </w:p>
    <w:p w14:paraId="503F1892">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2、采购人向供应商承诺，按照本合同约定支付服务款项。</w:t>
      </w:r>
    </w:p>
    <w:p w14:paraId="5FA16A98">
      <w:pPr>
        <w:adjustRightInd w:val="0"/>
        <w:snapToGrid w:val="0"/>
        <w:spacing w:line="360" w:lineRule="auto"/>
        <w:rPr>
          <w:rFonts w:ascii="仿宋" w:hAnsi="仿宋" w:cs="仿宋"/>
          <w:b/>
          <w:sz w:val="24"/>
          <w:szCs w:val="24"/>
        </w:rPr>
      </w:pPr>
      <w:r>
        <w:rPr>
          <w:rFonts w:hint="eastAsia" w:ascii="仿宋" w:hAnsi="仿宋" w:cs="仿宋"/>
          <w:b/>
          <w:sz w:val="24"/>
          <w:szCs w:val="24"/>
        </w:rPr>
        <w:t>七、内容及要求：</w:t>
      </w:r>
    </w:p>
    <w:p w14:paraId="1ED46909">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即交付的产品、服务内容、数量与投标文件、招标文件等所指明的，或者与本合同所指明的产品、服务内容相一致。</w:t>
      </w:r>
    </w:p>
    <w:p w14:paraId="719C1A62">
      <w:pPr>
        <w:spacing w:after="120"/>
        <w:jc w:val="center"/>
        <w:outlineLvl w:val="1"/>
        <w:rPr>
          <w:rFonts w:ascii="仿宋" w:hAnsi="仿宋" w:cs="仿宋"/>
          <w:b/>
          <w:sz w:val="24"/>
          <w:szCs w:val="24"/>
        </w:rPr>
      </w:pPr>
      <w:bookmarkStart w:id="7" w:name="_Toc18856"/>
      <w:bookmarkStart w:id="8" w:name="_Toc13024"/>
      <w:bookmarkStart w:id="9" w:name="_Toc6161"/>
      <w:r>
        <w:rPr>
          <w:rFonts w:hint="eastAsia" w:ascii="仿宋" w:hAnsi="仿宋" w:cs="仿宋"/>
          <w:b/>
          <w:sz w:val="24"/>
          <w:szCs w:val="24"/>
        </w:rPr>
        <w:t>供货内容一览表</w:t>
      </w:r>
      <w:bookmarkEnd w:id="7"/>
      <w:bookmarkEnd w:id="8"/>
      <w:bookmarkEnd w:id="9"/>
    </w:p>
    <w:tbl>
      <w:tblPr>
        <w:tblStyle w:val="9"/>
        <w:tblW w:w="897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35"/>
        <w:gridCol w:w="903"/>
        <w:gridCol w:w="1397"/>
        <w:gridCol w:w="1595"/>
        <w:gridCol w:w="776"/>
        <w:gridCol w:w="691"/>
        <w:gridCol w:w="988"/>
        <w:gridCol w:w="1142"/>
        <w:gridCol w:w="849"/>
      </w:tblGrid>
      <w:tr w14:paraId="618AEB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68" w:hRule="atLeast"/>
          <w:jc w:val="center"/>
        </w:trPr>
        <w:tc>
          <w:tcPr>
            <w:tcW w:w="635" w:type="dxa"/>
            <w:vAlign w:val="center"/>
          </w:tcPr>
          <w:p w14:paraId="261E7F56">
            <w:pPr>
              <w:spacing w:before="156" w:beforeLines="50" w:line="360" w:lineRule="auto"/>
              <w:jc w:val="center"/>
              <w:rPr>
                <w:rFonts w:ascii="仿宋" w:hAnsi="仿宋" w:cs="仿宋"/>
                <w:b/>
                <w:sz w:val="24"/>
                <w:szCs w:val="24"/>
              </w:rPr>
            </w:pPr>
            <w:r>
              <w:rPr>
                <w:rFonts w:hint="eastAsia" w:ascii="仿宋" w:hAnsi="仿宋" w:cs="仿宋"/>
                <w:b/>
                <w:sz w:val="24"/>
                <w:szCs w:val="24"/>
              </w:rPr>
              <w:t>序号</w:t>
            </w:r>
          </w:p>
        </w:tc>
        <w:tc>
          <w:tcPr>
            <w:tcW w:w="903" w:type="dxa"/>
            <w:vAlign w:val="center"/>
          </w:tcPr>
          <w:p w14:paraId="7CC39771">
            <w:pPr>
              <w:spacing w:before="156" w:beforeLines="50" w:line="360" w:lineRule="auto"/>
              <w:jc w:val="center"/>
              <w:rPr>
                <w:rFonts w:ascii="仿宋" w:hAnsi="仿宋" w:cs="仿宋"/>
                <w:b/>
                <w:sz w:val="24"/>
                <w:szCs w:val="24"/>
              </w:rPr>
            </w:pPr>
            <w:r>
              <w:rPr>
                <w:rFonts w:hint="eastAsia" w:ascii="仿宋" w:hAnsi="仿宋" w:cs="仿宋"/>
                <w:b/>
                <w:sz w:val="24"/>
                <w:szCs w:val="24"/>
              </w:rPr>
              <w:t>名称</w:t>
            </w:r>
          </w:p>
        </w:tc>
        <w:tc>
          <w:tcPr>
            <w:tcW w:w="1397" w:type="dxa"/>
            <w:tcBorders>
              <w:right w:val="single" w:color="auto" w:sz="4" w:space="0"/>
            </w:tcBorders>
            <w:vAlign w:val="center"/>
          </w:tcPr>
          <w:p w14:paraId="2CBD2903">
            <w:pPr>
              <w:pStyle w:val="5"/>
              <w:adjustRightInd w:val="0"/>
              <w:snapToGrid w:val="0"/>
              <w:rPr>
                <w:rFonts w:ascii="仿宋" w:hAnsi="仿宋" w:cs="仿宋"/>
                <w:sz w:val="24"/>
                <w:szCs w:val="24"/>
              </w:rPr>
            </w:pPr>
            <w:bookmarkStart w:id="10" w:name="_Toc27392"/>
            <w:bookmarkStart w:id="11" w:name="_Toc21512"/>
            <w:bookmarkStart w:id="12" w:name="_Toc16506"/>
            <w:bookmarkStart w:id="13" w:name="_Toc30417"/>
            <w:r>
              <w:rPr>
                <w:rFonts w:hint="eastAsia" w:ascii="仿宋" w:hAnsi="仿宋" w:cs="仿宋"/>
                <w:sz w:val="24"/>
                <w:szCs w:val="24"/>
              </w:rPr>
              <w:t>品牌、规格及型号</w:t>
            </w:r>
            <w:bookmarkEnd w:id="10"/>
            <w:bookmarkEnd w:id="11"/>
            <w:bookmarkEnd w:id="12"/>
            <w:bookmarkEnd w:id="13"/>
          </w:p>
        </w:tc>
        <w:tc>
          <w:tcPr>
            <w:tcW w:w="1595" w:type="dxa"/>
            <w:tcBorders>
              <w:left w:val="single" w:color="auto" w:sz="4" w:space="0"/>
            </w:tcBorders>
            <w:vAlign w:val="center"/>
          </w:tcPr>
          <w:p w14:paraId="6C838764">
            <w:pPr>
              <w:pStyle w:val="5"/>
              <w:adjustRightInd w:val="0"/>
              <w:snapToGrid w:val="0"/>
              <w:rPr>
                <w:rFonts w:ascii="仿宋" w:hAnsi="仿宋" w:cs="仿宋"/>
                <w:sz w:val="24"/>
                <w:szCs w:val="24"/>
                <w:highlight w:val="yellow"/>
              </w:rPr>
            </w:pPr>
            <w:bookmarkStart w:id="14" w:name="_Toc27421"/>
            <w:bookmarkStart w:id="15" w:name="_Toc15345"/>
            <w:bookmarkStart w:id="16" w:name="_Toc8981"/>
            <w:bookmarkStart w:id="17" w:name="_Toc109"/>
            <w:r>
              <w:rPr>
                <w:rFonts w:hint="eastAsia" w:ascii="仿宋" w:hAnsi="仿宋" w:cs="仿宋"/>
                <w:sz w:val="24"/>
                <w:szCs w:val="24"/>
              </w:rPr>
              <w:t>原产地及 制造厂名</w:t>
            </w:r>
            <w:bookmarkEnd w:id="14"/>
            <w:bookmarkEnd w:id="15"/>
            <w:bookmarkEnd w:id="16"/>
            <w:bookmarkEnd w:id="17"/>
          </w:p>
        </w:tc>
        <w:tc>
          <w:tcPr>
            <w:tcW w:w="776" w:type="dxa"/>
            <w:tcBorders>
              <w:right w:val="single" w:color="auto" w:sz="4" w:space="0"/>
            </w:tcBorders>
            <w:vAlign w:val="center"/>
          </w:tcPr>
          <w:p w14:paraId="20663053">
            <w:pPr>
              <w:pStyle w:val="5"/>
              <w:adjustRightInd w:val="0"/>
              <w:snapToGrid w:val="0"/>
              <w:rPr>
                <w:rFonts w:ascii="仿宋" w:hAnsi="仿宋" w:cs="仿宋"/>
                <w:sz w:val="24"/>
                <w:szCs w:val="24"/>
              </w:rPr>
            </w:pPr>
            <w:bookmarkStart w:id="18" w:name="_Toc14127"/>
            <w:bookmarkStart w:id="19" w:name="_Toc20611"/>
            <w:bookmarkStart w:id="20" w:name="_Toc14339"/>
            <w:bookmarkStart w:id="21" w:name="_Toc10570"/>
            <w:r>
              <w:rPr>
                <w:rFonts w:hint="eastAsia" w:ascii="仿宋" w:hAnsi="仿宋" w:cs="仿宋"/>
                <w:sz w:val="24"/>
                <w:szCs w:val="24"/>
              </w:rPr>
              <w:t>单价</w:t>
            </w:r>
            <w:bookmarkEnd w:id="18"/>
            <w:bookmarkEnd w:id="19"/>
            <w:bookmarkEnd w:id="20"/>
            <w:bookmarkEnd w:id="21"/>
          </w:p>
        </w:tc>
        <w:tc>
          <w:tcPr>
            <w:tcW w:w="691" w:type="dxa"/>
            <w:tcBorders>
              <w:left w:val="single" w:color="auto" w:sz="4" w:space="0"/>
              <w:right w:val="single" w:color="auto" w:sz="4" w:space="0"/>
            </w:tcBorders>
            <w:vAlign w:val="center"/>
          </w:tcPr>
          <w:p w14:paraId="3DB95576">
            <w:pPr>
              <w:pStyle w:val="5"/>
              <w:adjustRightInd w:val="0"/>
              <w:snapToGrid w:val="0"/>
              <w:rPr>
                <w:rFonts w:ascii="仿宋" w:hAnsi="仿宋" w:cs="仿宋"/>
                <w:sz w:val="24"/>
                <w:szCs w:val="24"/>
              </w:rPr>
            </w:pPr>
            <w:bookmarkStart w:id="22" w:name="_Toc31109"/>
            <w:bookmarkStart w:id="23" w:name="_Toc879"/>
            <w:bookmarkStart w:id="24" w:name="_Toc21991"/>
            <w:bookmarkStart w:id="25" w:name="_Toc15777"/>
            <w:r>
              <w:rPr>
                <w:rFonts w:hint="eastAsia" w:ascii="仿宋" w:hAnsi="仿宋" w:cs="仿宋"/>
                <w:sz w:val="24"/>
                <w:szCs w:val="24"/>
              </w:rPr>
              <w:t>数量</w:t>
            </w:r>
            <w:bookmarkEnd w:id="22"/>
            <w:bookmarkEnd w:id="23"/>
            <w:bookmarkEnd w:id="24"/>
            <w:bookmarkEnd w:id="25"/>
          </w:p>
        </w:tc>
        <w:tc>
          <w:tcPr>
            <w:tcW w:w="988" w:type="dxa"/>
            <w:tcBorders>
              <w:left w:val="single" w:color="auto" w:sz="4" w:space="0"/>
            </w:tcBorders>
            <w:vAlign w:val="center"/>
          </w:tcPr>
          <w:p w14:paraId="3951B65D">
            <w:pPr>
              <w:pStyle w:val="5"/>
              <w:rPr>
                <w:rFonts w:ascii="仿宋" w:hAnsi="仿宋" w:cs="仿宋"/>
                <w:sz w:val="24"/>
                <w:szCs w:val="24"/>
              </w:rPr>
            </w:pPr>
            <w:bookmarkStart w:id="26" w:name="_Toc28024"/>
            <w:bookmarkStart w:id="27" w:name="_Toc23428"/>
            <w:bookmarkStart w:id="28" w:name="_Toc6689"/>
            <w:bookmarkStart w:id="29" w:name="_Toc12748"/>
            <w:r>
              <w:rPr>
                <w:rFonts w:hint="eastAsia" w:ascii="仿宋" w:hAnsi="仿宋" w:cs="仿宋"/>
                <w:sz w:val="24"/>
                <w:szCs w:val="24"/>
              </w:rPr>
              <w:t>交付地点</w:t>
            </w:r>
            <w:bookmarkEnd w:id="26"/>
            <w:bookmarkEnd w:id="27"/>
            <w:bookmarkEnd w:id="28"/>
            <w:bookmarkEnd w:id="29"/>
          </w:p>
        </w:tc>
        <w:tc>
          <w:tcPr>
            <w:tcW w:w="1142" w:type="dxa"/>
            <w:tcBorders>
              <w:right w:val="single" w:color="auto" w:sz="4" w:space="0"/>
            </w:tcBorders>
            <w:vAlign w:val="center"/>
          </w:tcPr>
          <w:p w14:paraId="2AF62687">
            <w:pPr>
              <w:pStyle w:val="5"/>
              <w:rPr>
                <w:rFonts w:ascii="仿宋" w:hAnsi="仿宋" w:cs="仿宋"/>
                <w:sz w:val="24"/>
                <w:szCs w:val="24"/>
              </w:rPr>
            </w:pPr>
            <w:bookmarkStart w:id="30" w:name="_Toc916"/>
            <w:bookmarkStart w:id="31" w:name="_Toc21882"/>
            <w:bookmarkStart w:id="32" w:name="_Toc10344"/>
            <w:bookmarkStart w:id="33" w:name="_Toc2991"/>
            <w:r>
              <w:rPr>
                <w:rFonts w:hint="eastAsia" w:ascii="仿宋" w:hAnsi="仿宋" w:cs="仿宋"/>
                <w:sz w:val="24"/>
                <w:szCs w:val="24"/>
              </w:rPr>
              <w:t>交付时间</w:t>
            </w:r>
            <w:bookmarkEnd w:id="30"/>
            <w:bookmarkEnd w:id="31"/>
            <w:bookmarkEnd w:id="32"/>
            <w:bookmarkEnd w:id="33"/>
          </w:p>
        </w:tc>
        <w:tc>
          <w:tcPr>
            <w:tcW w:w="849" w:type="dxa"/>
            <w:tcBorders>
              <w:right w:val="single" w:color="auto" w:sz="4" w:space="0"/>
            </w:tcBorders>
            <w:vAlign w:val="center"/>
          </w:tcPr>
          <w:p w14:paraId="3AD9723E">
            <w:pPr>
              <w:pStyle w:val="5"/>
              <w:rPr>
                <w:rFonts w:ascii="仿宋" w:hAnsi="仿宋" w:cs="仿宋"/>
                <w:sz w:val="24"/>
                <w:szCs w:val="24"/>
              </w:rPr>
            </w:pPr>
            <w:bookmarkStart w:id="34" w:name="_Toc17703"/>
            <w:bookmarkStart w:id="35" w:name="_Toc10193"/>
            <w:bookmarkStart w:id="36" w:name="_Toc18945"/>
            <w:bookmarkStart w:id="37" w:name="_Toc31273"/>
            <w:r>
              <w:rPr>
                <w:rFonts w:hint="eastAsia" w:ascii="仿宋" w:hAnsi="仿宋" w:cs="仿宋"/>
                <w:sz w:val="24"/>
                <w:szCs w:val="24"/>
              </w:rPr>
              <w:t>备注</w:t>
            </w:r>
            <w:bookmarkEnd w:id="34"/>
            <w:bookmarkEnd w:id="35"/>
            <w:bookmarkEnd w:id="36"/>
            <w:bookmarkEnd w:id="37"/>
          </w:p>
        </w:tc>
      </w:tr>
      <w:tr w14:paraId="3ED8D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3" w:hRule="atLeast"/>
          <w:jc w:val="center"/>
        </w:trPr>
        <w:tc>
          <w:tcPr>
            <w:tcW w:w="635" w:type="dxa"/>
          </w:tcPr>
          <w:p w14:paraId="5958B18F">
            <w:pPr>
              <w:spacing w:before="156" w:beforeLines="50" w:line="360" w:lineRule="auto"/>
              <w:jc w:val="center"/>
              <w:rPr>
                <w:rFonts w:ascii="仿宋" w:hAnsi="仿宋" w:cs="仿宋"/>
                <w:sz w:val="24"/>
                <w:szCs w:val="24"/>
              </w:rPr>
            </w:pPr>
          </w:p>
        </w:tc>
        <w:tc>
          <w:tcPr>
            <w:tcW w:w="903" w:type="dxa"/>
          </w:tcPr>
          <w:p w14:paraId="23B755D9">
            <w:pPr>
              <w:spacing w:before="156" w:beforeLines="50" w:line="360" w:lineRule="auto"/>
              <w:jc w:val="center"/>
              <w:rPr>
                <w:rFonts w:ascii="仿宋" w:hAnsi="仿宋" w:cs="仿宋"/>
                <w:sz w:val="24"/>
                <w:szCs w:val="24"/>
              </w:rPr>
            </w:pPr>
          </w:p>
        </w:tc>
        <w:tc>
          <w:tcPr>
            <w:tcW w:w="1397" w:type="dxa"/>
            <w:tcBorders>
              <w:right w:val="single" w:color="auto" w:sz="4" w:space="0"/>
            </w:tcBorders>
          </w:tcPr>
          <w:p w14:paraId="0CB8683B">
            <w:pPr>
              <w:spacing w:before="156" w:beforeLines="50" w:line="360" w:lineRule="auto"/>
              <w:jc w:val="center"/>
              <w:rPr>
                <w:rFonts w:ascii="仿宋" w:hAnsi="仿宋" w:cs="仿宋"/>
                <w:sz w:val="24"/>
                <w:szCs w:val="24"/>
              </w:rPr>
            </w:pPr>
          </w:p>
        </w:tc>
        <w:tc>
          <w:tcPr>
            <w:tcW w:w="1595" w:type="dxa"/>
            <w:tcBorders>
              <w:left w:val="single" w:color="auto" w:sz="4" w:space="0"/>
            </w:tcBorders>
          </w:tcPr>
          <w:p w14:paraId="47A416EB">
            <w:pPr>
              <w:spacing w:before="156" w:beforeLines="50" w:line="360" w:lineRule="auto"/>
              <w:jc w:val="center"/>
              <w:rPr>
                <w:rFonts w:ascii="仿宋" w:hAnsi="仿宋" w:cs="仿宋"/>
                <w:sz w:val="24"/>
                <w:szCs w:val="24"/>
              </w:rPr>
            </w:pPr>
          </w:p>
        </w:tc>
        <w:tc>
          <w:tcPr>
            <w:tcW w:w="776" w:type="dxa"/>
            <w:tcBorders>
              <w:right w:val="single" w:color="auto" w:sz="4" w:space="0"/>
            </w:tcBorders>
          </w:tcPr>
          <w:p w14:paraId="4D0E98D7">
            <w:pPr>
              <w:spacing w:before="156" w:beforeLines="50" w:line="360" w:lineRule="auto"/>
              <w:jc w:val="center"/>
              <w:rPr>
                <w:rFonts w:ascii="仿宋" w:hAnsi="仿宋" w:cs="仿宋"/>
                <w:sz w:val="24"/>
                <w:szCs w:val="24"/>
              </w:rPr>
            </w:pPr>
          </w:p>
        </w:tc>
        <w:tc>
          <w:tcPr>
            <w:tcW w:w="691" w:type="dxa"/>
            <w:tcBorders>
              <w:left w:val="single" w:color="auto" w:sz="4" w:space="0"/>
              <w:right w:val="single" w:color="auto" w:sz="4" w:space="0"/>
            </w:tcBorders>
          </w:tcPr>
          <w:p w14:paraId="652DB15D">
            <w:pPr>
              <w:spacing w:before="156" w:beforeLines="50" w:line="360" w:lineRule="auto"/>
              <w:jc w:val="center"/>
              <w:rPr>
                <w:rFonts w:ascii="仿宋" w:hAnsi="仿宋" w:cs="仿宋"/>
                <w:sz w:val="24"/>
                <w:szCs w:val="24"/>
              </w:rPr>
            </w:pPr>
          </w:p>
        </w:tc>
        <w:tc>
          <w:tcPr>
            <w:tcW w:w="988" w:type="dxa"/>
            <w:tcBorders>
              <w:left w:val="single" w:color="auto" w:sz="4" w:space="0"/>
            </w:tcBorders>
          </w:tcPr>
          <w:p w14:paraId="497D4AE6">
            <w:pPr>
              <w:spacing w:before="156" w:beforeLines="50" w:line="360" w:lineRule="auto"/>
              <w:jc w:val="center"/>
              <w:rPr>
                <w:rFonts w:ascii="仿宋" w:hAnsi="仿宋" w:cs="仿宋"/>
                <w:sz w:val="24"/>
                <w:szCs w:val="24"/>
              </w:rPr>
            </w:pPr>
          </w:p>
        </w:tc>
        <w:tc>
          <w:tcPr>
            <w:tcW w:w="1142" w:type="dxa"/>
            <w:tcBorders>
              <w:right w:val="single" w:color="auto" w:sz="4" w:space="0"/>
            </w:tcBorders>
          </w:tcPr>
          <w:p w14:paraId="40E7B22B">
            <w:pPr>
              <w:spacing w:before="156" w:beforeLines="50" w:line="360" w:lineRule="auto"/>
              <w:jc w:val="center"/>
              <w:rPr>
                <w:rFonts w:ascii="仿宋" w:hAnsi="仿宋" w:cs="仿宋"/>
                <w:sz w:val="24"/>
                <w:szCs w:val="24"/>
              </w:rPr>
            </w:pPr>
          </w:p>
        </w:tc>
        <w:tc>
          <w:tcPr>
            <w:tcW w:w="849" w:type="dxa"/>
            <w:tcBorders>
              <w:right w:val="single" w:color="auto" w:sz="4" w:space="0"/>
            </w:tcBorders>
          </w:tcPr>
          <w:p w14:paraId="3F18BA2B">
            <w:pPr>
              <w:spacing w:before="156" w:beforeLines="50" w:line="360" w:lineRule="auto"/>
              <w:jc w:val="center"/>
              <w:rPr>
                <w:rFonts w:ascii="仿宋" w:hAnsi="仿宋" w:cs="仿宋"/>
                <w:sz w:val="24"/>
                <w:szCs w:val="24"/>
              </w:rPr>
            </w:pPr>
          </w:p>
        </w:tc>
      </w:tr>
      <w:tr w14:paraId="1C98C6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3" w:hRule="atLeast"/>
          <w:jc w:val="center"/>
        </w:trPr>
        <w:tc>
          <w:tcPr>
            <w:tcW w:w="635" w:type="dxa"/>
          </w:tcPr>
          <w:p w14:paraId="3F7BAAB0">
            <w:pPr>
              <w:spacing w:before="156" w:beforeLines="50" w:line="360" w:lineRule="auto"/>
              <w:jc w:val="center"/>
              <w:rPr>
                <w:rFonts w:ascii="仿宋" w:hAnsi="仿宋" w:cs="仿宋"/>
                <w:sz w:val="24"/>
                <w:szCs w:val="24"/>
              </w:rPr>
            </w:pPr>
          </w:p>
        </w:tc>
        <w:tc>
          <w:tcPr>
            <w:tcW w:w="903" w:type="dxa"/>
          </w:tcPr>
          <w:p w14:paraId="6AF7A3E9">
            <w:pPr>
              <w:spacing w:before="156" w:beforeLines="50" w:line="360" w:lineRule="auto"/>
              <w:jc w:val="center"/>
              <w:rPr>
                <w:rFonts w:ascii="仿宋" w:hAnsi="仿宋" w:cs="仿宋"/>
                <w:sz w:val="24"/>
                <w:szCs w:val="24"/>
              </w:rPr>
            </w:pPr>
          </w:p>
        </w:tc>
        <w:tc>
          <w:tcPr>
            <w:tcW w:w="1397" w:type="dxa"/>
            <w:tcBorders>
              <w:right w:val="single" w:color="auto" w:sz="4" w:space="0"/>
            </w:tcBorders>
          </w:tcPr>
          <w:p w14:paraId="013BA007">
            <w:pPr>
              <w:spacing w:before="156" w:beforeLines="50" w:line="360" w:lineRule="auto"/>
              <w:jc w:val="center"/>
              <w:rPr>
                <w:rFonts w:ascii="仿宋" w:hAnsi="仿宋" w:cs="仿宋"/>
                <w:sz w:val="24"/>
                <w:szCs w:val="24"/>
              </w:rPr>
            </w:pPr>
          </w:p>
        </w:tc>
        <w:tc>
          <w:tcPr>
            <w:tcW w:w="1595" w:type="dxa"/>
            <w:tcBorders>
              <w:left w:val="single" w:color="auto" w:sz="4" w:space="0"/>
            </w:tcBorders>
          </w:tcPr>
          <w:p w14:paraId="25E3E12C">
            <w:pPr>
              <w:spacing w:before="156" w:beforeLines="50" w:line="360" w:lineRule="auto"/>
              <w:jc w:val="center"/>
              <w:rPr>
                <w:rFonts w:ascii="仿宋" w:hAnsi="仿宋" w:cs="仿宋"/>
                <w:sz w:val="24"/>
                <w:szCs w:val="24"/>
              </w:rPr>
            </w:pPr>
          </w:p>
        </w:tc>
        <w:tc>
          <w:tcPr>
            <w:tcW w:w="776" w:type="dxa"/>
            <w:tcBorders>
              <w:right w:val="single" w:color="auto" w:sz="4" w:space="0"/>
            </w:tcBorders>
          </w:tcPr>
          <w:p w14:paraId="554DECCF">
            <w:pPr>
              <w:spacing w:before="156" w:beforeLines="50" w:line="360" w:lineRule="auto"/>
              <w:jc w:val="center"/>
              <w:rPr>
                <w:rFonts w:ascii="仿宋" w:hAnsi="仿宋" w:cs="仿宋"/>
                <w:sz w:val="24"/>
                <w:szCs w:val="24"/>
              </w:rPr>
            </w:pPr>
          </w:p>
        </w:tc>
        <w:tc>
          <w:tcPr>
            <w:tcW w:w="691" w:type="dxa"/>
            <w:tcBorders>
              <w:left w:val="single" w:color="auto" w:sz="4" w:space="0"/>
              <w:right w:val="single" w:color="auto" w:sz="4" w:space="0"/>
            </w:tcBorders>
          </w:tcPr>
          <w:p w14:paraId="08361E2C">
            <w:pPr>
              <w:spacing w:before="156" w:beforeLines="50" w:line="360" w:lineRule="auto"/>
              <w:jc w:val="center"/>
              <w:rPr>
                <w:rFonts w:ascii="仿宋" w:hAnsi="仿宋" w:cs="仿宋"/>
                <w:sz w:val="24"/>
                <w:szCs w:val="24"/>
              </w:rPr>
            </w:pPr>
          </w:p>
        </w:tc>
        <w:tc>
          <w:tcPr>
            <w:tcW w:w="988" w:type="dxa"/>
            <w:tcBorders>
              <w:left w:val="single" w:color="auto" w:sz="4" w:space="0"/>
            </w:tcBorders>
          </w:tcPr>
          <w:p w14:paraId="381DDF19">
            <w:pPr>
              <w:spacing w:before="156" w:beforeLines="50" w:line="360" w:lineRule="auto"/>
              <w:jc w:val="center"/>
              <w:rPr>
                <w:rFonts w:ascii="仿宋" w:hAnsi="仿宋" w:cs="仿宋"/>
                <w:sz w:val="24"/>
                <w:szCs w:val="24"/>
              </w:rPr>
            </w:pPr>
          </w:p>
        </w:tc>
        <w:tc>
          <w:tcPr>
            <w:tcW w:w="1142" w:type="dxa"/>
            <w:tcBorders>
              <w:right w:val="single" w:color="auto" w:sz="4" w:space="0"/>
            </w:tcBorders>
          </w:tcPr>
          <w:p w14:paraId="1307CC8F">
            <w:pPr>
              <w:spacing w:before="156" w:beforeLines="50" w:line="360" w:lineRule="auto"/>
              <w:jc w:val="center"/>
              <w:rPr>
                <w:rFonts w:ascii="仿宋" w:hAnsi="仿宋" w:cs="仿宋"/>
                <w:sz w:val="24"/>
                <w:szCs w:val="24"/>
              </w:rPr>
            </w:pPr>
          </w:p>
        </w:tc>
        <w:tc>
          <w:tcPr>
            <w:tcW w:w="849" w:type="dxa"/>
            <w:tcBorders>
              <w:right w:val="single" w:color="auto" w:sz="4" w:space="0"/>
            </w:tcBorders>
          </w:tcPr>
          <w:p w14:paraId="0A4626CF">
            <w:pPr>
              <w:spacing w:before="156" w:beforeLines="50" w:line="360" w:lineRule="auto"/>
              <w:jc w:val="center"/>
              <w:rPr>
                <w:rFonts w:ascii="仿宋" w:hAnsi="仿宋" w:cs="仿宋"/>
                <w:sz w:val="24"/>
                <w:szCs w:val="24"/>
              </w:rPr>
            </w:pPr>
          </w:p>
        </w:tc>
      </w:tr>
      <w:tr w14:paraId="0714E3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53" w:hRule="atLeast"/>
          <w:jc w:val="center"/>
        </w:trPr>
        <w:tc>
          <w:tcPr>
            <w:tcW w:w="635" w:type="dxa"/>
          </w:tcPr>
          <w:p w14:paraId="35033F93">
            <w:pPr>
              <w:spacing w:before="156" w:beforeLines="50" w:line="360" w:lineRule="auto"/>
              <w:jc w:val="center"/>
              <w:rPr>
                <w:rFonts w:ascii="仿宋" w:hAnsi="仿宋" w:cs="仿宋"/>
                <w:sz w:val="24"/>
                <w:szCs w:val="24"/>
              </w:rPr>
            </w:pPr>
          </w:p>
        </w:tc>
        <w:tc>
          <w:tcPr>
            <w:tcW w:w="903" w:type="dxa"/>
          </w:tcPr>
          <w:p w14:paraId="4DEB16AD">
            <w:pPr>
              <w:spacing w:before="156" w:beforeLines="50" w:line="360" w:lineRule="auto"/>
              <w:jc w:val="center"/>
              <w:rPr>
                <w:rFonts w:ascii="仿宋" w:hAnsi="仿宋" w:cs="仿宋"/>
                <w:sz w:val="24"/>
                <w:szCs w:val="24"/>
              </w:rPr>
            </w:pPr>
          </w:p>
        </w:tc>
        <w:tc>
          <w:tcPr>
            <w:tcW w:w="1397" w:type="dxa"/>
            <w:tcBorders>
              <w:right w:val="single" w:color="auto" w:sz="4" w:space="0"/>
            </w:tcBorders>
          </w:tcPr>
          <w:p w14:paraId="3172456B">
            <w:pPr>
              <w:spacing w:before="156" w:beforeLines="50" w:line="360" w:lineRule="auto"/>
              <w:jc w:val="center"/>
              <w:rPr>
                <w:rFonts w:ascii="仿宋" w:hAnsi="仿宋" w:cs="仿宋"/>
                <w:sz w:val="24"/>
                <w:szCs w:val="24"/>
              </w:rPr>
            </w:pPr>
          </w:p>
        </w:tc>
        <w:tc>
          <w:tcPr>
            <w:tcW w:w="1595" w:type="dxa"/>
            <w:tcBorders>
              <w:left w:val="single" w:color="auto" w:sz="4" w:space="0"/>
            </w:tcBorders>
          </w:tcPr>
          <w:p w14:paraId="72C9E499">
            <w:pPr>
              <w:spacing w:before="156" w:beforeLines="50" w:line="360" w:lineRule="auto"/>
              <w:jc w:val="center"/>
              <w:rPr>
                <w:rFonts w:ascii="仿宋" w:hAnsi="仿宋" w:cs="仿宋"/>
                <w:sz w:val="24"/>
                <w:szCs w:val="24"/>
              </w:rPr>
            </w:pPr>
          </w:p>
        </w:tc>
        <w:tc>
          <w:tcPr>
            <w:tcW w:w="776" w:type="dxa"/>
            <w:tcBorders>
              <w:right w:val="single" w:color="auto" w:sz="4" w:space="0"/>
            </w:tcBorders>
          </w:tcPr>
          <w:p w14:paraId="568AADAF">
            <w:pPr>
              <w:spacing w:before="156" w:beforeLines="50" w:line="360" w:lineRule="auto"/>
              <w:jc w:val="center"/>
              <w:rPr>
                <w:rFonts w:ascii="仿宋" w:hAnsi="仿宋" w:cs="仿宋"/>
                <w:sz w:val="24"/>
                <w:szCs w:val="24"/>
              </w:rPr>
            </w:pPr>
          </w:p>
        </w:tc>
        <w:tc>
          <w:tcPr>
            <w:tcW w:w="691" w:type="dxa"/>
            <w:tcBorders>
              <w:left w:val="single" w:color="auto" w:sz="4" w:space="0"/>
              <w:right w:val="single" w:color="auto" w:sz="4" w:space="0"/>
            </w:tcBorders>
          </w:tcPr>
          <w:p w14:paraId="5D45D3A5">
            <w:pPr>
              <w:spacing w:before="156" w:beforeLines="50" w:line="360" w:lineRule="auto"/>
              <w:jc w:val="center"/>
              <w:rPr>
                <w:rFonts w:ascii="仿宋" w:hAnsi="仿宋" w:cs="仿宋"/>
                <w:sz w:val="24"/>
                <w:szCs w:val="24"/>
              </w:rPr>
            </w:pPr>
          </w:p>
        </w:tc>
        <w:tc>
          <w:tcPr>
            <w:tcW w:w="988" w:type="dxa"/>
            <w:tcBorders>
              <w:left w:val="single" w:color="auto" w:sz="4" w:space="0"/>
            </w:tcBorders>
          </w:tcPr>
          <w:p w14:paraId="28E19EC2">
            <w:pPr>
              <w:spacing w:before="156" w:beforeLines="50" w:line="360" w:lineRule="auto"/>
              <w:jc w:val="center"/>
              <w:rPr>
                <w:rFonts w:ascii="仿宋" w:hAnsi="仿宋" w:cs="仿宋"/>
                <w:sz w:val="24"/>
                <w:szCs w:val="24"/>
              </w:rPr>
            </w:pPr>
          </w:p>
        </w:tc>
        <w:tc>
          <w:tcPr>
            <w:tcW w:w="1142" w:type="dxa"/>
            <w:tcBorders>
              <w:right w:val="single" w:color="auto" w:sz="4" w:space="0"/>
            </w:tcBorders>
          </w:tcPr>
          <w:p w14:paraId="3A192A8E">
            <w:pPr>
              <w:spacing w:before="156" w:beforeLines="50" w:line="360" w:lineRule="auto"/>
              <w:jc w:val="center"/>
              <w:rPr>
                <w:rFonts w:ascii="仿宋" w:hAnsi="仿宋" w:cs="仿宋"/>
                <w:sz w:val="24"/>
                <w:szCs w:val="24"/>
              </w:rPr>
            </w:pPr>
          </w:p>
        </w:tc>
        <w:tc>
          <w:tcPr>
            <w:tcW w:w="849" w:type="dxa"/>
            <w:tcBorders>
              <w:right w:val="single" w:color="auto" w:sz="4" w:space="0"/>
            </w:tcBorders>
          </w:tcPr>
          <w:p w14:paraId="0DB78588">
            <w:pPr>
              <w:spacing w:before="156" w:beforeLines="50" w:line="360" w:lineRule="auto"/>
              <w:jc w:val="center"/>
              <w:rPr>
                <w:rFonts w:ascii="仿宋" w:hAnsi="仿宋" w:cs="仿宋"/>
                <w:sz w:val="24"/>
                <w:szCs w:val="24"/>
              </w:rPr>
            </w:pPr>
          </w:p>
        </w:tc>
      </w:tr>
      <w:tr w14:paraId="0A768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4" w:hRule="atLeast"/>
          <w:jc w:val="center"/>
        </w:trPr>
        <w:tc>
          <w:tcPr>
            <w:tcW w:w="635" w:type="dxa"/>
          </w:tcPr>
          <w:p w14:paraId="2986B4F5">
            <w:pPr>
              <w:spacing w:before="156" w:beforeLines="50" w:line="360" w:lineRule="auto"/>
              <w:jc w:val="center"/>
              <w:rPr>
                <w:rFonts w:ascii="仿宋" w:hAnsi="仿宋" w:cs="仿宋"/>
                <w:sz w:val="24"/>
                <w:szCs w:val="24"/>
              </w:rPr>
            </w:pPr>
          </w:p>
        </w:tc>
        <w:tc>
          <w:tcPr>
            <w:tcW w:w="903" w:type="dxa"/>
          </w:tcPr>
          <w:p w14:paraId="4ABBD6B9">
            <w:pPr>
              <w:spacing w:before="156" w:beforeLines="50" w:line="360" w:lineRule="auto"/>
              <w:jc w:val="center"/>
              <w:rPr>
                <w:rFonts w:ascii="仿宋" w:hAnsi="仿宋" w:cs="仿宋"/>
                <w:sz w:val="24"/>
                <w:szCs w:val="24"/>
              </w:rPr>
            </w:pPr>
          </w:p>
        </w:tc>
        <w:tc>
          <w:tcPr>
            <w:tcW w:w="1397" w:type="dxa"/>
            <w:tcBorders>
              <w:right w:val="single" w:color="auto" w:sz="4" w:space="0"/>
            </w:tcBorders>
          </w:tcPr>
          <w:p w14:paraId="1F09C004">
            <w:pPr>
              <w:spacing w:before="156" w:beforeLines="50" w:line="360" w:lineRule="auto"/>
              <w:jc w:val="center"/>
              <w:rPr>
                <w:rFonts w:ascii="仿宋" w:hAnsi="仿宋" w:cs="仿宋"/>
                <w:sz w:val="24"/>
                <w:szCs w:val="24"/>
              </w:rPr>
            </w:pPr>
          </w:p>
        </w:tc>
        <w:tc>
          <w:tcPr>
            <w:tcW w:w="1595" w:type="dxa"/>
            <w:tcBorders>
              <w:left w:val="single" w:color="auto" w:sz="4" w:space="0"/>
            </w:tcBorders>
          </w:tcPr>
          <w:p w14:paraId="350F8A2F">
            <w:pPr>
              <w:spacing w:before="156" w:beforeLines="50" w:line="360" w:lineRule="auto"/>
              <w:jc w:val="center"/>
              <w:rPr>
                <w:rFonts w:ascii="仿宋" w:hAnsi="仿宋" w:cs="仿宋"/>
                <w:sz w:val="24"/>
                <w:szCs w:val="24"/>
              </w:rPr>
            </w:pPr>
          </w:p>
        </w:tc>
        <w:tc>
          <w:tcPr>
            <w:tcW w:w="776" w:type="dxa"/>
            <w:tcBorders>
              <w:right w:val="single" w:color="auto" w:sz="4" w:space="0"/>
            </w:tcBorders>
          </w:tcPr>
          <w:p w14:paraId="777E0C12">
            <w:pPr>
              <w:spacing w:before="156" w:beforeLines="50" w:line="360" w:lineRule="auto"/>
              <w:jc w:val="center"/>
              <w:rPr>
                <w:rFonts w:ascii="仿宋" w:hAnsi="仿宋" w:cs="仿宋"/>
                <w:sz w:val="24"/>
                <w:szCs w:val="24"/>
              </w:rPr>
            </w:pPr>
          </w:p>
        </w:tc>
        <w:tc>
          <w:tcPr>
            <w:tcW w:w="691" w:type="dxa"/>
            <w:tcBorders>
              <w:left w:val="single" w:color="auto" w:sz="4" w:space="0"/>
              <w:right w:val="single" w:color="auto" w:sz="4" w:space="0"/>
            </w:tcBorders>
          </w:tcPr>
          <w:p w14:paraId="0545A709">
            <w:pPr>
              <w:spacing w:before="156" w:beforeLines="50" w:line="360" w:lineRule="auto"/>
              <w:jc w:val="center"/>
              <w:rPr>
                <w:rFonts w:ascii="仿宋" w:hAnsi="仿宋" w:cs="仿宋"/>
                <w:sz w:val="24"/>
                <w:szCs w:val="24"/>
              </w:rPr>
            </w:pPr>
          </w:p>
        </w:tc>
        <w:tc>
          <w:tcPr>
            <w:tcW w:w="988" w:type="dxa"/>
            <w:tcBorders>
              <w:left w:val="single" w:color="auto" w:sz="4" w:space="0"/>
            </w:tcBorders>
          </w:tcPr>
          <w:p w14:paraId="128F7470">
            <w:pPr>
              <w:spacing w:before="156" w:beforeLines="50" w:line="360" w:lineRule="auto"/>
              <w:jc w:val="center"/>
              <w:rPr>
                <w:rFonts w:ascii="仿宋" w:hAnsi="仿宋" w:cs="仿宋"/>
                <w:sz w:val="24"/>
                <w:szCs w:val="24"/>
              </w:rPr>
            </w:pPr>
          </w:p>
        </w:tc>
        <w:tc>
          <w:tcPr>
            <w:tcW w:w="1142" w:type="dxa"/>
            <w:tcBorders>
              <w:right w:val="single" w:color="auto" w:sz="4" w:space="0"/>
            </w:tcBorders>
          </w:tcPr>
          <w:p w14:paraId="6CEC16C1">
            <w:pPr>
              <w:spacing w:before="156" w:beforeLines="50" w:line="360" w:lineRule="auto"/>
              <w:jc w:val="center"/>
              <w:rPr>
                <w:rFonts w:ascii="仿宋" w:hAnsi="仿宋" w:cs="仿宋"/>
                <w:sz w:val="24"/>
                <w:szCs w:val="24"/>
              </w:rPr>
            </w:pPr>
          </w:p>
        </w:tc>
        <w:tc>
          <w:tcPr>
            <w:tcW w:w="849" w:type="dxa"/>
            <w:tcBorders>
              <w:right w:val="single" w:color="auto" w:sz="4" w:space="0"/>
            </w:tcBorders>
          </w:tcPr>
          <w:p w14:paraId="3E313ED3">
            <w:pPr>
              <w:spacing w:before="156" w:beforeLines="50" w:line="360" w:lineRule="auto"/>
              <w:jc w:val="center"/>
              <w:rPr>
                <w:rFonts w:ascii="仿宋" w:hAnsi="仿宋" w:cs="仿宋"/>
                <w:sz w:val="24"/>
                <w:szCs w:val="24"/>
              </w:rPr>
            </w:pPr>
          </w:p>
        </w:tc>
      </w:tr>
    </w:tbl>
    <w:p w14:paraId="19BF5E1F">
      <w:pPr>
        <w:spacing w:line="360" w:lineRule="auto"/>
        <w:rPr>
          <w:rFonts w:ascii="仿宋" w:hAnsi="仿宋" w:cs="仿宋"/>
          <w:b/>
          <w:sz w:val="24"/>
          <w:szCs w:val="24"/>
        </w:rPr>
      </w:pPr>
      <w:r>
        <w:rPr>
          <w:rFonts w:hint="eastAsia" w:ascii="仿宋" w:hAnsi="仿宋" w:cs="仿宋"/>
          <w:b/>
          <w:sz w:val="24"/>
          <w:szCs w:val="24"/>
        </w:rPr>
        <w:t>八、包装要求</w:t>
      </w:r>
    </w:p>
    <w:p w14:paraId="0F333433">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1、除合同另有规定外，供应商提供的全部货物，均应按标准保护措施进行包装，并确保货物安全送达至采购人指定地点。因包装不良造成的损失和由此产生的费用均由供应商自行承担。</w:t>
      </w:r>
    </w:p>
    <w:p w14:paraId="7C91ECD3">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2、每一个包装箱内应附一份详细装箱清单和质量合格证。</w:t>
      </w:r>
    </w:p>
    <w:p w14:paraId="1961AFA5">
      <w:pPr>
        <w:spacing w:line="360" w:lineRule="auto"/>
        <w:rPr>
          <w:rFonts w:ascii="仿宋" w:hAnsi="仿宋" w:cs="仿宋"/>
          <w:b/>
          <w:sz w:val="24"/>
          <w:szCs w:val="24"/>
        </w:rPr>
      </w:pPr>
      <w:r>
        <w:rPr>
          <w:rFonts w:hint="eastAsia" w:ascii="仿宋" w:hAnsi="仿宋" w:cs="仿宋"/>
          <w:b/>
          <w:sz w:val="24"/>
          <w:szCs w:val="24"/>
        </w:rPr>
        <w:t>九、运输、安装、调试要求：</w:t>
      </w:r>
    </w:p>
    <w:p w14:paraId="7E7FE19C">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1、供应商根据产品特性，自行选择运输及包装方式，承担一切运输费用，包括从生产厂到采购人指定交货地点所需的装卸、运输（含保险费）及其他一切费用；货物风险自采购人收到货物且书面验收合格后转移至采购人。</w:t>
      </w:r>
    </w:p>
    <w:p w14:paraId="12B3C580">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2、由供应商负责派技术人员到现场进行安装、调试至验收合格。供应商应在合同签订后一周内，向采购人提供安装、调试及试运行的进度计划表。</w:t>
      </w:r>
    </w:p>
    <w:p w14:paraId="52325489">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3、供应商应在合同规定的安装调试期内完成该项工作,如因供应商责任而造成延期，每超过一天按合同总价款的（1‰）支付采购人误期赔偿金，直至交货或提供服务结束为止，所有因延期而产生的费用由供应商自行承担。</w:t>
      </w:r>
    </w:p>
    <w:p w14:paraId="7C0F7AF4">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4、安装和调试期间所发生的费用均由供应商负责。</w:t>
      </w:r>
    </w:p>
    <w:p w14:paraId="0BF20A64">
      <w:pPr>
        <w:tabs>
          <w:tab w:val="left" w:pos="840"/>
        </w:tabs>
        <w:spacing w:line="360" w:lineRule="auto"/>
        <w:ind w:firstLine="480" w:firstLineChars="200"/>
        <w:rPr>
          <w:rFonts w:ascii="仿宋" w:hAnsi="仿宋" w:cs="仿宋"/>
          <w:sz w:val="24"/>
          <w:szCs w:val="24"/>
        </w:rPr>
      </w:pPr>
      <w:r>
        <w:rPr>
          <w:rFonts w:hint="eastAsia" w:ascii="仿宋" w:hAnsi="仿宋" w:cs="仿宋"/>
          <w:sz w:val="24"/>
          <w:szCs w:val="24"/>
        </w:rPr>
        <w:t>5、供应商应对安装调试、整改等实施过程的安全负责，如发生人身伤亡、财产损失的由供应商负责解决并承担全部责任。</w:t>
      </w:r>
    </w:p>
    <w:p w14:paraId="490E4093">
      <w:pPr>
        <w:spacing w:line="360" w:lineRule="auto"/>
        <w:rPr>
          <w:rFonts w:ascii="仿宋" w:hAnsi="仿宋" w:cs="仿宋"/>
          <w:b/>
          <w:sz w:val="24"/>
          <w:szCs w:val="24"/>
        </w:rPr>
      </w:pPr>
      <w:r>
        <w:rPr>
          <w:rFonts w:hint="eastAsia" w:ascii="仿宋" w:hAnsi="仿宋" w:cs="仿宋"/>
          <w:b/>
          <w:sz w:val="24"/>
          <w:szCs w:val="24"/>
        </w:rPr>
        <w:t>十、技术支持：</w:t>
      </w:r>
    </w:p>
    <w:p w14:paraId="55D6A5A4">
      <w:pPr>
        <w:spacing w:line="360" w:lineRule="auto"/>
        <w:ind w:firstLine="480" w:firstLineChars="200"/>
        <w:rPr>
          <w:rFonts w:ascii="仿宋" w:hAnsi="仿宋" w:cs="仿宋"/>
          <w:sz w:val="24"/>
          <w:szCs w:val="24"/>
        </w:rPr>
      </w:pPr>
      <w:r>
        <w:rPr>
          <w:rFonts w:hint="eastAsia" w:ascii="仿宋" w:hAnsi="仿宋" w:cs="仿宋"/>
          <w:sz w:val="24"/>
          <w:szCs w:val="24"/>
        </w:rPr>
        <w:t xml:space="preserve"> 提供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项目建设过程中一旦出现重大问题，项目总协调人应及时赶到现场。供应商更换项目负责人和主要技术人员的，须以书面材料报告采购人审核，经同意后方可更换。因供应商的人员变更原因所造成的任何项目质量、进度滞后的后果，由供应商承担。</w:t>
      </w:r>
    </w:p>
    <w:p w14:paraId="327FE2E1">
      <w:pPr>
        <w:spacing w:line="360" w:lineRule="auto"/>
        <w:ind w:firstLine="480" w:firstLineChars="200"/>
        <w:rPr>
          <w:rFonts w:ascii="仿宋" w:hAnsi="仿宋" w:cs="仿宋"/>
          <w:sz w:val="24"/>
          <w:szCs w:val="24"/>
        </w:rPr>
      </w:pPr>
      <w:r>
        <w:rPr>
          <w:rFonts w:hint="eastAsia" w:ascii="仿宋" w:hAnsi="仿宋" w:cs="仿宋"/>
          <w:sz w:val="24"/>
          <w:szCs w:val="24"/>
        </w:rPr>
        <w:t>供应商在项目实施过程中，质量保障人员、资源不足或者执力不足，给项目质量带来的风险超出采购人认定的允许范围时，采购人可终止本项目的合作并进行索赔。</w:t>
      </w:r>
    </w:p>
    <w:p w14:paraId="316F33E7">
      <w:pPr>
        <w:spacing w:line="360" w:lineRule="auto"/>
        <w:rPr>
          <w:rFonts w:ascii="仿宋" w:hAnsi="仿宋" w:cs="仿宋"/>
          <w:b/>
          <w:sz w:val="24"/>
          <w:szCs w:val="24"/>
        </w:rPr>
      </w:pPr>
      <w:r>
        <w:rPr>
          <w:rFonts w:hint="eastAsia" w:ascii="仿宋" w:hAnsi="仿宋" w:cs="仿宋"/>
          <w:b/>
          <w:sz w:val="24"/>
          <w:szCs w:val="24"/>
        </w:rPr>
        <w:t>十一、技术培训：</w:t>
      </w:r>
    </w:p>
    <w:p w14:paraId="48EEFD17">
      <w:pPr>
        <w:spacing w:line="360" w:lineRule="auto"/>
        <w:ind w:firstLine="480" w:firstLineChars="200"/>
        <w:rPr>
          <w:rFonts w:ascii="仿宋" w:hAnsi="仿宋" w:cs="仿宋"/>
          <w:sz w:val="24"/>
          <w:szCs w:val="24"/>
        </w:rPr>
      </w:pPr>
      <w:r>
        <w:rPr>
          <w:rFonts w:hint="eastAsia" w:ascii="仿宋" w:hAnsi="仿宋" w:cs="仿宋"/>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供应的产品需在培训基地培训的，供应商应按要求履行，培训产生的交通费、食宿费、培训费等均由供应商承担。</w:t>
      </w:r>
    </w:p>
    <w:p w14:paraId="75D7CF2B">
      <w:pPr>
        <w:spacing w:line="360" w:lineRule="auto"/>
        <w:rPr>
          <w:rFonts w:ascii="仿宋" w:hAnsi="仿宋" w:cs="仿宋"/>
          <w:b/>
          <w:sz w:val="24"/>
          <w:szCs w:val="24"/>
        </w:rPr>
      </w:pPr>
      <w:r>
        <w:rPr>
          <w:rFonts w:hint="eastAsia" w:ascii="仿宋" w:hAnsi="仿宋" w:cs="仿宋"/>
          <w:b/>
          <w:sz w:val="24"/>
          <w:szCs w:val="24"/>
        </w:rPr>
        <w:t>十二、技术资料要求：</w:t>
      </w:r>
    </w:p>
    <w:p w14:paraId="0D28684E">
      <w:pPr>
        <w:spacing w:line="360" w:lineRule="auto"/>
        <w:ind w:firstLine="480" w:firstLineChars="200"/>
        <w:rPr>
          <w:rFonts w:ascii="仿宋" w:hAnsi="仿宋" w:cs="仿宋"/>
          <w:sz w:val="24"/>
          <w:szCs w:val="24"/>
        </w:rPr>
      </w:pPr>
      <w:r>
        <w:rPr>
          <w:rFonts w:hint="eastAsia" w:ascii="仿宋" w:hAnsi="仿宋" w:cs="仿宋"/>
          <w:sz w:val="24"/>
          <w:szCs w:val="24"/>
        </w:rPr>
        <w:t>供应商应向采购人提供全套中文技术资料一套，包含但不限于以下内容：</w:t>
      </w:r>
    </w:p>
    <w:p w14:paraId="434A047D">
      <w:pPr>
        <w:spacing w:line="360" w:lineRule="auto"/>
        <w:ind w:firstLine="480" w:firstLineChars="200"/>
        <w:rPr>
          <w:rFonts w:ascii="仿宋" w:hAnsi="仿宋" w:cs="仿宋"/>
          <w:sz w:val="24"/>
          <w:szCs w:val="24"/>
        </w:rPr>
      </w:pPr>
      <w:r>
        <w:rPr>
          <w:rFonts w:hint="eastAsia" w:ascii="仿宋" w:hAnsi="仿宋" w:cs="仿宋"/>
          <w:sz w:val="24"/>
          <w:szCs w:val="24"/>
        </w:rPr>
        <w:t>1、完整的产品操作使用手册、说明书和维护、修理技术文件、图纸、保修卡等；</w:t>
      </w:r>
    </w:p>
    <w:p w14:paraId="6DECE0BF">
      <w:pPr>
        <w:spacing w:line="360" w:lineRule="auto"/>
        <w:ind w:firstLine="480" w:firstLineChars="200"/>
        <w:rPr>
          <w:rFonts w:ascii="仿宋" w:hAnsi="仿宋" w:cs="仿宋"/>
          <w:sz w:val="24"/>
          <w:szCs w:val="24"/>
        </w:rPr>
      </w:pPr>
      <w:r>
        <w:rPr>
          <w:rFonts w:hint="eastAsia" w:ascii="仿宋" w:hAnsi="仿宋" w:cs="仿宋"/>
          <w:sz w:val="24"/>
          <w:szCs w:val="24"/>
        </w:rPr>
        <w:t>2、制造厂的检验、测试报告、产品检验合格证书，质量保证书等文件验收时需提供；</w:t>
      </w:r>
    </w:p>
    <w:p w14:paraId="7207BEE2">
      <w:pPr>
        <w:spacing w:line="360" w:lineRule="auto"/>
        <w:ind w:firstLine="480" w:firstLineChars="200"/>
        <w:rPr>
          <w:rFonts w:ascii="仿宋" w:hAnsi="仿宋" w:cs="仿宋"/>
          <w:sz w:val="24"/>
          <w:szCs w:val="24"/>
        </w:rPr>
      </w:pPr>
      <w:r>
        <w:rPr>
          <w:rFonts w:hint="eastAsia" w:ascii="仿宋" w:hAnsi="仿宋" w:cs="仿宋"/>
          <w:sz w:val="24"/>
          <w:szCs w:val="24"/>
        </w:rPr>
        <w:t>3、必须的其它技术资料；</w:t>
      </w:r>
    </w:p>
    <w:p w14:paraId="20CCF758">
      <w:pPr>
        <w:spacing w:line="360" w:lineRule="auto"/>
        <w:ind w:firstLine="480" w:firstLineChars="200"/>
        <w:rPr>
          <w:rFonts w:ascii="仿宋" w:hAnsi="仿宋" w:cs="仿宋"/>
          <w:sz w:val="24"/>
          <w:szCs w:val="24"/>
        </w:rPr>
      </w:pPr>
      <w:r>
        <w:rPr>
          <w:rFonts w:hint="eastAsia" w:ascii="仿宋" w:hAnsi="仿宋" w:cs="仿宋"/>
          <w:sz w:val="24"/>
          <w:szCs w:val="24"/>
        </w:rPr>
        <w:t>4、产品验收标准；</w:t>
      </w:r>
    </w:p>
    <w:p w14:paraId="660A8DB8">
      <w:pPr>
        <w:spacing w:line="360" w:lineRule="auto"/>
        <w:ind w:firstLine="480" w:firstLineChars="200"/>
        <w:rPr>
          <w:rFonts w:ascii="仿宋" w:hAnsi="仿宋" w:cs="仿宋"/>
          <w:sz w:val="24"/>
          <w:szCs w:val="24"/>
        </w:rPr>
      </w:pPr>
      <w:r>
        <w:rPr>
          <w:rFonts w:hint="eastAsia" w:ascii="仿宋" w:hAnsi="仿宋" w:cs="仿宋"/>
          <w:sz w:val="24"/>
          <w:szCs w:val="24"/>
        </w:rPr>
        <w:t>5、技术说明书；</w:t>
      </w:r>
    </w:p>
    <w:p w14:paraId="12D37BDA">
      <w:pPr>
        <w:spacing w:line="360" w:lineRule="auto"/>
        <w:ind w:firstLine="480" w:firstLineChars="200"/>
        <w:rPr>
          <w:rFonts w:ascii="仿宋" w:hAnsi="仿宋" w:cs="仿宋"/>
          <w:sz w:val="24"/>
          <w:szCs w:val="24"/>
        </w:rPr>
      </w:pPr>
      <w:r>
        <w:rPr>
          <w:rFonts w:hint="eastAsia" w:ascii="仿宋" w:hAnsi="仿宋" w:cs="仿宋"/>
          <w:sz w:val="24"/>
          <w:szCs w:val="24"/>
        </w:rPr>
        <w:t>6、零部件目录；</w:t>
      </w:r>
    </w:p>
    <w:p w14:paraId="435AA0B5">
      <w:pPr>
        <w:spacing w:line="360" w:lineRule="auto"/>
        <w:ind w:firstLine="480" w:firstLineChars="200"/>
        <w:rPr>
          <w:rFonts w:ascii="仿宋" w:hAnsi="仿宋" w:cs="仿宋"/>
          <w:sz w:val="24"/>
          <w:szCs w:val="24"/>
        </w:rPr>
      </w:pPr>
      <w:r>
        <w:rPr>
          <w:rFonts w:hint="eastAsia" w:ascii="仿宋" w:hAnsi="仿宋" w:cs="仿宋"/>
          <w:sz w:val="24"/>
          <w:szCs w:val="24"/>
        </w:rPr>
        <w:t>7、备品备件、易损件清单；</w:t>
      </w:r>
    </w:p>
    <w:p w14:paraId="3442C68B">
      <w:pPr>
        <w:spacing w:line="360" w:lineRule="auto"/>
        <w:ind w:firstLine="480" w:firstLineChars="200"/>
        <w:rPr>
          <w:rFonts w:ascii="仿宋" w:hAnsi="仿宋" w:cs="仿宋"/>
          <w:sz w:val="24"/>
          <w:szCs w:val="24"/>
        </w:rPr>
      </w:pPr>
      <w:r>
        <w:rPr>
          <w:rFonts w:hint="eastAsia" w:ascii="仿宋" w:hAnsi="仿宋" w:cs="仿宋"/>
          <w:sz w:val="24"/>
          <w:szCs w:val="24"/>
        </w:rPr>
        <w:t>8、项目完工后提供验收报告；</w:t>
      </w:r>
    </w:p>
    <w:p w14:paraId="1945462C">
      <w:pPr>
        <w:spacing w:line="360" w:lineRule="auto"/>
        <w:ind w:firstLine="480" w:firstLineChars="200"/>
        <w:rPr>
          <w:rFonts w:ascii="仿宋" w:hAnsi="仿宋" w:cs="仿宋"/>
          <w:sz w:val="24"/>
          <w:szCs w:val="24"/>
        </w:rPr>
      </w:pPr>
      <w:r>
        <w:rPr>
          <w:rFonts w:hint="eastAsia" w:ascii="仿宋" w:hAnsi="仿宋" w:cs="仿宋"/>
          <w:sz w:val="24"/>
          <w:szCs w:val="24"/>
        </w:rPr>
        <w:t>9、合同中要求的其他文件资料。</w:t>
      </w:r>
    </w:p>
    <w:p w14:paraId="3122B0FC">
      <w:pPr>
        <w:pStyle w:val="8"/>
        <w:rPr>
          <w:rFonts w:ascii="仿宋" w:hAnsi="仿宋" w:cs="仿宋"/>
          <w:b/>
          <w:sz w:val="24"/>
          <w:szCs w:val="24"/>
        </w:rPr>
      </w:pPr>
      <w:r>
        <w:rPr>
          <w:rFonts w:hint="eastAsia" w:ascii="仿宋" w:hAnsi="仿宋" w:cs="仿宋"/>
          <w:b/>
          <w:sz w:val="24"/>
          <w:szCs w:val="24"/>
        </w:rPr>
        <w:t>十三、质保及维保服务（提供售后服务承诺书）：</w:t>
      </w:r>
    </w:p>
    <w:p w14:paraId="487D4B29">
      <w:pPr>
        <w:spacing w:line="360" w:lineRule="auto"/>
        <w:ind w:firstLine="482" w:firstLineChars="200"/>
        <w:rPr>
          <w:rFonts w:ascii="仿宋" w:hAnsi="仿宋" w:cs="仿宋"/>
          <w:sz w:val="24"/>
          <w:szCs w:val="24"/>
        </w:rPr>
      </w:pPr>
      <w:r>
        <w:rPr>
          <w:rFonts w:hint="eastAsia" w:ascii="仿宋" w:hAnsi="仿宋" w:cs="仿宋"/>
          <w:b/>
          <w:bCs/>
          <w:sz w:val="24"/>
          <w:szCs w:val="24"/>
        </w:rPr>
        <w:t>1、</w:t>
      </w:r>
      <w:r>
        <w:rPr>
          <w:rFonts w:hint="eastAsia" w:ascii="仿宋" w:hAnsi="仿宋" w:cs="仿宋"/>
          <w:b/>
          <w:bCs/>
          <w:color w:val="auto"/>
          <w:sz w:val="24"/>
          <w:szCs w:val="24"/>
          <w:highlight w:val="none"/>
        </w:rPr>
        <w:t>本项目的质保期为</w:t>
      </w:r>
      <w:r>
        <w:rPr>
          <w:rFonts w:hint="eastAsia" w:ascii="仿宋" w:hAnsi="仿宋" w:cs="仿宋"/>
          <w:b/>
          <w:bCs/>
          <w:color w:val="auto"/>
          <w:sz w:val="24"/>
          <w:szCs w:val="24"/>
          <w:highlight w:val="none"/>
          <w:lang w:val="en-US" w:eastAsia="zh-CN"/>
        </w:rPr>
        <w:t>8年</w:t>
      </w:r>
      <w:r>
        <w:rPr>
          <w:rFonts w:hint="eastAsia" w:ascii="仿宋" w:hAnsi="仿宋" w:cs="仿宋"/>
          <w:b/>
          <w:bCs/>
          <w:color w:val="auto"/>
          <w:sz w:val="24"/>
          <w:szCs w:val="24"/>
          <w:highlight w:val="none"/>
          <w:lang w:eastAsia="zh-CN"/>
        </w:rPr>
        <w:t>，</w:t>
      </w:r>
      <w:r>
        <w:rPr>
          <w:rFonts w:hint="eastAsia" w:ascii="仿宋" w:hAnsi="仿宋" w:cs="仿宋"/>
          <w:b/>
          <w:bCs/>
          <w:sz w:val="24"/>
          <w:szCs w:val="24"/>
          <w:highlight w:val="none"/>
          <w:lang w:val="en-US" w:eastAsia="zh-CN"/>
        </w:rPr>
        <w:t>质保期内提供质量保修服务</w:t>
      </w:r>
      <w:r>
        <w:rPr>
          <w:rFonts w:hint="eastAsia" w:ascii="仿宋" w:hAnsi="仿宋" w:cs="仿宋"/>
          <w:b/>
          <w:bCs/>
          <w:sz w:val="24"/>
          <w:szCs w:val="24"/>
        </w:rPr>
        <w:t>。</w:t>
      </w:r>
    </w:p>
    <w:p w14:paraId="07AD0F8A">
      <w:pPr>
        <w:spacing w:line="360" w:lineRule="auto"/>
        <w:ind w:firstLine="480" w:firstLineChars="200"/>
        <w:rPr>
          <w:rFonts w:ascii="仿宋" w:hAnsi="仿宋" w:cs="仿宋"/>
          <w:sz w:val="24"/>
          <w:szCs w:val="24"/>
        </w:rPr>
      </w:pPr>
      <w:r>
        <w:rPr>
          <w:rFonts w:hint="eastAsia" w:ascii="仿宋" w:hAnsi="仿宋" w:cs="仿宋"/>
          <w:sz w:val="24"/>
          <w:szCs w:val="24"/>
        </w:rPr>
        <w:t>2、供应商提供的产品及材料必须保证质量可靠，为市场最新或主流产品，进货渠道正常，配置合理齐全，应全面满足招标文件的要求，招标文件未明确要求的内容，采购人须按投标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14:paraId="41B3E34E">
      <w:pPr>
        <w:tabs>
          <w:tab w:val="left" w:pos="1080"/>
        </w:tabs>
        <w:spacing w:line="360" w:lineRule="auto"/>
        <w:ind w:firstLine="480" w:firstLineChars="200"/>
        <w:rPr>
          <w:rFonts w:ascii="仿宋" w:hAnsi="仿宋" w:cs="仿宋"/>
          <w:sz w:val="24"/>
          <w:szCs w:val="24"/>
        </w:rPr>
      </w:pPr>
      <w:r>
        <w:rPr>
          <w:rFonts w:hint="eastAsia" w:ascii="仿宋" w:hAnsi="仿宋" w:cs="仿宋"/>
          <w:sz w:val="24"/>
          <w:szCs w:val="24"/>
        </w:rPr>
        <w:t>2、供应商应提供可承担维修职能的公司或全资分公司或办事处，并驻守多名维护技术人员，并提供地点、联系人（常驻工程师）及联系电话（服务热线），随时解答各种疑问（需提供相关证明材料）。</w:t>
      </w:r>
    </w:p>
    <w:p w14:paraId="1CA2CF7F">
      <w:pPr>
        <w:spacing w:line="360" w:lineRule="auto"/>
        <w:ind w:firstLine="480" w:firstLineChars="200"/>
        <w:rPr>
          <w:rFonts w:ascii="仿宋" w:hAnsi="仿宋" w:cs="仿宋"/>
          <w:sz w:val="24"/>
          <w:szCs w:val="24"/>
        </w:rPr>
      </w:pPr>
      <w:r>
        <w:rPr>
          <w:rFonts w:hint="eastAsia" w:ascii="仿宋" w:hAnsi="仿宋" w:cs="仿宋"/>
          <w:sz w:val="24"/>
          <w:szCs w:val="24"/>
        </w:rPr>
        <w:t>3、服务方式：在质保期内，如果发生故障，供应商要调查故障原因，由供应商提供的产品出现的问题，供应商须免费修复直至满足最终验收指标和性能。在质保期间，供应商须提供7×24小时售后服务，并且实现4小时内到达现场服务，产品故障修复时间不超过12小时，对无法立即修复的产品及时提供备件更换服务，备件提供时间不超过24小时，产品维修时间超过3天的，则须提供同档次的备用产品。</w:t>
      </w:r>
    </w:p>
    <w:p w14:paraId="2258B1CA">
      <w:pPr>
        <w:spacing w:line="360" w:lineRule="auto"/>
        <w:ind w:firstLine="480" w:firstLineChars="200"/>
        <w:rPr>
          <w:rFonts w:ascii="仿宋" w:hAnsi="仿宋" w:cs="仿宋"/>
          <w:sz w:val="24"/>
          <w:szCs w:val="24"/>
        </w:rPr>
      </w:pPr>
      <w:r>
        <w:rPr>
          <w:rFonts w:hint="eastAsia" w:ascii="仿宋" w:hAnsi="仿宋" w:cs="仿宋"/>
          <w:sz w:val="24"/>
          <w:szCs w:val="24"/>
        </w:rPr>
        <w:t>4、每年至少二次免费上门维护，回访。</w:t>
      </w:r>
    </w:p>
    <w:p w14:paraId="6F946827">
      <w:pPr>
        <w:spacing w:line="360" w:lineRule="auto"/>
        <w:ind w:firstLine="480" w:firstLineChars="200"/>
        <w:rPr>
          <w:rFonts w:ascii="仿宋" w:hAnsi="仿宋" w:cs="仿宋"/>
          <w:sz w:val="24"/>
          <w:szCs w:val="24"/>
        </w:rPr>
      </w:pPr>
      <w:r>
        <w:rPr>
          <w:rFonts w:hint="eastAsia" w:ascii="仿宋" w:hAnsi="仿宋" w:cs="仿宋"/>
          <w:sz w:val="24"/>
          <w:szCs w:val="24"/>
        </w:rPr>
        <w:t>5、对于存在质量问题或者短少的产品，供应商应在接到采购人的通知2个日历日内负责修复，调换、重新制作或补齐。</w:t>
      </w:r>
    </w:p>
    <w:p w14:paraId="76F1BCA8">
      <w:pPr>
        <w:spacing w:line="360" w:lineRule="auto"/>
        <w:ind w:firstLine="480" w:firstLineChars="200"/>
        <w:rPr>
          <w:rFonts w:ascii="仿宋" w:hAnsi="仿宋" w:cs="仿宋"/>
          <w:sz w:val="24"/>
          <w:szCs w:val="24"/>
        </w:rPr>
      </w:pPr>
      <w:r>
        <w:rPr>
          <w:rFonts w:hint="eastAsia" w:ascii="仿宋" w:hAnsi="仿宋" w:cs="仿宋"/>
          <w:sz w:val="24"/>
          <w:szCs w:val="24"/>
        </w:rPr>
        <w:t>6、在最终验收后的质量保证期内，供应商应对设计、工艺或材料等的缺陷而产生的故障负责（负责解决并承担全部费用）。质保期满后如出现此类问题亦应负责。</w:t>
      </w:r>
    </w:p>
    <w:p w14:paraId="7AEE5E6B">
      <w:pPr>
        <w:spacing w:line="360" w:lineRule="auto"/>
        <w:ind w:firstLine="480" w:firstLineChars="200"/>
        <w:rPr>
          <w:rFonts w:ascii="仿宋" w:hAnsi="仿宋" w:cs="仿宋"/>
          <w:sz w:val="24"/>
          <w:szCs w:val="24"/>
        </w:rPr>
      </w:pPr>
      <w:r>
        <w:rPr>
          <w:rFonts w:hint="eastAsia" w:ascii="仿宋" w:hAnsi="仿宋" w:cs="仿宋"/>
          <w:sz w:val="24"/>
          <w:szCs w:val="24"/>
        </w:rPr>
        <w:t>7、供应商及所投产品的制造厂商应承诺质保期、维保期的售后服务条款（包括具体的服务内容、故障响应时间、响应方式、维修措施及时限、维护响应计划等方面），未提供任何质保期、维保期的售后服务条款或提供的内容不实的以不满足招标文件要求对待。</w:t>
      </w:r>
    </w:p>
    <w:p w14:paraId="62A0B332">
      <w:pPr>
        <w:spacing w:line="360" w:lineRule="auto"/>
        <w:ind w:firstLine="480" w:firstLineChars="200"/>
        <w:rPr>
          <w:rFonts w:ascii="仿宋" w:hAnsi="仿宋" w:cs="仿宋"/>
          <w:sz w:val="24"/>
          <w:szCs w:val="24"/>
        </w:rPr>
      </w:pPr>
      <w:r>
        <w:rPr>
          <w:rFonts w:hint="eastAsia" w:ascii="仿宋" w:hAnsi="仿宋" w:cs="仿宋"/>
          <w:sz w:val="24"/>
          <w:szCs w:val="24"/>
        </w:rPr>
        <w:t>8、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04A967B0">
      <w:pPr>
        <w:spacing w:line="360" w:lineRule="auto"/>
        <w:rPr>
          <w:rFonts w:ascii="仿宋" w:hAnsi="仿宋" w:cs="仿宋"/>
          <w:sz w:val="24"/>
          <w:szCs w:val="24"/>
        </w:rPr>
      </w:pPr>
      <w:r>
        <w:rPr>
          <w:rFonts w:hint="eastAsia" w:ascii="仿宋" w:hAnsi="仿宋" w:cs="仿宋"/>
          <w:b/>
          <w:sz w:val="24"/>
          <w:szCs w:val="24"/>
        </w:rPr>
        <w:t>十四、验收：</w:t>
      </w:r>
    </w:p>
    <w:p w14:paraId="04BF7C5E">
      <w:pPr>
        <w:spacing w:line="360" w:lineRule="auto"/>
        <w:ind w:firstLine="480" w:firstLineChars="200"/>
        <w:rPr>
          <w:rFonts w:ascii="仿宋" w:hAnsi="仿宋" w:cs="仿宋"/>
          <w:sz w:val="24"/>
          <w:szCs w:val="24"/>
        </w:rPr>
      </w:pPr>
      <w:r>
        <w:rPr>
          <w:rFonts w:hint="eastAsia" w:ascii="仿宋" w:hAnsi="仿宋" w:cs="仿宋"/>
          <w:sz w:val="24"/>
          <w:szCs w:val="24"/>
        </w:rPr>
        <w:t>1、到货验收：货物到货后，由甲方与乙方共同进行外观验收，验收内容包括，外包装的完好性，货物品牌、规格、数量及产地与合同要求的一致性。</w:t>
      </w:r>
    </w:p>
    <w:p w14:paraId="1C571EED">
      <w:pPr>
        <w:spacing w:line="360" w:lineRule="auto"/>
        <w:ind w:firstLine="480" w:firstLineChars="200"/>
        <w:rPr>
          <w:rFonts w:ascii="仿宋" w:hAnsi="仿宋" w:cs="仿宋"/>
          <w:sz w:val="24"/>
          <w:szCs w:val="24"/>
        </w:rPr>
      </w:pPr>
      <w:r>
        <w:rPr>
          <w:rFonts w:hint="eastAsia" w:ascii="仿宋" w:hAnsi="仿宋" w:cs="仿宋"/>
          <w:sz w:val="24"/>
          <w:szCs w:val="24"/>
        </w:rPr>
        <w:t>2、货物运行验收：乙方安装调试合格后，向甲方提出验收申请，甲方接到乙方验收申请后组织验收（必要时可聘请相应专家或委托相应部门验收），验收合格后，出具使用验收合格证明。</w:t>
      </w:r>
    </w:p>
    <w:p w14:paraId="06FE3174">
      <w:pPr>
        <w:spacing w:line="360" w:lineRule="auto"/>
        <w:ind w:firstLine="480" w:firstLineChars="200"/>
        <w:rPr>
          <w:rFonts w:ascii="仿宋" w:hAnsi="仿宋" w:cs="仿宋"/>
          <w:sz w:val="24"/>
          <w:szCs w:val="24"/>
        </w:rPr>
      </w:pPr>
      <w:r>
        <w:rPr>
          <w:rFonts w:hint="eastAsia" w:ascii="仿宋" w:hAnsi="仿宋" w:cs="仿宋"/>
          <w:sz w:val="24"/>
          <w:szCs w:val="24"/>
        </w:rPr>
        <w:t>3、最终验收：最终验收结果作为付款依据，乙方填写验收单，并向甲方提交实施过程中的所有资料，以便甲方日后管理和维护。</w:t>
      </w:r>
    </w:p>
    <w:p w14:paraId="3088CBAF">
      <w:pPr>
        <w:spacing w:line="360" w:lineRule="auto"/>
        <w:ind w:firstLine="480" w:firstLineChars="200"/>
        <w:rPr>
          <w:rFonts w:ascii="仿宋" w:hAnsi="仿宋" w:cs="仿宋"/>
          <w:sz w:val="24"/>
          <w:szCs w:val="24"/>
        </w:rPr>
      </w:pPr>
      <w:r>
        <w:rPr>
          <w:rFonts w:hint="eastAsia" w:ascii="仿宋" w:hAnsi="仿宋" w:cs="仿宋"/>
          <w:sz w:val="24"/>
          <w:szCs w:val="24"/>
        </w:rPr>
        <w:t>4、质保期满后：由乙方出具质保期运行质量报告，作为质保金支付依据，若存在质量问题，应按相应规定协商处理。</w:t>
      </w:r>
    </w:p>
    <w:p w14:paraId="71B8F5A8">
      <w:pPr>
        <w:spacing w:line="360" w:lineRule="auto"/>
        <w:ind w:firstLine="480" w:firstLineChars="200"/>
        <w:rPr>
          <w:rFonts w:ascii="仿宋" w:hAnsi="仿宋" w:cs="仿宋"/>
          <w:sz w:val="24"/>
          <w:szCs w:val="24"/>
        </w:rPr>
      </w:pPr>
      <w:r>
        <w:rPr>
          <w:rFonts w:hint="eastAsia" w:ascii="仿宋" w:hAnsi="仿宋" w:cs="仿宋"/>
          <w:sz w:val="24"/>
          <w:szCs w:val="24"/>
        </w:rPr>
        <w:t>5.验收依据：</w:t>
      </w:r>
    </w:p>
    <w:p w14:paraId="2883CBA7">
      <w:pPr>
        <w:spacing w:line="360" w:lineRule="auto"/>
        <w:ind w:firstLine="480" w:firstLineChars="200"/>
        <w:rPr>
          <w:rFonts w:ascii="仿宋" w:hAnsi="仿宋" w:cs="仿宋"/>
          <w:sz w:val="24"/>
          <w:szCs w:val="24"/>
        </w:rPr>
      </w:pPr>
      <w:r>
        <w:rPr>
          <w:rFonts w:hint="eastAsia" w:ascii="仿宋" w:hAnsi="仿宋" w:cs="仿宋"/>
          <w:sz w:val="24"/>
          <w:szCs w:val="24"/>
        </w:rPr>
        <w:t>5-1.合同文本、合同附件、招标文件、投标文件。</w:t>
      </w:r>
    </w:p>
    <w:p w14:paraId="6256CC52">
      <w:pPr>
        <w:spacing w:line="360" w:lineRule="auto"/>
        <w:ind w:firstLine="480" w:firstLineChars="200"/>
        <w:rPr>
          <w:rFonts w:ascii="仿宋" w:hAnsi="仿宋" w:cs="仿宋"/>
          <w:sz w:val="24"/>
          <w:szCs w:val="24"/>
        </w:rPr>
      </w:pPr>
      <w:r>
        <w:rPr>
          <w:rFonts w:hint="eastAsia" w:ascii="仿宋" w:hAnsi="仿宋" w:cs="仿宋"/>
          <w:sz w:val="24"/>
          <w:szCs w:val="24"/>
        </w:rPr>
        <w:t>5-2.国内相应的标准、规范。</w:t>
      </w:r>
    </w:p>
    <w:p w14:paraId="36CA620A">
      <w:pPr>
        <w:spacing w:line="360" w:lineRule="auto"/>
        <w:ind w:firstLine="482" w:firstLineChars="200"/>
        <w:rPr>
          <w:rFonts w:ascii="仿宋" w:hAnsi="仿宋" w:cs="仿宋"/>
          <w:b/>
          <w:sz w:val="24"/>
          <w:szCs w:val="24"/>
        </w:rPr>
      </w:pPr>
      <w:r>
        <w:rPr>
          <w:rFonts w:hint="eastAsia" w:ascii="仿宋" w:hAnsi="仿宋" w:cs="仿宋"/>
          <w:b/>
          <w:sz w:val="24"/>
          <w:szCs w:val="24"/>
        </w:rPr>
        <w:t>十五、保密</w:t>
      </w:r>
    </w:p>
    <w:p w14:paraId="3DD0CC2F">
      <w:pPr>
        <w:tabs>
          <w:tab w:val="left" w:pos="1080"/>
        </w:tabs>
        <w:spacing w:line="360" w:lineRule="auto"/>
        <w:ind w:firstLine="480" w:firstLineChars="200"/>
        <w:rPr>
          <w:rFonts w:ascii="仿宋" w:hAnsi="仿宋" w:cs="仿宋"/>
          <w:sz w:val="24"/>
          <w:szCs w:val="24"/>
        </w:rPr>
      </w:pPr>
      <w:r>
        <w:rPr>
          <w:rFonts w:hint="eastAsia" w:ascii="仿宋" w:hAnsi="仿宋" w:cs="仿宋"/>
          <w:sz w:val="24"/>
          <w:szCs w:val="24"/>
        </w:rPr>
        <w:t>须严格保密，对工作中了解到的采购人的技术、机密等进行保密，不得向他人泄漏。本合同的解除或终止不免除供应商应承担的保密义务。</w:t>
      </w:r>
    </w:p>
    <w:p w14:paraId="077EF39E">
      <w:pPr>
        <w:spacing w:line="360" w:lineRule="auto"/>
        <w:ind w:firstLine="482" w:firstLineChars="200"/>
        <w:rPr>
          <w:rFonts w:ascii="仿宋" w:hAnsi="仿宋" w:cs="仿宋"/>
          <w:b/>
          <w:sz w:val="24"/>
          <w:szCs w:val="24"/>
        </w:rPr>
      </w:pPr>
      <w:r>
        <w:rPr>
          <w:rFonts w:hint="eastAsia" w:ascii="仿宋" w:hAnsi="仿宋" w:cs="仿宋"/>
          <w:b/>
          <w:sz w:val="24"/>
          <w:szCs w:val="24"/>
        </w:rPr>
        <w:t>十六、知识产权</w:t>
      </w:r>
    </w:p>
    <w:p w14:paraId="2A895D62">
      <w:pPr>
        <w:spacing w:line="360" w:lineRule="auto"/>
        <w:ind w:firstLine="480" w:firstLineChars="200"/>
        <w:rPr>
          <w:rFonts w:ascii="仿宋" w:hAnsi="仿宋" w:cs="仿宋"/>
          <w:sz w:val="24"/>
          <w:szCs w:val="24"/>
        </w:rPr>
      </w:pPr>
      <w:r>
        <w:rPr>
          <w:rFonts w:hint="eastAsia" w:ascii="仿宋" w:hAnsi="仿宋" w:cs="仿宋"/>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F1201D3">
      <w:pPr>
        <w:spacing w:line="360" w:lineRule="auto"/>
        <w:ind w:firstLine="482" w:firstLineChars="200"/>
        <w:rPr>
          <w:rFonts w:ascii="仿宋" w:hAnsi="仿宋" w:cs="仿宋"/>
          <w:sz w:val="24"/>
          <w:szCs w:val="24"/>
        </w:rPr>
      </w:pPr>
      <w:r>
        <w:rPr>
          <w:rFonts w:hint="eastAsia" w:ascii="仿宋" w:hAnsi="仿宋" w:cs="仿宋"/>
          <w:b/>
          <w:sz w:val="24"/>
          <w:szCs w:val="24"/>
        </w:rPr>
        <w:t>十七、合同争议的解决：</w:t>
      </w:r>
      <w:r>
        <w:rPr>
          <w:rFonts w:hint="eastAsia" w:ascii="仿宋" w:hAnsi="仿宋" w:cs="仿宋"/>
          <w:sz w:val="24"/>
          <w:szCs w:val="24"/>
        </w:rPr>
        <w:t>合同执行中发生争议的，当事人双方应协商解决，协商达不成一致时，双方均可向采购人所在地人民法院提请诉讼。</w:t>
      </w:r>
    </w:p>
    <w:p w14:paraId="4E369DCF">
      <w:pPr>
        <w:spacing w:line="360" w:lineRule="auto"/>
        <w:ind w:firstLine="482" w:firstLineChars="200"/>
        <w:rPr>
          <w:rFonts w:ascii="仿宋" w:hAnsi="仿宋" w:cs="仿宋"/>
          <w:sz w:val="24"/>
          <w:szCs w:val="24"/>
        </w:rPr>
      </w:pPr>
      <w:r>
        <w:rPr>
          <w:rFonts w:hint="eastAsia" w:ascii="仿宋" w:hAnsi="仿宋" w:cs="仿宋"/>
          <w:b/>
          <w:sz w:val="24"/>
          <w:szCs w:val="24"/>
        </w:rPr>
        <w:t>十八、</w:t>
      </w:r>
      <w:r>
        <w:rPr>
          <w:rFonts w:hint="eastAsia" w:ascii="仿宋" w:hAnsi="仿宋" w:cs="仿宋"/>
          <w:sz w:val="24"/>
          <w:szCs w:val="24"/>
        </w:rPr>
        <w:t xml:space="preserve">不可抗力情况下的免责约定，双方约定不可抗力情况包括：自然灾害、重大疫情、恶劣天气条件、政府行为、社会异常事件（包括罢工、政变、骚乱、游行等）等不能预见、不能避免并不能克服的客观情况。  </w:t>
      </w:r>
    </w:p>
    <w:p w14:paraId="3544167E">
      <w:pPr>
        <w:spacing w:line="360" w:lineRule="auto"/>
        <w:ind w:firstLine="482" w:firstLineChars="200"/>
        <w:rPr>
          <w:rFonts w:ascii="仿宋" w:hAnsi="仿宋" w:cs="仿宋"/>
          <w:b/>
          <w:sz w:val="24"/>
          <w:szCs w:val="24"/>
        </w:rPr>
      </w:pPr>
      <w:r>
        <w:rPr>
          <w:rFonts w:hint="eastAsia" w:ascii="仿宋" w:hAnsi="仿宋" w:cs="仿宋"/>
          <w:b/>
          <w:sz w:val="24"/>
          <w:szCs w:val="24"/>
        </w:rPr>
        <w:t>十九、违约责任：</w:t>
      </w:r>
    </w:p>
    <w:p w14:paraId="379338CE">
      <w:pPr>
        <w:spacing w:line="360" w:lineRule="auto"/>
        <w:ind w:firstLine="480" w:firstLineChars="200"/>
        <w:rPr>
          <w:rFonts w:ascii="仿宋" w:hAnsi="仿宋" w:cs="仿宋"/>
          <w:sz w:val="24"/>
          <w:szCs w:val="24"/>
        </w:rPr>
      </w:pPr>
      <w:r>
        <w:rPr>
          <w:rFonts w:hint="eastAsia" w:ascii="仿宋" w:hAnsi="仿宋" w:cs="仿宋"/>
          <w:sz w:val="24"/>
          <w:szCs w:val="24"/>
        </w:rPr>
        <w:t>1、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供应商造成的经济损失。</w:t>
      </w:r>
    </w:p>
    <w:p w14:paraId="32A0D455">
      <w:pPr>
        <w:spacing w:line="360" w:lineRule="auto"/>
        <w:ind w:firstLine="480" w:firstLineChars="200"/>
        <w:rPr>
          <w:rFonts w:ascii="仿宋" w:hAnsi="仿宋" w:cs="仿宋"/>
          <w:sz w:val="24"/>
          <w:szCs w:val="24"/>
        </w:rPr>
      </w:pPr>
      <w:r>
        <w:rPr>
          <w:rFonts w:hint="eastAsia" w:ascii="仿宋" w:hAnsi="仿宋" w:cs="仿宋"/>
          <w:sz w:val="24"/>
          <w:szCs w:val="24"/>
        </w:rPr>
        <w:t>2、乙方履约延误</w:t>
      </w:r>
    </w:p>
    <w:p w14:paraId="113EA609">
      <w:pPr>
        <w:spacing w:line="360" w:lineRule="auto"/>
        <w:ind w:firstLine="480" w:firstLineChars="200"/>
        <w:rPr>
          <w:rFonts w:ascii="仿宋" w:hAnsi="仿宋" w:cs="仿宋"/>
          <w:sz w:val="24"/>
          <w:szCs w:val="24"/>
        </w:rPr>
      </w:pPr>
      <w:r>
        <w:rPr>
          <w:rFonts w:hint="eastAsia" w:ascii="仿宋" w:hAnsi="仿宋" w:cs="仿宋"/>
          <w:sz w:val="24"/>
          <w:szCs w:val="24"/>
        </w:rPr>
        <w:t>2-1.如乙方事先未征得甲方同意并得到甲方的谅解而单方面延迟交货，将按违约终止合同。</w:t>
      </w:r>
    </w:p>
    <w:p w14:paraId="0F9082CB">
      <w:pPr>
        <w:spacing w:line="360" w:lineRule="auto"/>
        <w:ind w:firstLine="480" w:firstLineChars="200"/>
        <w:rPr>
          <w:rFonts w:ascii="仿宋" w:hAnsi="仿宋" w:cs="仿宋"/>
          <w:sz w:val="24"/>
          <w:szCs w:val="24"/>
        </w:rPr>
      </w:pPr>
      <w:r>
        <w:rPr>
          <w:rFonts w:hint="eastAsia" w:ascii="仿宋" w:hAnsi="仿宋" w:cs="仿宋"/>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128A6FA">
      <w:pPr>
        <w:spacing w:line="360" w:lineRule="auto"/>
        <w:ind w:firstLine="480" w:firstLineChars="200"/>
        <w:rPr>
          <w:rFonts w:ascii="仿宋" w:hAnsi="仿宋" w:cs="仿宋"/>
          <w:sz w:val="24"/>
          <w:szCs w:val="24"/>
        </w:rPr>
      </w:pPr>
      <w:r>
        <w:rPr>
          <w:rFonts w:hint="eastAsia" w:ascii="仿宋" w:hAnsi="仿宋" w:cs="仿宋"/>
          <w:sz w:val="24"/>
          <w:szCs w:val="24"/>
        </w:rPr>
        <w:t>3.违约终止合同：未按合同要求提供货物或质量不能满足技术要求，甲方会同</w:t>
      </w:r>
      <w:r>
        <w:rPr>
          <w:rFonts w:hint="eastAsia" w:ascii="仿宋" w:hAnsi="仿宋" w:cs="仿宋"/>
          <w:sz w:val="24"/>
          <w:szCs w:val="24"/>
          <w:lang w:eastAsia="zh-CN"/>
        </w:rPr>
        <w:t>确认方</w:t>
      </w:r>
      <w:r>
        <w:rPr>
          <w:rFonts w:hint="eastAsia" w:ascii="仿宋" w:hAnsi="仿宋" w:cs="仿宋"/>
          <w:sz w:val="24"/>
          <w:szCs w:val="24"/>
        </w:rPr>
        <w:t>有权终止合同，并要求乙方承担本合同总价款百分之三十的违约金。</w:t>
      </w:r>
    </w:p>
    <w:p w14:paraId="6ED93282">
      <w:pPr>
        <w:spacing w:line="360" w:lineRule="auto"/>
        <w:ind w:firstLine="482" w:firstLineChars="200"/>
        <w:rPr>
          <w:rFonts w:ascii="仿宋" w:hAnsi="仿宋" w:cs="仿宋"/>
          <w:b/>
          <w:sz w:val="24"/>
          <w:szCs w:val="24"/>
        </w:rPr>
      </w:pPr>
      <w:r>
        <w:rPr>
          <w:rFonts w:hint="eastAsia" w:ascii="仿宋" w:hAnsi="仿宋" w:cs="仿宋"/>
          <w:b/>
          <w:sz w:val="24"/>
          <w:szCs w:val="24"/>
        </w:rPr>
        <w:t>二十、合同订立</w:t>
      </w:r>
    </w:p>
    <w:p w14:paraId="5E00F894">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1. 订立时间：</w:t>
      </w:r>
      <w:r>
        <w:rPr>
          <w:rFonts w:hint="eastAsia" w:ascii="仿宋" w:hAnsi="仿宋" w:cs="仿宋"/>
          <w:sz w:val="24"/>
          <w:szCs w:val="24"/>
          <w:u w:val="single"/>
        </w:rPr>
        <w:t xml:space="preserve">          </w:t>
      </w:r>
      <w:r>
        <w:rPr>
          <w:rFonts w:hint="eastAsia" w:ascii="仿宋" w:hAnsi="仿宋" w:cs="仿宋"/>
          <w:sz w:val="24"/>
          <w:szCs w:val="24"/>
        </w:rPr>
        <w:t>年</w:t>
      </w:r>
      <w:r>
        <w:rPr>
          <w:rFonts w:hint="eastAsia" w:ascii="仿宋" w:hAnsi="仿宋" w:cs="仿宋"/>
          <w:sz w:val="24"/>
          <w:szCs w:val="24"/>
          <w:u w:val="single"/>
        </w:rPr>
        <w:t xml:space="preserve">       </w:t>
      </w:r>
      <w:r>
        <w:rPr>
          <w:rFonts w:hint="eastAsia" w:ascii="仿宋" w:hAnsi="仿宋" w:cs="仿宋"/>
          <w:sz w:val="24"/>
          <w:szCs w:val="24"/>
        </w:rPr>
        <w:t>月</w:t>
      </w:r>
      <w:r>
        <w:rPr>
          <w:rFonts w:hint="eastAsia" w:ascii="仿宋" w:hAnsi="仿宋" w:cs="仿宋"/>
          <w:sz w:val="24"/>
          <w:szCs w:val="24"/>
          <w:u w:val="single"/>
        </w:rPr>
        <w:t xml:space="preserve">      </w:t>
      </w:r>
      <w:r>
        <w:rPr>
          <w:rFonts w:hint="eastAsia" w:ascii="仿宋" w:hAnsi="仿宋" w:cs="仿宋"/>
          <w:sz w:val="24"/>
          <w:szCs w:val="24"/>
        </w:rPr>
        <w:t>日。</w:t>
      </w:r>
    </w:p>
    <w:p w14:paraId="5BB45260">
      <w:pPr>
        <w:adjustRightInd w:val="0"/>
        <w:snapToGrid w:val="0"/>
        <w:spacing w:line="360" w:lineRule="auto"/>
        <w:ind w:firstLine="480" w:firstLineChars="200"/>
        <w:rPr>
          <w:rFonts w:ascii="仿宋" w:hAnsi="仿宋" w:cs="仿宋"/>
          <w:sz w:val="24"/>
          <w:szCs w:val="24"/>
        </w:rPr>
      </w:pPr>
      <w:r>
        <w:rPr>
          <w:rFonts w:hint="eastAsia" w:ascii="仿宋" w:hAnsi="仿宋" w:cs="仿宋"/>
          <w:sz w:val="24"/>
          <w:szCs w:val="24"/>
        </w:rPr>
        <w:t>2. 订立地点：</w:t>
      </w:r>
      <w:r>
        <w:rPr>
          <w:rFonts w:hint="eastAsia" w:ascii="仿宋" w:hAnsi="仿宋" w:cs="仿宋"/>
          <w:sz w:val="24"/>
          <w:szCs w:val="24"/>
          <w:u w:val="single"/>
        </w:rPr>
        <w:t xml:space="preserve">                                 </w:t>
      </w:r>
      <w:r>
        <w:rPr>
          <w:rFonts w:hint="eastAsia" w:ascii="仿宋" w:hAnsi="仿宋" w:cs="仿宋"/>
          <w:sz w:val="24"/>
          <w:szCs w:val="24"/>
        </w:rPr>
        <w:t>。</w:t>
      </w:r>
    </w:p>
    <w:p w14:paraId="74E373D5">
      <w:pPr>
        <w:tabs>
          <w:tab w:val="left" w:pos="980"/>
        </w:tabs>
        <w:kinsoku w:val="0"/>
        <w:spacing w:line="360" w:lineRule="auto"/>
        <w:ind w:firstLine="480" w:firstLineChars="200"/>
        <w:rPr>
          <w:rFonts w:ascii="仿宋" w:hAnsi="仿宋" w:cs="仿宋"/>
          <w:sz w:val="24"/>
          <w:szCs w:val="24"/>
        </w:rPr>
      </w:pPr>
      <w:r>
        <w:rPr>
          <w:rFonts w:hint="eastAsia" w:ascii="仿宋" w:hAnsi="仿宋" w:cs="仿宋"/>
          <w:sz w:val="24"/>
          <w:szCs w:val="24"/>
        </w:rPr>
        <w:t>3. 本合同一式</w:t>
      </w:r>
      <w:r>
        <w:rPr>
          <w:rFonts w:hint="eastAsia" w:ascii="仿宋" w:hAnsi="仿宋" w:cs="仿宋"/>
          <w:sz w:val="24"/>
          <w:szCs w:val="24"/>
          <w:u w:val="single"/>
        </w:rPr>
        <w:t>陆</w:t>
      </w:r>
      <w:r>
        <w:rPr>
          <w:rFonts w:hint="eastAsia" w:ascii="仿宋" w:hAnsi="仿宋" w:cs="仿宋"/>
          <w:sz w:val="24"/>
          <w:szCs w:val="24"/>
        </w:rPr>
        <w:t>份，其中，合同</w:t>
      </w:r>
      <w:r>
        <w:rPr>
          <w:rFonts w:hint="eastAsia" w:ascii="仿宋" w:hAnsi="仿宋" w:cs="仿宋"/>
          <w:sz w:val="24"/>
          <w:szCs w:val="24"/>
          <w:u w:val="single"/>
        </w:rPr>
        <w:t>正本一式贰份</w:t>
      </w:r>
      <w:r>
        <w:rPr>
          <w:rFonts w:hint="eastAsia" w:ascii="仿宋" w:hAnsi="仿宋" w:cs="仿宋"/>
          <w:sz w:val="24"/>
          <w:szCs w:val="24"/>
        </w:rPr>
        <w:t>，</w:t>
      </w:r>
      <w:r>
        <w:rPr>
          <w:rFonts w:hint="eastAsia" w:ascii="仿宋" w:hAnsi="仿宋" w:cs="仿宋"/>
          <w:sz w:val="24"/>
          <w:szCs w:val="24"/>
          <w:u w:val="single"/>
        </w:rPr>
        <w:t>副本一式肆份</w:t>
      </w:r>
      <w:r>
        <w:rPr>
          <w:rFonts w:hint="eastAsia" w:ascii="仿宋" w:hAnsi="仿宋" w:cs="仿宋"/>
          <w:sz w:val="24"/>
          <w:szCs w:val="24"/>
        </w:rPr>
        <w:t>，具有同等法律效力，正副本不一致，以正本为准。采供双方各执</w:t>
      </w:r>
      <w:r>
        <w:rPr>
          <w:rFonts w:hint="eastAsia" w:ascii="仿宋" w:hAnsi="仿宋" w:cs="仿宋"/>
          <w:sz w:val="24"/>
          <w:szCs w:val="24"/>
          <w:u w:val="single"/>
        </w:rPr>
        <w:t>正本壹份副本壹份</w:t>
      </w:r>
      <w:r>
        <w:rPr>
          <w:rFonts w:hint="eastAsia" w:ascii="仿宋" w:hAnsi="仿宋" w:cs="仿宋"/>
          <w:sz w:val="24"/>
          <w:szCs w:val="24"/>
        </w:rPr>
        <w:t>，监管部门备案</w:t>
      </w:r>
      <w:r>
        <w:rPr>
          <w:rFonts w:hint="eastAsia" w:ascii="仿宋" w:hAnsi="仿宋" w:cs="仿宋"/>
          <w:sz w:val="24"/>
          <w:szCs w:val="24"/>
          <w:u w:val="single"/>
        </w:rPr>
        <w:t>副本壹份</w:t>
      </w:r>
      <w:r>
        <w:rPr>
          <w:rFonts w:hint="eastAsia" w:ascii="仿宋" w:hAnsi="仿宋" w:cs="仿宋"/>
          <w:sz w:val="24"/>
          <w:szCs w:val="24"/>
        </w:rPr>
        <w:t>、采购代理机构存档</w:t>
      </w:r>
      <w:r>
        <w:rPr>
          <w:rFonts w:hint="eastAsia" w:ascii="仿宋" w:hAnsi="仿宋" w:cs="仿宋"/>
          <w:sz w:val="24"/>
          <w:szCs w:val="24"/>
          <w:u w:val="single"/>
        </w:rPr>
        <w:t>副本壹份</w:t>
      </w:r>
      <w:r>
        <w:rPr>
          <w:rFonts w:hint="eastAsia" w:ascii="仿宋" w:hAnsi="仿宋" w:cs="仿宋"/>
          <w:sz w:val="24"/>
          <w:szCs w:val="24"/>
        </w:rPr>
        <w:t>。采购人与供应商双方签字盖章后生效，合同执行完毕自动失效。</w:t>
      </w:r>
    </w:p>
    <w:p w14:paraId="4F0EE604">
      <w:pPr>
        <w:pStyle w:val="7"/>
        <w:rPr>
          <w:rFonts w:ascii="仿宋" w:hAnsi="仿宋" w:cs="仿宋"/>
          <w:szCs w:val="24"/>
        </w:rPr>
      </w:pPr>
    </w:p>
    <w:p w14:paraId="51E9EDBB">
      <w:pPr>
        <w:pStyle w:val="7"/>
        <w:rPr>
          <w:rFonts w:ascii="仿宋" w:hAnsi="仿宋" w:cs="仿宋"/>
          <w:color w:val="auto"/>
          <w:szCs w:val="24"/>
        </w:rPr>
      </w:pPr>
      <w:r>
        <w:rPr>
          <w:rFonts w:hint="eastAsia" w:ascii="仿宋" w:hAnsi="仿宋" w:cs="仿宋"/>
          <w:color w:val="auto"/>
          <w:szCs w:val="24"/>
        </w:rPr>
        <w:t>（以下无正文）</w:t>
      </w:r>
    </w:p>
    <w:p w14:paraId="70FB004C">
      <w:pPr>
        <w:rPr>
          <w:rFonts w:ascii="仿宋" w:hAnsi="仿宋" w:cs="仿宋"/>
          <w:sz w:val="24"/>
          <w:szCs w:val="24"/>
        </w:rPr>
      </w:pPr>
    </w:p>
    <w:p w14:paraId="2B989944">
      <w:pPr>
        <w:rPr>
          <w:rFonts w:ascii="仿宋" w:hAnsi="仿宋" w:cs="仿宋"/>
          <w:sz w:val="24"/>
          <w:szCs w:val="24"/>
          <w:highlight w:val="yellow"/>
        </w:rPr>
      </w:pPr>
    </w:p>
    <w:p w14:paraId="4BD4D186">
      <w:pPr>
        <w:spacing w:line="360" w:lineRule="auto"/>
        <w:rPr>
          <w:rFonts w:ascii="仿宋" w:hAnsi="仿宋" w:cs="仿宋"/>
          <w:sz w:val="24"/>
          <w:szCs w:val="24"/>
        </w:rPr>
      </w:pPr>
      <w:r>
        <w:rPr>
          <w:rFonts w:hint="eastAsia" w:ascii="仿宋" w:hAnsi="仿宋" w:cs="仿宋"/>
          <w:sz w:val="24"/>
          <w:szCs w:val="24"/>
        </w:rPr>
        <w:t>甲方（委托方）：</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 xml:space="preserve">   乙方（受托方）：</w:t>
      </w:r>
      <w:r>
        <w:rPr>
          <w:rFonts w:hint="eastAsia" w:ascii="仿宋" w:hAnsi="仿宋" w:cs="仿宋"/>
          <w:sz w:val="24"/>
          <w:szCs w:val="24"/>
          <w:u w:val="single"/>
        </w:rPr>
        <w:t xml:space="preserve">                      </w:t>
      </w:r>
    </w:p>
    <w:p w14:paraId="7E773481">
      <w:pPr>
        <w:spacing w:line="360" w:lineRule="auto"/>
        <w:ind w:firstLine="3120" w:firstLineChars="1300"/>
        <w:rPr>
          <w:rFonts w:ascii="仿宋" w:hAnsi="仿宋" w:cs="仿宋"/>
          <w:sz w:val="24"/>
          <w:szCs w:val="24"/>
        </w:rPr>
      </w:pPr>
    </w:p>
    <w:p w14:paraId="3EF26C54">
      <w:pPr>
        <w:spacing w:line="360" w:lineRule="auto"/>
        <w:rPr>
          <w:rFonts w:ascii="仿宋" w:hAnsi="仿宋" w:cs="仿宋"/>
          <w:sz w:val="24"/>
          <w:szCs w:val="24"/>
        </w:rPr>
      </w:pPr>
      <w:r>
        <w:rPr>
          <w:rFonts w:hint="eastAsia" w:ascii="仿宋" w:hAnsi="仿宋" w:cs="仿宋"/>
          <w:sz w:val="24"/>
          <w:szCs w:val="24"/>
        </w:rPr>
        <w:t>（盖章）                           （盖章）</w:t>
      </w:r>
    </w:p>
    <w:p w14:paraId="1F556E5E">
      <w:pPr>
        <w:spacing w:line="360" w:lineRule="auto"/>
        <w:rPr>
          <w:rFonts w:ascii="仿宋" w:hAnsi="仿宋" w:cs="仿宋"/>
          <w:sz w:val="24"/>
          <w:szCs w:val="24"/>
          <w:u w:val="single"/>
        </w:rPr>
      </w:pPr>
      <w:r>
        <w:rPr>
          <w:rFonts w:hint="eastAsia" w:ascii="仿宋" w:hAnsi="仿宋" w:cs="仿宋"/>
          <w:sz w:val="24"/>
          <w:szCs w:val="24"/>
        </w:rPr>
        <w:t>代表人（签字）：</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 xml:space="preserve">     </w:t>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代表人（签字）：</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 xml:space="preserve">    </w:t>
      </w:r>
      <w:r>
        <w:rPr>
          <w:rFonts w:hint="eastAsia" w:ascii="仿宋" w:hAnsi="仿宋" w:cs="仿宋"/>
          <w:sz w:val="24"/>
          <w:szCs w:val="24"/>
          <w:u w:val="single"/>
        </w:rPr>
        <w:tab/>
      </w:r>
      <w:r>
        <w:rPr>
          <w:rFonts w:hint="eastAsia" w:ascii="仿宋" w:hAnsi="仿宋" w:cs="仿宋"/>
          <w:sz w:val="24"/>
          <w:szCs w:val="24"/>
          <w:u w:val="single"/>
        </w:rPr>
        <w:tab/>
      </w:r>
    </w:p>
    <w:p w14:paraId="0A5C5543">
      <w:pPr>
        <w:spacing w:line="360" w:lineRule="auto"/>
        <w:rPr>
          <w:rFonts w:ascii="仿宋" w:hAnsi="仿宋" w:cs="仿宋"/>
          <w:sz w:val="24"/>
          <w:szCs w:val="24"/>
          <w:u w:val="single"/>
        </w:rPr>
      </w:pPr>
      <w:r>
        <w:rPr>
          <w:rFonts w:hint="eastAsia" w:ascii="仿宋" w:hAnsi="仿宋" w:cs="仿宋"/>
          <w:sz w:val="24"/>
          <w:szCs w:val="24"/>
        </w:rPr>
        <w:t>法定代表人（盖章）：</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法定代表人（盖章）：</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p>
    <w:p w14:paraId="52D2D10E">
      <w:pPr>
        <w:spacing w:line="360" w:lineRule="auto"/>
        <w:rPr>
          <w:rFonts w:ascii="仿宋" w:hAnsi="仿宋" w:cs="仿宋"/>
          <w:sz w:val="24"/>
          <w:szCs w:val="24"/>
        </w:rPr>
      </w:pPr>
      <w:r>
        <w:rPr>
          <w:rFonts w:hint="eastAsia" w:ascii="仿宋" w:hAnsi="仿宋" w:cs="仿宋"/>
          <w:sz w:val="24"/>
          <w:szCs w:val="24"/>
        </w:rPr>
        <w:t>地    址：</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地    址：</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 xml:space="preserve"> </w:t>
      </w:r>
    </w:p>
    <w:p w14:paraId="561E5000">
      <w:pPr>
        <w:spacing w:line="360" w:lineRule="auto"/>
        <w:rPr>
          <w:rFonts w:ascii="仿宋" w:hAnsi="仿宋" w:cs="仿宋"/>
          <w:sz w:val="24"/>
          <w:szCs w:val="24"/>
        </w:rPr>
      </w:pPr>
      <w:r>
        <w:rPr>
          <w:rFonts w:hint="eastAsia" w:ascii="仿宋" w:hAnsi="仿宋" w:cs="仿宋"/>
          <w:sz w:val="24"/>
          <w:szCs w:val="24"/>
        </w:rPr>
        <w:t>邮政编码：</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邮政编码：</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p>
    <w:p w14:paraId="711B443D">
      <w:pPr>
        <w:spacing w:line="360" w:lineRule="auto"/>
        <w:rPr>
          <w:rFonts w:ascii="仿宋" w:hAnsi="仿宋" w:cs="仿宋"/>
          <w:sz w:val="24"/>
          <w:szCs w:val="24"/>
        </w:rPr>
      </w:pPr>
      <w:r>
        <w:rPr>
          <w:rFonts w:hint="eastAsia" w:ascii="仿宋" w:hAnsi="仿宋" w:cs="仿宋"/>
          <w:sz w:val="24"/>
          <w:szCs w:val="24"/>
        </w:rPr>
        <w:t>电    话：</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电    话：</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p>
    <w:p w14:paraId="71F9CA57">
      <w:pPr>
        <w:spacing w:line="360" w:lineRule="auto"/>
        <w:rPr>
          <w:rFonts w:ascii="仿宋" w:hAnsi="仿宋" w:cs="仿宋"/>
          <w:sz w:val="24"/>
          <w:szCs w:val="24"/>
        </w:rPr>
      </w:pPr>
      <w:r>
        <w:rPr>
          <w:rFonts w:hint="eastAsia" w:ascii="仿宋" w:hAnsi="仿宋" w:cs="仿宋"/>
          <w:sz w:val="24"/>
          <w:szCs w:val="24"/>
        </w:rPr>
        <w:t>传    真：</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传    真：</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p>
    <w:p w14:paraId="455E966E">
      <w:pPr>
        <w:spacing w:line="360" w:lineRule="auto"/>
        <w:rPr>
          <w:rFonts w:ascii="仿宋" w:hAnsi="仿宋" w:cs="仿宋"/>
          <w:sz w:val="24"/>
          <w:szCs w:val="24"/>
        </w:rPr>
      </w:pPr>
      <w:r>
        <w:rPr>
          <w:rFonts w:hint="eastAsia" w:ascii="仿宋" w:hAnsi="仿宋" w:cs="仿宋"/>
          <w:sz w:val="24"/>
          <w:szCs w:val="24"/>
        </w:rPr>
        <w:t>开户银行：</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开户银行：</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 xml:space="preserve"> </w:t>
      </w:r>
    </w:p>
    <w:p w14:paraId="4F82C7F7">
      <w:pPr>
        <w:spacing w:line="360" w:lineRule="auto"/>
        <w:rPr>
          <w:rFonts w:ascii="仿宋" w:hAnsi="仿宋" w:cs="仿宋"/>
          <w:sz w:val="24"/>
          <w:szCs w:val="24"/>
        </w:rPr>
      </w:pPr>
      <w:r>
        <w:rPr>
          <w:rFonts w:hint="eastAsia" w:ascii="仿宋" w:hAnsi="仿宋" w:cs="仿宋"/>
          <w:sz w:val="24"/>
          <w:szCs w:val="24"/>
        </w:rPr>
        <w:t>银行帐号：</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rPr>
        <w:tab/>
      </w:r>
      <w:r>
        <w:rPr>
          <w:rFonts w:hint="eastAsia" w:ascii="仿宋" w:hAnsi="仿宋" w:cs="仿宋"/>
          <w:sz w:val="24"/>
          <w:szCs w:val="24"/>
        </w:rPr>
        <w:tab/>
      </w:r>
      <w:r>
        <w:rPr>
          <w:rFonts w:hint="eastAsia" w:ascii="仿宋" w:hAnsi="仿宋" w:cs="仿宋"/>
          <w:sz w:val="24"/>
          <w:szCs w:val="24"/>
        </w:rPr>
        <w:t>银行帐号：</w:t>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r>
        <w:rPr>
          <w:rFonts w:hint="eastAsia" w:ascii="仿宋" w:hAnsi="仿宋" w:cs="仿宋"/>
          <w:sz w:val="24"/>
          <w:szCs w:val="24"/>
          <w:u w:val="single"/>
        </w:rPr>
        <w:tab/>
      </w:r>
    </w:p>
    <w:p w14:paraId="34BD43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60767"/>
    <w:rsid w:val="30C1716F"/>
    <w:rsid w:val="33D7015F"/>
    <w:rsid w:val="41460767"/>
    <w:rsid w:val="50926323"/>
    <w:rsid w:val="5B3C0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28"/>
      <w:lang w:val="en-US" w:eastAsia="zh-CN" w:bidi="ar-SA"/>
    </w:rPr>
  </w:style>
  <w:style w:type="paragraph" w:styleId="4">
    <w:name w:val="heading 1"/>
    <w:basedOn w:val="1"/>
    <w:next w:val="1"/>
    <w:qFormat/>
    <w:uiPriority w:val="99"/>
    <w:pPr>
      <w:keepNext/>
      <w:keepLines/>
      <w:adjustRightInd w:val="0"/>
      <w:spacing w:before="120" w:after="120" w:line="578" w:lineRule="atLeast"/>
      <w:jc w:val="center"/>
      <w:textAlignment w:val="baseline"/>
      <w:outlineLvl w:val="0"/>
    </w:pPr>
    <w:rPr>
      <w:rFonts w:ascii="Tahoma" w:hAnsi="Tahoma"/>
      <w:b/>
      <w:bCs/>
      <w:kern w:val="44"/>
      <w:sz w:val="32"/>
      <w:szCs w:val="44"/>
    </w:rPr>
  </w:style>
  <w:style w:type="paragraph" w:styleId="5">
    <w:name w:val="heading 2"/>
    <w:basedOn w:val="1"/>
    <w:next w:val="6"/>
    <w:unhideWhenUsed/>
    <w:qFormat/>
    <w:uiPriority w:val="0"/>
    <w:pPr>
      <w:keepNext/>
      <w:keepLines/>
      <w:spacing w:before="20" w:after="20" w:line="413" w:lineRule="auto"/>
      <w:jc w:val="center"/>
      <w:outlineLvl w:val="1"/>
    </w:pPr>
    <w:rPr>
      <w:rFonts w:ascii="Arial" w:hAnsi="Arial"/>
      <w:b/>
      <w:sz w:val="30"/>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0"/>
    <w:pPr>
      <w:spacing w:after="120"/>
      <w:ind w:left="420" w:leftChars="200"/>
    </w:pPr>
  </w:style>
  <w:style w:type="paragraph" w:styleId="6">
    <w:name w:val="Normal Indent"/>
    <w:basedOn w:val="1"/>
    <w:qFormat/>
    <w:uiPriority w:val="0"/>
    <w:pPr>
      <w:spacing w:line="360" w:lineRule="auto"/>
      <w:ind w:firstLine="200" w:firstLineChars="200"/>
    </w:pPr>
    <w:rPr>
      <w:sz w:val="24"/>
    </w:rPr>
  </w:style>
  <w:style w:type="paragraph" w:styleId="7">
    <w:name w:val="Body Text"/>
    <w:basedOn w:val="1"/>
    <w:next w:val="1"/>
    <w:unhideWhenUsed/>
    <w:qFormat/>
    <w:uiPriority w:val="99"/>
    <w:pPr>
      <w:spacing w:line="324" w:lineRule="auto"/>
    </w:pPr>
    <w:rPr>
      <w:color w:val="993300"/>
      <w:sz w:val="24"/>
    </w:rPr>
  </w:style>
  <w:style w:type="paragraph" w:styleId="8">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4225</Words>
  <Characters>4264</Characters>
  <Lines>0</Lines>
  <Paragraphs>0</Paragraphs>
  <TotalTime>0</TotalTime>
  <ScaleCrop>false</ScaleCrop>
  <LinksUpToDate>false</LinksUpToDate>
  <CharactersWithSpaces>4665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2025-12-08T07:47:00Z</dcterms:created>
  <dc:creator>Administrator</dc:creator>
  <cp:lastModifiedBy>Administrator</cp:lastModifiedBy>
  <dcterms:modified xsi:type="dcterms:W3CDTF">2025-12-08T08:56:48Z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B0D2607B26B94A9D904F74F532C90435_11</vt:lpwstr>
  </property>
  <property fmtid="{D5CDD505-2E9C-101B-9397-08002B2CF9AE}" pid="4" name="KSOTemplateDocerSaveRecord">
    <vt:lpwstr>eyJoZGlkIjoiNmNiOGE4YjdmZmNiNDBjOTVlNGZlMDAwMzIwMDZlNWEiLCJ1c2VySWQiOiI2NDcxNTEzMzMifQ==</vt:lpwstr>
  </property>
</Properties>
</file>