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版本号：ZTZB-25-0100420250225001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灞桥分局警务辅助人员体检服务采购项目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ZTZB-25-01004</w:t>
      </w:r>
      <w:r>
        <w:br/>
      </w:r>
      <w:r>
        <w:br/>
      </w:r>
      <w:r>
        <w:br/>
      </w:r>
    </w:p>
    <w:p>
      <w:pPr>
        <w:pStyle w:val="null3"/>
        <w:jc w:val="center"/>
        <w:outlineLvl w:val="2"/>
      </w:pPr>
      <w:r>
        <w:rPr>
          <w:rFonts w:ascii="仿宋_GB2312" w:hAnsi="仿宋_GB2312" w:cs="仿宋_GB2312" w:eastAsia="仿宋_GB2312"/>
          <w:sz w:val="28"/>
          <w:b/>
        </w:rPr>
        <w:t>西安市公安局灞桥分局</w:t>
      </w:r>
    </w:p>
    <w:p>
      <w:pPr>
        <w:pStyle w:val="null3"/>
        <w:jc w:val="center"/>
        <w:outlineLvl w:val="2"/>
      </w:pPr>
      <w:r>
        <w:rPr>
          <w:rFonts w:ascii="仿宋_GB2312" w:hAnsi="仿宋_GB2312" w:cs="仿宋_GB2312" w:eastAsia="仿宋_GB2312"/>
          <w:sz w:val="28"/>
          <w:b/>
        </w:rPr>
        <w:t>陕西中腾华盛项目管理有限公司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陕西中腾华盛项目管理有限公司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西安市公安局灞桥分局</w:t>
      </w:r>
      <w:r>
        <w:rPr>
          <w:rFonts w:ascii="仿宋_GB2312" w:hAnsi="仿宋_GB2312" w:cs="仿宋_GB2312" w:eastAsia="仿宋_GB2312"/>
        </w:rPr>
        <w:t>委托，拟对</w:t>
      </w:r>
      <w:r>
        <w:rPr>
          <w:rFonts w:ascii="仿宋_GB2312" w:hAnsi="仿宋_GB2312" w:cs="仿宋_GB2312" w:eastAsia="仿宋_GB2312"/>
        </w:rPr>
        <w:t>灞桥分局警务辅助人员体检服务采购项目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ZTZB-25-01004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灞桥分局警务辅助人员体检服务采购项目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灞桥分局警务辅助人员体检服务采购项目,男、女共计861人，单人响应报价不得超过500元。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采购包1（灞桥分局警务辅助人员体检服务采购）：属于专门面向中小企业采购。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1、有效的主体资格证明：(1)企业投标的：营业执照 (2)事业单位投标的：事业单位法人证书 (3)其他组织投标的：登记证书 (4)个体工商户投标的：个体工商户营业执照 (5)自然人投标的：身份证</w:t>
      </w:r>
    </w:p>
    <w:p>
      <w:pPr>
        <w:pStyle w:val="null3"/>
      </w:pPr>
      <w:r>
        <w:rPr>
          <w:rFonts w:ascii="仿宋_GB2312" w:hAnsi="仿宋_GB2312" w:cs="仿宋_GB2312" w:eastAsia="仿宋_GB2312"/>
        </w:rPr>
        <w:t>2、法定代表人身份证明或法人授权书：(1)法定代表人（负责人）参加投标的：法定代表人（负 责人）身份证明及身份证 (2)授权代表参加投标的：授权委托书及授权代表身份 证</w:t>
      </w:r>
    </w:p>
    <w:p>
      <w:pPr>
        <w:pStyle w:val="null3"/>
      </w:pPr>
      <w:r>
        <w:rPr>
          <w:rFonts w:ascii="仿宋_GB2312" w:hAnsi="仿宋_GB2312" w:cs="仿宋_GB2312" w:eastAsia="仿宋_GB2312"/>
        </w:rPr>
        <w:t>3、税收缴纳证明：(1)投标人自2024 年1 月 1 日以来已缴纳任意一个月、 任意税种凭证或税务机关开具的完税证明 (2)依法免税的应提供相关文件证明</w:t>
      </w:r>
    </w:p>
    <w:p>
      <w:pPr>
        <w:pStyle w:val="null3"/>
      </w:pPr>
      <w:r>
        <w:rPr>
          <w:rFonts w:ascii="仿宋_GB2312" w:hAnsi="仿宋_GB2312" w:cs="仿宋_GB2312" w:eastAsia="仿宋_GB2312"/>
        </w:rPr>
        <w:t>4、社保资金缴纳证明：(1)投标人自 2023 年11 月 1 日以来已缴存的任意一个 月的社会保障资金缴存单据或社保机构开具的社会保 险参保缴费情况证明 (2)依法不需要缴纳社会保障资金的应提供相关文件 证明</w:t>
      </w:r>
    </w:p>
    <w:p>
      <w:pPr>
        <w:pStyle w:val="null3"/>
      </w:pPr>
      <w:r>
        <w:rPr>
          <w:rFonts w:ascii="仿宋_GB2312" w:hAnsi="仿宋_GB2312" w:cs="仿宋_GB2312" w:eastAsia="仿宋_GB2312"/>
        </w:rPr>
        <w:t>5、供应商具备履行合同所必需的设备和专业技术能力的声明：供应商具备履行合同所必需的设备和专业技术能力的声明</w:t>
      </w:r>
    </w:p>
    <w:p>
      <w:pPr>
        <w:pStyle w:val="null3"/>
      </w:pPr>
      <w:r>
        <w:rPr>
          <w:rFonts w:ascii="仿宋_GB2312" w:hAnsi="仿宋_GB2312" w:cs="仿宋_GB2312" w:eastAsia="仿宋_GB2312"/>
        </w:rPr>
        <w:t>6、投标声明书：投标人参加本次采购活动 3 年内，在政府采购经营活 动中没有重大违法记录以及未被列入失信被执行人、 重大税收违法案件当事人名单、政府采购严重违法失 信行为记录名单的书面声明</w:t>
      </w:r>
    </w:p>
    <w:p>
      <w:pPr>
        <w:pStyle w:val="null3"/>
      </w:pPr>
      <w:r>
        <w:rPr>
          <w:rFonts w:ascii="仿宋_GB2312" w:hAnsi="仿宋_GB2312" w:cs="仿宋_GB2312" w:eastAsia="仿宋_GB2312"/>
        </w:rPr>
        <w:t>7、资质证书：投标人应具备有效的《医疗机构执业许可证》和《放射诊疗许可证》</w:t>
      </w:r>
    </w:p>
    <w:p>
      <w:pPr>
        <w:pStyle w:val="null3"/>
      </w:pPr>
      <w:r>
        <w:rPr>
          <w:rFonts w:ascii="仿宋_GB2312" w:hAnsi="仿宋_GB2312" w:cs="仿宋_GB2312" w:eastAsia="仿宋_GB2312"/>
        </w:rPr>
        <w:t>8、本项目不接受联合体投标；投标人的单位负责人不为同一人或者相互间不存在直接控股、管理关系：本项目不接受联合体投标；投标人的单位负责人不为同一人或者相互间不存在直接控股、管理关系（以上两点提供声明，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西安市公安局灞桥分局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西安市灞桥区纺一路23号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西安市公安局灞桥分局（经办）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029-86758065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陕西中腾华盛项目管理有限公司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南二环西段180号财富中心二期D座2203室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柏工 汪工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029-81777703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费标准：根据国家计委关于印发《采购代理服务收费管理暂行办法的通知》（计价格[2002]1980号）、《国家发展改革委员会办公厅关于招标代理服务收费有关问题的通知》（发改办价格〔2003〕857号）以及《国家发展改革委关于降低部分建设项目收费标准规范收费行为等有关问题的通知》(发改价格〔2011〕534号)规定的标准收取。 2.缴费时间：中标人应在收到中标通知3日内，向招标代理机构一次付清招标代理服务费。 3.银行信息: 户名：陕西中腾华盛项目管理有限公司 开户银行：中国民生银行股份有限公司西安科技路支行 账号：633849254 4.中标人领取中标通知书时需向代理公司递交1正1副两份纸质版投标文件。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西安市公安局灞桥分局</w:t>
      </w:r>
      <w:r>
        <w:rPr>
          <w:rFonts w:ascii="仿宋_GB2312" w:hAnsi="仿宋_GB2312" w:cs="仿宋_GB2312" w:eastAsia="仿宋_GB2312"/>
        </w:rPr>
        <w:t>和</w:t>
      </w:r>
      <w:r>
        <w:rPr>
          <w:rFonts w:ascii="仿宋_GB2312" w:hAnsi="仿宋_GB2312" w:cs="仿宋_GB2312" w:eastAsia="仿宋_GB2312"/>
        </w:rPr>
        <w:t>陕西中腾华盛项目管理有限公司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西安市公安局灞桥分局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陕西中腾华盛项目管理有限公司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西安市公安局灞桥分局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陕西中腾华盛项目管理有限公司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联系电话：029-81777703</w:t>
      </w:r>
    </w:p>
    <w:p>
      <w:pPr>
        <w:pStyle w:val="null3"/>
      </w:pPr>
      <w:r>
        <w:rPr>
          <w:rFonts w:ascii="仿宋_GB2312" w:hAnsi="仿宋_GB2312" w:cs="仿宋_GB2312" w:eastAsia="仿宋_GB2312"/>
        </w:rPr>
        <w:t>地址：南二环西段180号财富中心二期D座2203室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灞桥分局警务辅助人员体检服务采购项目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430,500.00</w:t>
      </w:r>
    </w:p>
    <w:p>
      <w:pPr>
        <w:pStyle w:val="null3"/>
      </w:pPr>
      <w:r>
        <w:rPr>
          <w:rFonts w:ascii="仿宋_GB2312" w:hAnsi="仿宋_GB2312" w:cs="仿宋_GB2312" w:eastAsia="仿宋_GB2312"/>
        </w:rPr>
        <w:t>采购包最高限价（元）: 430,500.00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430500.00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标的名称：430500.00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体检服务内容</w:t>
            </w:r>
          </w:p>
        </w:tc>
        <w:tc>
          <w:tcPr>
            <w:tcW w:type="dxa" w:w="2076"/>
          </w:tcPr>
          <w:tbl>
            <w:tblPr>
              <w:tblBorders>
                <w:top w:val="single"/>
                <w:left w:val="single"/>
                <w:bottom w:val="single"/>
                <w:right w:val="single"/>
                <w:insideH w:val="single"/>
                <w:insideV w:val="single"/>
              </w:tblBorders>
            </w:tblPr>
            <w:tblGrid>
              <w:gridCol w:w="71"/>
              <w:gridCol w:w="196"/>
              <w:gridCol w:w="119"/>
              <w:gridCol w:w="118"/>
              <w:gridCol w:w="113"/>
              <w:gridCol w:w="123"/>
              <w:gridCol w:w="113"/>
              <w:gridCol w:w="1002"/>
            </w:tblGrid>
            <w:tr>
              <w:tc>
                <w:tcPr>
                  <w:tcW w:type="dxa" w:w="1855"/>
                  <w:gridSpan w:val="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体检套餐（500元）</w:t>
                  </w:r>
                </w:p>
              </w:tc>
            </w:tr>
            <w:tr>
              <w:tc>
                <w:tcPr>
                  <w:tcW w:type="dxa" w:w="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项目</w:t>
                  </w: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40岁以上</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40岁以下</w:t>
                  </w:r>
                </w:p>
              </w:tc>
              <w:tc>
                <w:tcPr>
                  <w:tcW w:type="dxa" w:w="100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内容</w:t>
                  </w:r>
                </w:p>
              </w:tc>
            </w:tr>
            <w:tr>
              <w:tc>
                <w:tcPr>
                  <w:tcW w:type="dxa" w:w="71"/>
                  <w:vMerge/>
                  <w:tcBorders>
                    <w:top w:val="single" w:color="000000" w:sz="4"/>
                    <w:left w:val="single" w:color="000000" w:sz="4"/>
                    <w:bottom w:val="single" w:color="000000" w:sz="4"/>
                    <w:right w:val="single" w:color="000000" w:sz="4"/>
                  </w:tcBorders>
                </w:tcPr>
                <w:p/>
              </w:tc>
              <w:tc>
                <w:tcPr>
                  <w:tcW w:type="dxa" w:w="196"/>
                  <w:vMerge/>
                  <w:tcBorders>
                    <w:top w:val="single" w:color="000000" w:sz="4"/>
                    <w:left w:val="single" w:color="000000" w:sz="4"/>
                    <w:bottom w:val="single" w:color="000000" w:sz="4"/>
                    <w:right w:val="single" w:color="000000" w:sz="4"/>
                  </w:tcBorders>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男性</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女性</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男性</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女未婚</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女已婚</w:t>
                  </w:r>
                </w:p>
              </w:tc>
              <w:tc>
                <w:tcPr>
                  <w:tcW w:type="dxa" w:w="1002"/>
                  <w:vMerge/>
                  <w:tcBorders>
                    <w:top w:val="single" w:color="000000" w:sz="4"/>
                    <w:left w:val="single" w:color="000000" w:sz="4"/>
                    <w:bottom w:val="single" w:color="000000" w:sz="4"/>
                    <w:right w:val="single" w:color="000000" w:sz="4"/>
                  </w:tcBorders>
                </w:tcP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一般检查（身高、体重、BMI指数、血压）</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通过仪器测量人体身高、体重、体重指数及血压，科学判断体重是否标准、血压是否正常</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眼科</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检查眼外观是否正常，视力是否正常</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眼压筛查</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通过眼底检查可看清眼底情况如：视网膜、血管硬化的情况等；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血常规</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通过检测血液中白细胞、红细胞、血小板等细胞的计数及分类等来反映身体状况，如：血液病、贫血、感染等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尿常规</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用于检查泌尿系统疾病，如泌尿系统感染、肿瘤、结石及了解肾功能，还可用于协助检查其他系统疾病，如糖尿病、高血压、肝炎等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肝功四项</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检查肝脏损害、肌肉及心肌损害、筛检肝脏机能障碍、肝硬化及酒精性肝损害等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肾功三项</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用于肾功能评价及肾脏疾病诊断治疗效果评价</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血脂五项</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提示人体内血脂水平，评估动脉粥样硬化指数，可预防或知晓肥胖症、动脉硬化、高血脂、冠心病及其他的心血管疾病</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空腹血糖</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检测空腹血糖水平，是目前诊断糖尿病的主要依据，也是判断糖尿病病情和控制程度的主要指标</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幽门螺杆菌抗体</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对是否有感染油门螺旋杆菌的筛查</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甲胎蛋白（定量）</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用于肝癌的辅助诊断，正常妊娠12-38周可升高，其他癌症的辅助诊断</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癌胚抗原（定量）</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广谱肿瘤标志物，在恶性肿瘤的鉴别诊断、病情监测、疗效评价等方面有重要的临床价值</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心电图</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最基础的心脏检查方法，用于心律失常（早搏、传导障碍等）；心肌缺血、心肌梗塞、心房、心室肥大等诊断</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腹部超声（肝胆脾胰双肾</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了解肝、胆、胰、脾、肾等脏器有无异常(如脂肪肝、肝囊肿、肝血管瘤、肝癌、胆囊炎、胆息肉、胆结石、肾结石、肾积水、肾肿瘤，胰腺肿瘤等)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乳腺彩超</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可观察和鉴别乳腺有无结构改变，如乳腺增生、乳腺炎、乳腺囊性增生症、乳腺囊肿、乳腺纤维瘤、乳腺癌等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子宫附件彩超</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通过检查生殖系统发育畸形、子宫肌瘤、卵巢囊肿、卵巢畸胎瘤、盆腔积液等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前列腺彩超</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前列腺大小、形态、结构等情况,判断有无前列腺增大、结石、恶性病变等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甲状腺超声</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观察甲状腺大小形态，边界包膜，有无占位，血流情况。（如甲状腺肿大、甲状腺囊肿、甲状腺炎、甲状腺瘤、甲状腺癌等疾病）</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经颅多普勒（脑血流）</w:t>
                  </w:r>
                </w:p>
              </w:tc>
              <w:tc>
                <w:tcPr>
                  <w:tcW w:type="dxa" w:w="11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二选一</w:t>
                  </w:r>
                </w:p>
              </w:tc>
              <w:tc>
                <w:tcPr>
                  <w:tcW w:type="dxa" w:w="1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二选一</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主要对脑部椎基底血液供血情况的筛查</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双能骨密度</w:t>
                  </w:r>
                </w:p>
              </w:tc>
              <w:tc>
                <w:tcPr>
                  <w:tcW w:type="dxa" w:w="119"/>
                  <w:vMerge/>
                  <w:tcBorders>
                    <w:top w:val="single" w:color="000000" w:sz="4"/>
                    <w:left w:val="single" w:color="000000" w:sz="4"/>
                    <w:bottom w:val="single" w:color="000000" w:sz="4"/>
                    <w:right w:val="single" w:color="000000" w:sz="4"/>
                  </w:tcBorders>
                </w:tcPr>
                <w:p/>
              </w:tc>
              <w:tc>
                <w:tcPr>
                  <w:tcW w:type="dxa" w:w="118"/>
                  <w:vMerge/>
                  <w:tcBorders>
                    <w:top w:val="single" w:color="000000" w:sz="4"/>
                    <w:left w:val="single" w:color="000000" w:sz="4"/>
                    <w:bottom w:val="single" w:color="000000" w:sz="4"/>
                    <w:right w:val="single" w:color="000000" w:sz="4"/>
                  </w:tcBorders>
                </w:tcP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对早期骨质疏松的筛查与预防</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妇科常规</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对于确定阴道清洁度，检查妇科炎症发霉菌性阴道炎、滴虫性阴道炎等具有重要的意义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白带常规</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对于确定阴道清洁度，检查妇科炎症发霉菌性阴道炎、滴虫性阴道炎等具有重要的意义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宫颈TCT</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用于宫颈癌的精准筛查</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胸部CT（128层）</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显示骨结构，看有无骨折、增生及骨质疏松等基础病变</w:t>
                  </w:r>
                  <w:r>
                    <w:br/>
                  </w:r>
                  <w:r>
                    <w:rPr>
                      <w:rFonts w:ascii="仿宋_GB2312" w:hAnsi="仿宋_GB2312" w:cs="仿宋_GB2312" w:eastAsia="仿宋_GB2312"/>
                      <w:sz w:val="22"/>
                      <w:color w:val="000000"/>
                    </w:rPr>
                    <w:t xml:space="preserve"> 有无炎症、积液、肿块等；椎体有无骨质增生、椎体硬化、骨刺形成、椎间是否狭窄，椎体有无破坏性病变如：结核、肿物等</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营养早餐</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每人配备一份早餐</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1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纸质报告</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2"/>
                      <w:color w:val="000000"/>
                    </w:rPr>
                    <w:t>每人配备一份纸质体检报告</w:t>
                  </w:r>
                </w:p>
              </w:tc>
            </w:tr>
            <w:tr>
              <w:tc>
                <w:tcPr>
                  <w:tcW w:type="dxa" w:w="26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套餐预算金额</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500</w:t>
                  </w:r>
                </w:p>
              </w:tc>
              <w:tc>
                <w:tcPr>
                  <w:tcW w:type="dxa" w:w="1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500</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500</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500</w:t>
                  </w:r>
                </w:p>
              </w:tc>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500</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bottom"/>
                </w:tcP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1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免费增值服务</w:t>
                  </w: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舒适体检服</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舒适体检服</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根据客户自愿可以免费使用</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储物柜</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储物柜</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根据客户自愿可以免费使用</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问诊咨询</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问诊咨询</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全科医生指导体检项目</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体检报告解读</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体检报告解读</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根据自身时间进行电话预约</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电话咨询报告</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电话咨询报告</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所有职工可免费享用，不限次</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检后专家讲座</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检后专家讲座</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所有职工可免费享用，</w:t>
                  </w: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次</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电子版永久报告</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电子版永久报告</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所有职工可免费享用</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绿色就医通道门诊</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绿色就医通道门诊</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人次免费协助门诊绿通，根据自身时间进行电话预约</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绿通陪诊服务</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绿通陪诊服务</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人次免费协助门诊绿通，根据自身时间进行电话预约</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家属同等优惠</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家属同等优惠</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家属可享受同等优惠</w:t>
                  </w:r>
                </w:p>
              </w:tc>
            </w:tr>
            <w:tr>
              <w:tc>
                <w:tcPr>
                  <w:tcW w:type="dxa" w:w="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196"/>
                  <w:vMerge/>
                  <w:tcBorders>
                    <w:top w:val="single" w:color="000000" w:sz="4"/>
                    <w:left w:val="single" w:color="000000" w:sz="4"/>
                    <w:bottom w:val="single" w:color="000000" w:sz="4"/>
                    <w:right w:val="single" w:color="000000" w:sz="4"/>
                  </w:tcBorders>
                </w:tcPr>
                <w:p/>
              </w:tc>
              <w:tc>
                <w:tcPr>
                  <w:tcW w:type="dxa" w:w="23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自选套餐</w:t>
                  </w:r>
                </w:p>
              </w:tc>
              <w:tc>
                <w:tcPr>
                  <w:tcW w:type="dxa" w:w="349"/>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自选套餐</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根据自身时间进行电话预约</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民警（男），703人；民警（女），158人，总价861人，单人最高限价500元。</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满足甲方要求（体检结束后15个日历日内向甲方提交体检报告）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体检地点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符合国家法律规定的标准、满足竞争性磋商文件和乙方竞争性磋商响应文件所承诺的技术标准。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根据实际体检人数据实结算。待体检完成双方确认并验收合格后，由乙方向甲方开具与实际结算金额等额的合法有效发票，甲方在收到发票后一次性付清。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1.双方在合同期内，不得单方面无故终止合同，否则按违约处理。违约方须按体检服务费总价 支付违约金给对方。 2.乙方在收到甲方体检通知之日起 个工作日内未做好体检准备工作并开始进行体检或乙方违反本合同规定，所提供的服务未达到合同要求的，甲方书面提出整改通知，累计提出达 次，甲方有权单方面终止合同，由此造成甲方经济损失的，乙方应给予体检服务费总价 的赔偿。 3.甲方应按合同规定的期限向乙方办理支付体检服务费手续，每逾期1天，乙方可向甲方加收体检服务费总价 的违约金，违约金累计不得超过体检服务费总价 。但由于财政资金拨款不到位而导致甲方逾期付款的，甲方不承担违约责任，并且此情况不能成为乙方拖延体检服务的理由。 争议及解决办法 本合同发生争议，由双方协商或由政府采购监管部门调解解决，协商或调解不成时按以下第 2 种方式解决： 1.西安市仲裁委员会仲裁； 2.向甲方所在地人民法院提起诉讼。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 2022 年度或 2023 年度经审计的投标财务审计报告（成立时间至提交响应文件截止时间不足1年的可提供成立后任意时间段的资产负债表）或者开标前三个月内的银行资信证明或 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(1)企业投标的：营业执照 (2)事业单位投标的：事业单位法人证书 (3)其他组织投标的：登记证书 (4)个体工商户投标的：个体工商户营业执照 (5)自然人投标的：身份证</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法定代表人身份证明或法人授权书</w:t>
            </w:r>
          </w:p>
        </w:tc>
        <w:tc>
          <w:tcPr>
            <w:tcW w:type="dxa" w:w="3322"/>
          </w:tcPr>
          <w:p>
            <w:pPr>
              <w:pStyle w:val="null3"/>
            </w:pPr>
            <w:r>
              <w:rPr>
                <w:rFonts w:ascii="仿宋_GB2312" w:hAnsi="仿宋_GB2312" w:cs="仿宋_GB2312" w:eastAsia="仿宋_GB2312"/>
              </w:rPr>
              <w:t>(1)法定代表人（负责人）参加投标的：法定代表人（负 责人）身份证明及身份证 (2)授权代表参加投标的：授权委托书及授权代表身份 证</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(1)投标人自2024 年1 月 1 日以来已缴纳任意一个月、 任意税种凭证或税务机关开具的完税证明 (2)依法免税的应提供相关文件证明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(1)投标人自 2023 年11 月 1 日以来已缴存的任意一个 月的社会保障资金缴存单据或社保机构开具的社会保 险参保缴费情况证明 (2)依法不需要缴纳社会保障资金的应提供相关文件 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供应商具备履行合同所必需的设备和专业技术能力的声明</w:t>
            </w:r>
          </w:p>
        </w:tc>
        <w:tc>
          <w:tcPr>
            <w:tcW w:type="dxa" w:w="3322"/>
          </w:tcPr>
          <w:p>
            <w:pPr>
              <w:pStyle w:val="null3"/>
            </w:pPr>
            <w:r>
              <w:rPr>
                <w:rFonts w:ascii="仿宋_GB2312" w:hAnsi="仿宋_GB2312" w:cs="仿宋_GB2312" w:eastAsia="仿宋_GB2312"/>
              </w:rPr>
              <w:t>供应商具备履行合同所必需的设备和专业技术能力的声明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投标声明书</w:t>
            </w:r>
          </w:p>
        </w:tc>
        <w:tc>
          <w:tcPr>
            <w:tcW w:type="dxa" w:w="3322"/>
          </w:tcPr>
          <w:p>
            <w:pPr>
              <w:pStyle w:val="null3"/>
            </w:pPr>
            <w:r>
              <w:rPr>
                <w:rFonts w:ascii="仿宋_GB2312" w:hAnsi="仿宋_GB2312" w:cs="仿宋_GB2312" w:eastAsia="仿宋_GB2312"/>
              </w:rPr>
              <w:t>投标人参加本次采购活动 3 年内，在政府采购经营活 动中没有重大违法记录以及未被列入失信被执行人、 重大税收违法案件当事人名单、政府采购严重违法失 信行为记录名单的书面声明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投标人应具备有效的《医疗机构执业许可证》和《放射诊疗许可证》</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本项目不接受联合体投标；投标人的单位负责人不为同一人或者相互间不存在直接控股、管理关系</w:t>
            </w:r>
          </w:p>
        </w:tc>
        <w:tc>
          <w:tcPr>
            <w:tcW w:type="dxa" w:w="3322"/>
          </w:tcPr>
          <w:p>
            <w:pPr>
              <w:pStyle w:val="null3"/>
            </w:pPr>
            <w:r>
              <w:rPr>
                <w:rFonts w:ascii="仿宋_GB2312" w:hAnsi="仿宋_GB2312" w:cs="仿宋_GB2312" w:eastAsia="仿宋_GB2312"/>
              </w:rPr>
              <w:t>本项目不接受联合体投标；投标人的单位负责人不为同一人或者相互间不存在直接控股、管理关系（以上两点提供声明，格式自拟）</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根据投标人针对本项目提供的体检服务方案（包括但不限于组织管理、运作流程、现场指导、体检安排、检验检测、结果反馈、检后健康指导、卫生安全等方面）进行综合评审： 1、体检服务方案完整、详细、具体、条理清晰，完全满足本项目服务采购要求的，得13-15分； 2、体检服务方案较为完整、详细、具体，条理比较清晰，满足本项目服务采购要求的，得9-12分； 3、体检服务方案不够完整、详细、具体，条理不够清晰，基本满足本项目服务采购要求的，得5-8分； 4、体检服务方案较差，部分满足本项目服务采购要求的，得1-4分； 5、其他情况不得分。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体检项目</w:t>
            </w:r>
          </w:p>
        </w:tc>
        <w:tc>
          <w:tcPr>
            <w:tcW w:type="dxa" w:w="2492"/>
          </w:tcPr>
          <w:p>
            <w:pPr>
              <w:pStyle w:val="null3"/>
            </w:pPr>
            <w:r>
              <w:rPr>
                <w:rFonts w:ascii="仿宋_GB2312" w:hAnsi="仿宋_GB2312" w:cs="仿宋_GB2312" w:eastAsia="仿宋_GB2312"/>
              </w:rPr>
              <w:t>根据本项目中的基本检查项和可选检查项，投标人提供本项目人员的具体检查项目，在此基础上可自行增加体检项目。 根据投标人提供的检查项目安排及增加的体检项目情况进行综合评审： 1、投标人提供的检查项目及增加的体检项目全面、详细、合理，完全满足采购服务要求，得10-15分； 2、投标人提供的检查项目及增加的体检项目比较全面、详细、合理，满足采购服务要求，得6-10分； 3、投标人提供的检查项目及增加的体检项目不够全面、详细，合理性较差，部分满足采购服务要求，得1-5分； 4、其他情况不得分。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根据投标人针对本项目提供的应急保障方案（包括但不限于在体检过程中出现的医疗应急事件、设备故障、人员集中、排队等候时间过长等可能引发的问题及突发、意外事故等方面）进行评审： 1、应急保障方案中包含上述全部内容且切合实际，完全满足本项目采购需求的，得8-11分； 2、应急保障方案中包含上述全部内容且比较切合实际，满足本项目采购需求的，得5-7分 3、应急保障方案中包含上述部分内容且不够切合实际，部分满足本项目采购需求的，得1-4分； 4、未提供应急保障方案的，不得分。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拟投入本项目设备情况</w:t>
            </w:r>
          </w:p>
        </w:tc>
        <w:tc>
          <w:tcPr>
            <w:tcW w:type="dxa" w:w="2492"/>
          </w:tcPr>
          <w:p>
            <w:pPr>
              <w:pStyle w:val="null3"/>
            </w:pPr>
            <w:r>
              <w:rPr>
                <w:rFonts w:ascii="仿宋_GB2312" w:hAnsi="仿宋_GB2312" w:cs="仿宋_GB2312" w:eastAsia="仿宋_GB2312"/>
              </w:rPr>
              <w:t>根据投标人拟投入本项目体检的仪器设备情况进行综合评审： 1、拟投入本项目的检测设备齐全，配套设施完整，符合国家相应强制性标准且完全满足采购要求的，得7-9分； 2、拟投入本项目的检测设备较齐全，配套设施较完整，符合国家相应强制性标准且满足采购要求的，得4-6分； 3、拟投入本项目的检测设备不够齐全，配套设施不够完整，符合国家相应强制性标准且部分满足采购要求的，得1-3分； 4、其他情况不得分。 注：需提供相关证明材料（如设备为自有设备，需提供投标人的设备购买发票；如设备为租赁设备，需提供设备租赁合同）复印件并加盖单位公章。未提供或提供不全或不清晰的不得分。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药剂配备情况</w:t>
            </w:r>
          </w:p>
        </w:tc>
        <w:tc>
          <w:tcPr>
            <w:tcW w:type="dxa" w:w="2492"/>
          </w:tcPr>
          <w:p>
            <w:pPr>
              <w:pStyle w:val="null3"/>
            </w:pPr>
            <w:r>
              <w:rPr>
                <w:rFonts w:ascii="仿宋_GB2312" w:hAnsi="仿宋_GB2312" w:cs="仿宋_GB2312" w:eastAsia="仿宋_GB2312"/>
              </w:rPr>
              <w:t>根据投标人拟投入本项目药剂配备情况进行综合评审： 1、拟投入本项目的药剂配备齐全，符合国家相应强制性标准且完全满足采购要求的，得7-9分； 2、拟投入本项目的药剂配备较齐全，符合国家相应强制性标准且满足采购要求的，得4-6分； 3、拟投入本项目的药剂配备不够齐全，符合国家相应强制性标准且部分满足采购要求的，得1-3分； 4、其他情况不得分。 注：需提供详细的药剂清单及定期质控的证明材料复印件并加盖单位公章。未提供或提供不全或不清晰的不得分。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根据投标人提供的保密方案（包括但不限于项目可能涉及的失泄密风险评估、保密管理制度、保密保障措施等）进行评审： 1、保密方案内容全面完善，失泄密风险评估合理，应对措施切实可行、有针对性，完全满足项目采购要求，得4-5分； 2、保密保障方案内容比较全面完善，失泄密风险评估较为合理，应对措施基本切实可行，比较有针对性，基本满足项目采购要求，得2-3分； 3、保密保障方案内容不够全面完善，失泄密风险评估合理性较差，应对措施不够切实可行，针对性较差，部分满足项目采购要求，得1分； 4、差或未提供的不得分。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根据投标人提供的安全保障方案（包括但不限于项目可能涉及的安全风险评估、安全管理制度、安全保障措施等）进行评审： 1、安全保障方案内容全面、具体，安全风险评估合理，安全保障措施详细、可行、有针对性，得4-5分； 2、安全保障方案内容较全面、具体，安全风险评估较合理，安全保障措施较详细、可行，比较有针对性，得2-3分； 3、安全保障方案内容不全面、不具体，安全风险评估不够合理，安全保障措施不详细，可行性、针对性不足，得1分； 4、差或未提供的不得分。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根据投标人针对本项目提供的增值服务进行评审： 1、增值服务方案完整、细致合理、可行性强，且明显有利于采购人，计4-5分； 2、增值服务方案较为完整、细致合理、可行性一般，且有利于采购人，计2-3分； 3、增值服务方案较为简单、针对性较差，有利于采购人的举措不够明显，计1分； 4、未提供增值服务不计分。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自2022年1月1日以来（以合同签订时间为准），投标人承担过类似体检项目业绩的，每提供一个项目得1分，最高得5分。 注：须提供项目清晰的合同或任务书扫描件，否则不得分。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拟投入团队人员情况</w:t>
            </w:r>
          </w:p>
        </w:tc>
        <w:tc>
          <w:tcPr>
            <w:tcW w:type="dxa" w:w="2492"/>
          </w:tcPr>
          <w:p>
            <w:pPr>
              <w:pStyle w:val="null3"/>
            </w:pPr>
            <w:r>
              <w:rPr>
                <w:rFonts w:ascii="仿宋_GB2312" w:hAnsi="仿宋_GB2312" w:cs="仿宋_GB2312" w:eastAsia="仿宋_GB2312"/>
              </w:rPr>
              <w:t>根据投标人拟投入本项目的团队人员情况进行评审： 1、具有副主任医师或副高职称级别（或以上）的，每提供一个证书得1分，最高得3分； 2、具有主治医师或主管技师级别（或以上）的，每提供一个证书得0.5分，最高得3分。 注：以上两项需提供人员的执业许可证或职称证及在卫生管理机构注册情况等相关证明材料，否则不得分。（同一人提供多个证书的，按一个计算）。 3、拟投入本项目的医技人员情况： （1）医技人员数量≥20人的，得5分； （2）20人＞医技人员数量≥15人的，得3分； （3）15人＞医技人员数量≥10人的，得1分； （4）其他情况不得分。 以上三项累计最高得11分。 注：需提供团队人员清单（包含姓名、性别、年龄、岗位、职称、职务、目前所在科室等信息）及投标截止时间前近六个月内任意一个月本单位为以上人员缴纳的社保证明文件或劳动合同复印件，否则不得分。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采用低价优先法计算，即满足招标文件要求且投标价格最低的投标报价为评标基准价，其价格为 10分。（因落实政府采购政策进行价格调整的，以调整后的价格计算评标基准价和投标报价）其他投标人的价格分按照下列公式计算：投标报价得分=（评标基准价/投标报价）×10。价格得分四舍五入保留小数点后两位。 注：小微企业、残疾人福利性单位、监狱企业凡提供相关资格证明均享受 10%价格折扣。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详见附件：采购合同格式 2.25.docx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