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版本号：YCXM-202510220250312001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YCXM-2025102</w:t>
      </w:r>
      <w:r>
        <w:br/>
      </w:r>
      <w:r>
        <w:br/>
      </w:r>
      <w:r>
        <w:br/>
      </w:r>
    </w:p>
    <w:p>
      <w:pPr>
        <w:pStyle w:val="null3"/>
        <w:jc w:val="center"/>
        <w:outlineLvl w:val="2"/>
      </w:pPr>
      <w:r>
        <w:rPr>
          <w:rFonts w:ascii="仿宋_GB2312" w:hAnsi="仿宋_GB2312" w:cs="仿宋_GB2312" w:eastAsia="仿宋_GB2312"/>
          <w:sz w:val="28"/>
          <w:b/>
        </w:rPr>
        <w:t>西安市灞桥区人民医院（本级）</w:t>
      </w:r>
    </w:p>
    <w:p>
      <w:pPr>
        <w:pStyle w:val="null3"/>
        <w:jc w:val="center"/>
        <w:outlineLvl w:val="2"/>
      </w:pPr>
      <w:r>
        <w:rPr>
          <w:rFonts w:ascii="仿宋_GB2312" w:hAnsi="仿宋_GB2312" w:cs="仿宋_GB2312" w:eastAsia="仿宋_GB2312"/>
          <w:sz w:val="28"/>
          <w:b/>
        </w:rPr>
        <w:t>陕西玥诚工程项目管理有限公司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西安市灞桥区人民医院（本级）</w:t>
      </w:r>
      <w:r>
        <w:rPr>
          <w:rFonts w:ascii="仿宋_GB2312" w:hAnsi="仿宋_GB2312" w:cs="仿宋_GB2312" w:eastAsia="仿宋_GB2312"/>
        </w:rPr>
        <w:t>委托，拟对</w:t>
      </w:r>
      <w:r>
        <w:rPr>
          <w:rFonts w:ascii="仿宋_GB2312" w:hAnsi="仿宋_GB2312" w:cs="仿宋_GB2312" w:eastAsia="仿宋_GB2312"/>
        </w:rPr>
        <w:t>医疗设备采购项目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YCXM-2025102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为了满足临床诊疗需求，我院特此申请对医院的医疗设备进行政府采购，主要包括牙科综合治疗机（种植机、种植牙椅）、妇科盆底生物刺激反馈仪。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采购包1（医疗设备采购项目）：属于专门面向中小企业采购。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1、营业执照：响应供应商需提供合法有效的统一社会信用代码营业执照</w:t>
      </w:r>
    </w:p>
    <w:p>
      <w:pPr>
        <w:pStyle w:val="null3"/>
      </w:pPr>
      <w:r>
        <w:rPr>
          <w:rFonts w:ascii="仿宋_GB2312" w:hAnsi="仿宋_GB2312" w:cs="仿宋_GB2312" w:eastAsia="仿宋_GB2312"/>
        </w:rPr>
        <w:t>2、相关证件：投标人为制造厂家的应出具医疗器械生产许可证（提供的设备须在其生产范围内）和所投设备医疗器械注册证；投标人为经销商的应出具医疗器械经营许可证（提供的设备须在其经营范围内）和所投产品《医疗器械注册证》（注：所投产品不属于医疗器械的须提供相应的书面声明材料）</w:t>
      </w:r>
    </w:p>
    <w:p>
      <w:pPr>
        <w:pStyle w:val="null3"/>
      </w:pPr>
      <w:r>
        <w:rPr>
          <w:rFonts w:ascii="仿宋_GB2312" w:hAnsi="仿宋_GB2312" w:cs="仿宋_GB2312" w:eastAsia="仿宋_GB2312"/>
        </w:rPr>
        <w:t>3、身份证明：法定代表人参加投标的，须提供本人身份证加盖公章的复印件。 法定代表人授权他人参加投标的，须提供法定代表人授权委托书及被授权代表的身份证复印件。</w:t>
      </w:r>
    </w:p>
    <w:p>
      <w:pPr>
        <w:pStyle w:val="null3"/>
      </w:pPr>
      <w:r>
        <w:rPr>
          <w:rFonts w:ascii="仿宋_GB2312" w:hAnsi="仿宋_GB2312" w:cs="仿宋_GB2312" w:eastAsia="仿宋_GB2312"/>
        </w:rPr>
        <w:t>4、财务状况报告：响应供应商提供2023年度经审计的财务会计报告（成立时间至提交投标文件截止时间不足一年的可提供成立后任意时段的资产负债表），或提供投标截止时间前三个月内银行出具的资信证明，或信用担保机构出具 的投标担保函（以上三种形式的资料提供任何一种即可）</w:t>
      </w:r>
    </w:p>
    <w:p>
      <w:pPr>
        <w:pStyle w:val="null3"/>
      </w:pPr>
      <w:r>
        <w:rPr>
          <w:rFonts w:ascii="仿宋_GB2312" w:hAnsi="仿宋_GB2312" w:cs="仿宋_GB2312" w:eastAsia="仿宋_GB2312"/>
        </w:rPr>
        <w:t>5、社会保障资金缴纳证明：提供2024年3月至开标截止日前已缴纳的任意1个月的社会保障资金缴存单据或社保机构开具的社会保险参保缴费情况证明，依法不需要缴纳社会保障资金的单位应提供相关证明材料。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6、税收缴纳证明：提供2024年3月至开标截止日前已缴纳的任意1个月的纳税证明或完税证明，依法免税的单位应提供相关证明材料</w:t>
      </w:r>
    </w:p>
    <w:p>
      <w:pPr>
        <w:pStyle w:val="null3"/>
      </w:pPr>
      <w:r>
        <w:rPr>
          <w:rFonts w:ascii="仿宋_GB2312" w:hAnsi="仿宋_GB2312" w:cs="仿宋_GB2312" w:eastAsia="仿宋_GB2312"/>
        </w:rPr>
        <w:t>7、履约能力：具备履行合同所必需的设备和专业技术能力的证明材料(由供应商根据项目需求提供说明材料或者承诺)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8、企业信誉：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9、关联关系：单位负责人为同一人或者存在控股、管理关系的不同单位不得同时参加同一项目投标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西安市灞桥区人民医院（本级）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西安市灞桥区灞桥街办灞桥正街28号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18681984617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陕西省西安市新城区陕西省西安市新城区长乐西路256号东方亿象城C座1010号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13484613855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以中标金额为基数，依据国家计委颁发的《招标代理服务收费管理暂行办法》（计价格[2002]1980号）和国家发展改革委员会办公厅颁发的《关于招标代理服务收费有关问题的通知》（发改办价格[2003]857号）的有关规定执行，本项目代理服务费按照定额5000 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西安市灞桥区人民医院（本级）</w:t>
      </w:r>
      <w:r>
        <w:rPr>
          <w:rFonts w:ascii="仿宋_GB2312" w:hAnsi="仿宋_GB2312" w:cs="仿宋_GB2312" w:eastAsia="仿宋_GB2312"/>
        </w:rPr>
        <w:t>和</w:t>
      </w:r>
      <w:r>
        <w:rPr>
          <w:rFonts w:ascii="仿宋_GB2312" w:hAnsi="仿宋_GB2312" w:cs="仿宋_GB2312" w:eastAsia="仿宋_GB2312"/>
        </w:rPr>
        <w:t>陕西玥诚工程项目管理有限公司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西安市灞桥区人民医院（本级）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符合现行的国家标准或国家行政部门颁布的法律法规、规章制度等。没有国家标准的，参考行业标准，具体详见磋商文件。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联系人：马工</w:t>
      </w:r>
    </w:p>
    <w:p>
      <w:pPr>
        <w:pStyle w:val="null3"/>
      </w:pPr>
      <w:r>
        <w:rPr>
          <w:rFonts w:ascii="仿宋_GB2312" w:hAnsi="仿宋_GB2312" w:cs="仿宋_GB2312" w:eastAsia="仿宋_GB2312"/>
        </w:rPr>
        <w:t>联系电话：13484613855</w:t>
      </w:r>
    </w:p>
    <w:p>
      <w:pPr>
        <w:pStyle w:val="null3"/>
      </w:pPr>
      <w:r>
        <w:rPr>
          <w:rFonts w:ascii="仿宋_GB2312" w:hAnsi="仿宋_GB2312" w:cs="仿宋_GB2312" w:eastAsia="仿宋_GB2312"/>
        </w:rPr>
        <w:t>地址：西安市新城区长乐西路256号东方亿象城C座1010号</w:t>
      </w:r>
    </w:p>
    <w:p>
      <w:pPr>
        <w:pStyle w:val="null3"/>
      </w:pPr>
      <w:r>
        <w:rPr>
          <w:rFonts w:ascii="仿宋_GB2312" w:hAnsi="仿宋_GB2312" w:cs="仿宋_GB2312" w:eastAsia="仿宋_GB2312"/>
        </w:rPr>
        <w:t>邮编：710005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为了满足临床诊疗需求，我院特此申请对医院的医疗设备进行政府采购，主要包括牙科综合治疗机（种植机、种植牙椅）、妇科盆底生物刺激反馈仪。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标的名称：医疗设备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200"/>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为了满足临床诊疗需求，我院特此申请对医院的医疗设备进行政府采购，主要包括牙科综合治疗机</w:t>
            </w:r>
            <w:r>
              <w:rPr>
                <w:rFonts w:ascii="仿宋_GB2312" w:hAnsi="仿宋_GB2312" w:cs="仿宋_GB2312" w:eastAsia="仿宋_GB2312"/>
                <w:sz w:val="24"/>
              </w:rPr>
              <w:t>（种植机、种植牙椅）、妇科盆底生物刺激反馈仪。</w:t>
            </w:r>
          </w:p>
          <w:p>
            <w:pPr>
              <w:pStyle w:val="null3"/>
              <w:ind w:firstLine="200"/>
              <w:jc w:val="both"/>
            </w:pPr>
            <w:r>
              <w:rPr>
                <w:rFonts w:ascii="仿宋_GB2312" w:hAnsi="仿宋_GB2312" w:cs="仿宋_GB2312" w:eastAsia="仿宋_GB2312"/>
                <w:sz w:val="24"/>
                <w:b/>
              </w:rPr>
              <w:t>二、技术参数</w:t>
            </w:r>
          </w:p>
          <w:p>
            <w:pPr>
              <w:pStyle w:val="null3"/>
              <w:spacing w:before="150" w:after="150"/>
            </w:pPr>
            <w:r>
              <w:rPr>
                <w:rFonts w:ascii="仿宋_GB2312" w:hAnsi="仿宋_GB2312" w:cs="仿宋_GB2312" w:eastAsia="仿宋_GB2312"/>
                <w:sz w:val="24"/>
                <w:b/>
              </w:rPr>
              <w:t>生物刺激反馈仪</w:t>
            </w:r>
            <w:r>
              <w:rPr>
                <w:rFonts w:ascii="仿宋_GB2312" w:hAnsi="仿宋_GB2312" w:cs="仿宋_GB2312" w:eastAsia="仿宋_GB2312"/>
                <w:sz w:val="24"/>
                <w:b/>
              </w:rPr>
              <w:t>技术参数</w:t>
            </w:r>
          </w:p>
          <w:p>
            <w:pPr>
              <w:pStyle w:val="null3"/>
              <w:spacing w:before="150" w:after="150"/>
              <w:ind w:firstLine="480"/>
            </w:pPr>
            <w:r>
              <w:rPr>
                <w:rFonts w:ascii="仿宋_GB2312" w:hAnsi="仿宋_GB2312" w:cs="仿宋_GB2312" w:eastAsia="仿宋_GB2312"/>
                <w:sz w:val="24"/>
              </w:rPr>
              <w:t>对</w:t>
            </w:r>
            <w:r>
              <w:rPr>
                <w:rFonts w:ascii="仿宋_GB2312" w:hAnsi="仿宋_GB2312" w:cs="仿宋_GB2312" w:eastAsia="仿宋_GB2312"/>
                <w:sz w:val="24"/>
              </w:rPr>
              <w:t>患者的体表肌电信号进行</w:t>
            </w:r>
            <w:r>
              <w:rPr>
                <w:rFonts w:ascii="仿宋_GB2312" w:hAnsi="仿宋_GB2312" w:cs="仿宋_GB2312" w:eastAsia="仿宋_GB2312"/>
                <w:sz w:val="24"/>
              </w:rPr>
              <w:t>采集</w:t>
            </w:r>
            <w:r>
              <w:rPr>
                <w:rFonts w:ascii="仿宋_GB2312" w:hAnsi="仿宋_GB2312" w:cs="仿宋_GB2312" w:eastAsia="仿宋_GB2312"/>
                <w:sz w:val="24"/>
              </w:rPr>
              <w:t>、分析和反馈训练，</w:t>
            </w:r>
            <w:r>
              <w:rPr>
                <w:rFonts w:ascii="仿宋_GB2312" w:hAnsi="仿宋_GB2312" w:cs="仿宋_GB2312" w:eastAsia="仿宋_GB2312"/>
                <w:sz w:val="24"/>
              </w:rPr>
              <w:t>对</w:t>
            </w:r>
            <w:r>
              <w:rPr>
                <w:rFonts w:ascii="仿宋_GB2312" w:hAnsi="仿宋_GB2312" w:cs="仿宋_GB2312" w:eastAsia="仿宋_GB2312"/>
                <w:sz w:val="24"/>
              </w:rPr>
              <w:t>患者的肌肉施加电刺激来帮助诊断和恢复患者的肌肉功能障碍。</w:t>
            </w:r>
          </w:p>
          <w:p>
            <w:pPr>
              <w:pStyle w:val="null3"/>
              <w:spacing w:before="150" w:after="150"/>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硬件</w:t>
            </w:r>
            <w:r>
              <w:rPr>
                <w:rFonts w:ascii="仿宋_GB2312" w:hAnsi="仿宋_GB2312" w:cs="仿宋_GB2312" w:eastAsia="仿宋_GB2312"/>
                <w:sz w:val="24"/>
                <w:b/>
              </w:rPr>
              <w:t>参数：</w:t>
            </w:r>
          </w:p>
          <w:p>
            <w:pPr>
              <w:pStyle w:val="null3"/>
              <w:spacing w:before="150" w:after="150"/>
              <w:jc w:val="both"/>
            </w:pPr>
            <w:r>
              <w:rPr>
                <w:rFonts w:ascii="仿宋_GB2312" w:hAnsi="仿宋_GB2312" w:cs="仿宋_GB2312" w:eastAsia="仿宋_GB2312"/>
                <w:sz w:val="24"/>
              </w:rPr>
              <w:t>1.</w:t>
            </w:r>
            <w:r>
              <w:rPr>
                <w:rFonts w:ascii="仿宋_GB2312" w:hAnsi="仿宋_GB2312" w:cs="仿宋_GB2312" w:eastAsia="仿宋_GB2312"/>
                <w:sz w:val="24"/>
              </w:rPr>
              <w:t>独立四通道表面肌电采集和电刺激；</w:t>
            </w:r>
          </w:p>
          <w:p>
            <w:pPr>
              <w:pStyle w:val="null3"/>
              <w:spacing w:before="150" w:after="150"/>
              <w:jc w:val="both"/>
            </w:pPr>
            <w:r>
              <w:rPr>
                <w:rFonts w:ascii="仿宋_GB2312" w:hAnsi="仿宋_GB2312" w:cs="仿宋_GB2312" w:eastAsia="仿宋_GB2312"/>
                <w:sz w:val="24"/>
              </w:rPr>
              <w:t>2.</w:t>
            </w:r>
            <w:r>
              <w:rPr>
                <w:rFonts w:ascii="仿宋_GB2312" w:hAnsi="仿宋_GB2312" w:cs="仿宋_GB2312" w:eastAsia="仿宋_GB2312"/>
                <w:sz w:val="24"/>
              </w:rPr>
              <w:t>液晶显示屏</w:t>
            </w: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英</w:t>
            </w:r>
            <w:r>
              <w:rPr>
                <w:rFonts w:ascii="仿宋_GB2312" w:hAnsi="仿宋_GB2312" w:cs="仿宋_GB2312" w:eastAsia="仿宋_GB2312"/>
                <w:sz w:val="24"/>
              </w:rPr>
              <w:t>寸</w:t>
            </w:r>
            <w:r>
              <w:rPr>
                <w:rFonts w:ascii="仿宋_GB2312" w:hAnsi="仿宋_GB2312" w:cs="仿宋_GB2312" w:eastAsia="仿宋_GB2312"/>
                <w:sz w:val="24"/>
              </w:rPr>
              <w:t>，满足患者</w:t>
            </w:r>
            <w:r>
              <w:rPr>
                <w:rFonts w:ascii="仿宋_GB2312" w:hAnsi="仿宋_GB2312" w:cs="仿宋_GB2312" w:eastAsia="仿宋_GB2312"/>
                <w:sz w:val="24"/>
              </w:rPr>
              <w:t>治疗时</w:t>
            </w:r>
            <w:r>
              <w:rPr>
                <w:rFonts w:ascii="仿宋_GB2312" w:hAnsi="仿宋_GB2312" w:cs="仿宋_GB2312" w:eastAsia="仿宋_GB2312"/>
                <w:sz w:val="24"/>
              </w:rPr>
              <w:t>远距离接受</w:t>
            </w:r>
            <w:r>
              <w:rPr>
                <w:rFonts w:ascii="仿宋_GB2312" w:hAnsi="仿宋_GB2312" w:cs="仿宋_GB2312" w:eastAsia="仿宋_GB2312"/>
                <w:sz w:val="24"/>
              </w:rPr>
              <w:t>视觉</w:t>
            </w:r>
            <w:r>
              <w:rPr>
                <w:rFonts w:ascii="仿宋_GB2312" w:hAnsi="仿宋_GB2312" w:cs="仿宋_GB2312" w:eastAsia="仿宋_GB2312"/>
                <w:sz w:val="24"/>
              </w:rPr>
              <w:t>反馈的需求</w:t>
            </w:r>
            <w:r>
              <w:rPr>
                <w:rFonts w:ascii="仿宋_GB2312" w:hAnsi="仿宋_GB2312" w:cs="仿宋_GB2312" w:eastAsia="仿宋_GB2312"/>
                <w:sz w:val="24"/>
              </w:rPr>
              <w:t>；</w:t>
            </w:r>
          </w:p>
          <w:p>
            <w:pPr>
              <w:pStyle w:val="null3"/>
              <w:spacing w:before="150" w:after="15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独立双屏</w:t>
            </w:r>
            <w:r>
              <w:rPr>
                <w:rFonts w:ascii="仿宋_GB2312" w:hAnsi="仿宋_GB2312" w:cs="仿宋_GB2312" w:eastAsia="仿宋_GB2312"/>
                <w:sz w:val="24"/>
              </w:rPr>
              <w:t>显示模式，</w:t>
            </w:r>
            <w:r>
              <w:rPr>
                <w:rFonts w:ascii="仿宋_GB2312" w:hAnsi="仿宋_GB2312" w:cs="仿宋_GB2312" w:eastAsia="仿宋_GB2312"/>
                <w:sz w:val="24"/>
              </w:rPr>
              <w:t>满足</w:t>
            </w:r>
            <w:r>
              <w:rPr>
                <w:rFonts w:ascii="仿宋_GB2312" w:hAnsi="仿宋_GB2312" w:cs="仿宋_GB2312" w:eastAsia="仿宋_GB2312"/>
                <w:sz w:val="24"/>
              </w:rPr>
              <w:t>医患双方</w:t>
            </w:r>
            <w:r>
              <w:rPr>
                <w:rFonts w:ascii="仿宋_GB2312" w:hAnsi="仿宋_GB2312" w:cs="仿宋_GB2312" w:eastAsia="仿宋_GB2312"/>
                <w:sz w:val="24"/>
              </w:rPr>
              <w:t>个性化</w:t>
            </w:r>
            <w:r>
              <w:rPr>
                <w:rFonts w:ascii="仿宋_GB2312" w:hAnsi="仿宋_GB2312" w:cs="仿宋_GB2312" w:eastAsia="仿宋_GB2312"/>
                <w:sz w:val="24"/>
              </w:rPr>
              <w:t>观察指标的要求；</w:t>
            </w:r>
          </w:p>
          <w:p>
            <w:pPr>
              <w:pStyle w:val="null3"/>
              <w:spacing w:before="150" w:after="15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可通过主机旋钮和屏幕鼠标操作两种方式控制电刺激电流强度；</w:t>
            </w:r>
          </w:p>
          <w:p>
            <w:pPr>
              <w:pStyle w:val="null3"/>
              <w:spacing w:before="150" w:after="150"/>
              <w:jc w:val="both"/>
            </w:pPr>
            <w:r>
              <w:rPr>
                <w:rFonts w:ascii="仿宋_GB2312" w:hAnsi="仿宋_GB2312" w:cs="仿宋_GB2312" w:eastAsia="仿宋_GB2312"/>
                <w:sz w:val="24"/>
              </w:rPr>
              <w:t>5.</w:t>
            </w:r>
            <w:r>
              <w:rPr>
                <w:rFonts w:ascii="仿宋_GB2312" w:hAnsi="仿宋_GB2312" w:cs="仿宋_GB2312" w:eastAsia="仿宋_GB2312"/>
                <w:sz w:val="24"/>
              </w:rPr>
              <w:t>最小刺激频率：</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Hz；</w:t>
            </w:r>
          </w:p>
          <w:p>
            <w:pPr>
              <w:pStyle w:val="null3"/>
              <w:spacing w:before="150" w:after="150"/>
              <w:jc w:val="both"/>
            </w:pPr>
            <w:r>
              <w:rPr>
                <w:rFonts w:ascii="仿宋_GB2312" w:hAnsi="仿宋_GB2312" w:cs="仿宋_GB2312" w:eastAsia="仿宋_GB2312"/>
                <w:sz w:val="24"/>
              </w:rPr>
              <w:t>6.</w:t>
            </w:r>
            <w:r>
              <w:rPr>
                <w:rFonts w:ascii="仿宋_GB2312" w:hAnsi="仿宋_GB2312" w:cs="仿宋_GB2312" w:eastAsia="仿宋_GB2312"/>
                <w:sz w:val="24"/>
              </w:rPr>
              <w:t>最大刺激频率：</w:t>
            </w:r>
            <w:r>
              <w:rPr>
                <w:rFonts w:ascii="仿宋_GB2312" w:hAnsi="仿宋_GB2312" w:cs="仿宋_GB2312" w:eastAsia="仿宋_GB2312"/>
                <w:sz w:val="24"/>
              </w:rPr>
              <w:t>≥</w:t>
            </w:r>
            <w:r>
              <w:rPr>
                <w:rFonts w:ascii="仿宋_GB2312" w:hAnsi="仿宋_GB2312" w:cs="仿宋_GB2312" w:eastAsia="仿宋_GB2312"/>
                <w:sz w:val="24"/>
              </w:rPr>
              <w:t>500</w:t>
            </w:r>
            <w:r>
              <w:rPr>
                <w:rFonts w:ascii="仿宋_GB2312" w:hAnsi="仿宋_GB2312" w:cs="仿宋_GB2312" w:eastAsia="仿宋_GB2312"/>
                <w:sz w:val="24"/>
              </w:rPr>
              <w:t>Hz；</w:t>
            </w:r>
          </w:p>
          <w:p>
            <w:pPr>
              <w:pStyle w:val="null3"/>
              <w:spacing w:before="150" w:after="150"/>
              <w:jc w:val="both"/>
            </w:pPr>
            <w:r>
              <w:rPr>
                <w:rFonts w:ascii="仿宋_GB2312" w:hAnsi="仿宋_GB2312" w:cs="仿宋_GB2312" w:eastAsia="仿宋_GB2312"/>
                <w:sz w:val="24"/>
              </w:rPr>
              <w:t>7.</w:t>
            </w:r>
            <w:r>
              <w:rPr>
                <w:rFonts w:ascii="仿宋_GB2312" w:hAnsi="仿宋_GB2312" w:cs="仿宋_GB2312" w:eastAsia="仿宋_GB2312"/>
                <w:sz w:val="24"/>
              </w:rPr>
              <w:t>最小脉冲宽度：</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0μs；</w:t>
            </w:r>
          </w:p>
          <w:p>
            <w:pPr>
              <w:pStyle w:val="null3"/>
              <w:spacing w:before="150" w:after="150"/>
              <w:jc w:val="both"/>
            </w:pPr>
            <w:r>
              <w:rPr>
                <w:rFonts w:ascii="仿宋_GB2312" w:hAnsi="仿宋_GB2312" w:cs="仿宋_GB2312" w:eastAsia="仿宋_GB2312"/>
                <w:sz w:val="24"/>
              </w:rPr>
              <w:t>8.</w:t>
            </w:r>
            <w:r>
              <w:rPr>
                <w:rFonts w:ascii="仿宋_GB2312" w:hAnsi="仿宋_GB2312" w:cs="仿宋_GB2312" w:eastAsia="仿宋_GB2312"/>
                <w:sz w:val="24"/>
              </w:rPr>
              <w:t>最大脉冲宽度：</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00μs</w:t>
            </w:r>
            <w:r>
              <w:rPr>
                <w:rFonts w:ascii="仿宋_GB2312" w:hAnsi="仿宋_GB2312" w:cs="仿宋_GB2312" w:eastAsia="仿宋_GB2312"/>
                <w:sz w:val="24"/>
                <w:color w:val="000000"/>
              </w:rPr>
              <w:t>）</w:t>
            </w:r>
            <w:r>
              <w:rPr>
                <w:rFonts w:ascii="仿宋_GB2312" w:hAnsi="仿宋_GB2312" w:cs="仿宋_GB2312" w:eastAsia="仿宋_GB2312"/>
                <w:sz w:val="24"/>
              </w:rPr>
              <w:t>；</w:t>
            </w:r>
          </w:p>
          <w:p>
            <w:pPr>
              <w:pStyle w:val="null3"/>
              <w:spacing w:before="150" w:after="150"/>
              <w:jc w:val="both"/>
            </w:pPr>
            <w:r>
              <w:rPr>
                <w:rFonts w:ascii="仿宋_GB2312" w:hAnsi="仿宋_GB2312" w:cs="仿宋_GB2312" w:eastAsia="仿宋_GB2312"/>
                <w:sz w:val="24"/>
              </w:rPr>
              <w:t>9.</w:t>
            </w:r>
            <w:r>
              <w:rPr>
                <w:rFonts w:ascii="仿宋_GB2312" w:hAnsi="仿宋_GB2312" w:cs="仿宋_GB2312" w:eastAsia="仿宋_GB2312"/>
                <w:sz w:val="24"/>
              </w:rPr>
              <w:t>输出电流：</w:t>
            </w:r>
            <w:r>
              <w:rPr>
                <w:rFonts w:ascii="仿宋_GB2312" w:hAnsi="仿宋_GB2312" w:cs="仿宋_GB2312" w:eastAsia="仿宋_GB2312"/>
                <w:sz w:val="24"/>
              </w:rPr>
              <w:t>0-100 mA</w:t>
            </w:r>
            <w:r>
              <w:rPr>
                <w:rFonts w:ascii="仿宋_GB2312" w:hAnsi="仿宋_GB2312" w:cs="仿宋_GB2312" w:eastAsia="仿宋_GB2312"/>
                <w:sz w:val="24"/>
              </w:rPr>
              <w:t>；</w:t>
            </w:r>
          </w:p>
          <w:p>
            <w:pPr>
              <w:pStyle w:val="null3"/>
              <w:spacing w:before="150" w:after="150"/>
              <w:jc w:val="both"/>
            </w:pPr>
            <w:r>
              <w:rPr>
                <w:rFonts w:ascii="仿宋_GB2312" w:hAnsi="仿宋_GB2312" w:cs="仿宋_GB2312" w:eastAsia="仿宋_GB2312"/>
                <w:sz w:val="24"/>
              </w:rPr>
              <w:t>10.</w:t>
            </w:r>
            <w:r>
              <w:rPr>
                <w:rFonts w:ascii="仿宋_GB2312" w:hAnsi="仿宋_GB2312" w:cs="仿宋_GB2312" w:eastAsia="仿宋_GB2312"/>
                <w:sz w:val="24"/>
              </w:rPr>
              <w:t>肌电测量范围</w:t>
            </w:r>
            <w:r>
              <w:rPr>
                <w:rFonts w:ascii="仿宋_GB2312" w:hAnsi="仿宋_GB2312" w:cs="仿宋_GB2312" w:eastAsia="仿宋_GB2312"/>
                <w:sz w:val="24"/>
              </w:rPr>
              <w:t>：</w:t>
            </w:r>
            <w:r>
              <w:rPr>
                <w:rFonts w:ascii="仿宋_GB2312" w:hAnsi="仿宋_GB2312" w:cs="仿宋_GB2312" w:eastAsia="仿宋_GB2312"/>
                <w:sz w:val="24"/>
              </w:rPr>
              <w:t>1μV～900μV</w:t>
            </w:r>
            <w:r>
              <w:rPr>
                <w:rFonts w:ascii="仿宋_GB2312" w:hAnsi="仿宋_GB2312" w:cs="仿宋_GB2312" w:eastAsia="仿宋_GB2312"/>
                <w:sz w:val="24"/>
              </w:rPr>
              <w:t>；</w:t>
            </w:r>
          </w:p>
          <w:p>
            <w:pPr>
              <w:pStyle w:val="null3"/>
              <w:spacing w:before="150" w:after="150"/>
              <w:jc w:val="both"/>
            </w:pPr>
            <w:r>
              <w:rPr>
                <w:rFonts w:ascii="仿宋_GB2312" w:hAnsi="仿宋_GB2312" w:cs="仿宋_GB2312" w:eastAsia="仿宋_GB2312"/>
                <w:sz w:val="24"/>
              </w:rPr>
              <w:t>11.</w:t>
            </w:r>
            <w:r>
              <w:rPr>
                <w:rFonts w:ascii="仿宋_GB2312" w:hAnsi="仿宋_GB2312" w:cs="仿宋_GB2312" w:eastAsia="仿宋_GB2312"/>
                <w:sz w:val="24"/>
              </w:rPr>
              <w:t>主机带有功能地接口设计；</w:t>
            </w:r>
          </w:p>
          <w:p>
            <w:pPr>
              <w:pStyle w:val="null3"/>
              <w:spacing w:before="150" w:after="150"/>
              <w:jc w:val="both"/>
            </w:pPr>
            <w:r>
              <w:rPr>
                <w:rFonts w:ascii="仿宋_GB2312" w:hAnsi="仿宋_GB2312" w:cs="仿宋_GB2312" w:eastAsia="仿宋_GB2312"/>
                <w:sz w:val="24"/>
              </w:rPr>
              <w:t>12.</w:t>
            </w:r>
            <w:r>
              <w:rPr>
                <w:rFonts w:ascii="仿宋_GB2312" w:hAnsi="仿宋_GB2312" w:cs="仿宋_GB2312" w:eastAsia="仿宋_GB2312"/>
                <w:sz w:val="24"/>
              </w:rPr>
              <w:t>标配</w:t>
            </w:r>
            <w:r>
              <w:rPr>
                <w:rFonts w:ascii="仿宋_GB2312" w:hAnsi="仿宋_GB2312" w:cs="仿宋_GB2312" w:eastAsia="仿宋_GB2312"/>
                <w:sz w:val="24"/>
              </w:rPr>
              <w:t>音响</w:t>
            </w:r>
            <w:r>
              <w:rPr>
                <w:rFonts w:ascii="仿宋_GB2312" w:hAnsi="仿宋_GB2312" w:cs="仿宋_GB2312" w:eastAsia="仿宋_GB2312"/>
                <w:sz w:val="24"/>
              </w:rPr>
              <w:t>和头戴式耳机双声音</w:t>
            </w:r>
            <w:r>
              <w:rPr>
                <w:rFonts w:ascii="仿宋_GB2312" w:hAnsi="仿宋_GB2312" w:cs="仿宋_GB2312" w:eastAsia="仿宋_GB2312"/>
                <w:sz w:val="24"/>
              </w:rPr>
              <w:t>反馈模式；</w:t>
            </w:r>
          </w:p>
          <w:p>
            <w:pPr>
              <w:pStyle w:val="null3"/>
              <w:spacing w:before="150" w:after="150"/>
              <w:jc w:val="both"/>
            </w:pPr>
            <w:r>
              <w:rPr>
                <w:rFonts w:ascii="仿宋_GB2312" w:hAnsi="仿宋_GB2312" w:cs="仿宋_GB2312" w:eastAsia="仿宋_GB2312"/>
                <w:sz w:val="24"/>
              </w:rPr>
              <w:t>13.</w:t>
            </w:r>
            <w:r>
              <w:rPr>
                <w:rFonts w:ascii="仿宋_GB2312" w:hAnsi="仿宋_GB2312" w:cs="仿宋_GB2312" w:eastAsia="仿宋_GB2312"/>
                <w:sz w:val="24"/>
              </w:rPr>
              <w:t>标配打印机。</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配置中必须包含一次性使用无菌阴道电极。</w:t>
            </w:r>
          </w:p>
          <w:p>
            <w:pPr>
              <w:pStyle w:val="null3"/>
              <w:spacing w:before="150" w:after="150"/>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软件功能</w:t>
            </w:r>
            <w:r>
              <w:rPr>
                <w:rFonts w:ascii="仿宋_GB2312" w:hAnsi="仿宋_GB2312" w:cs="仿宋_GB2312" w:eastAsia="仿宋_GB2312"/>
                <w:sz w:val="24"/>
                <w:b/>
              </w:rPr>
              <w:t>：</w:t>
            </w:r>
          </w:p>
          <w:p>
            <w:pPr>
              <w:pStyle w:val="null3"/>
              <w:spacing w:before="150" w:after="15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标配一分钟评估、三分钟评估、七分钟标准评估等多种评估模式；</w:t>
            </w:r>
          </w:p>
          <w:p>
            <w:pPr>
              <w:pStyle w:val="null3"/>
              <w:spacing w:before="150" w:after="15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七分钟评估（盆底标准肌电评估）</w:t>
            </w:r>
            <w:r>
              <w:rPr>
                <w:rFonts w:ascii="仿宋_GB2312" w:hAnsi="仿宋_GB2312" w:cs="仿宋_GB2312" w:eastAsia="仿宋_GB2312"/>
                <w:sz w:val="24"/>
              </w:rPr>
              <w:t>具有基于大数据建立的盆底常模类型，可智能解读评估报告</w:t>
            </w:r>
            <w:r>
              <w:rPr>
                <w:rFonts w:ascii="仿宋_GB2312" w:hAnsi="仿宋_GB2312" w:cs="仿宋_GB2312" w:eastAsia="仿宋_GB2312"/>
                <w:sz w:val="24"/>
              </w:rPr>
              <w:t>≥</w:t>
            </w:r>
            <w:r>
              <w:rPr>
                <w:rFonts w:ascii="仿宋_GB2312" w:hAnsi="仿宋_GB2312" w:cs="仿宋_GB2312" w:eastAsia="仿宋_GB2312"/>
                <w:sz w:val="24"/>
              </w:rPr>
              <w:t>五种评估结果</w:t>
            </w:r>
            <w:r>
              <w:rPr>
                <w:rFonts w:ascii="仿宋_GB2312" w:hAnsi="仿宋_GB2312" w:cs="仿宋_GB2312" w:eastAsia="仿宋_GB2312"/>
                <w:sz w:val="20"/>
                <w:color w:val="000000"/>
              </w:rPr>
              <w:t>；</w:t>
            </w:r>
          </w:p>
          <w:p>
            <w:pPr>
              <w:pStyle w:val="null3"/>
              <w:spacing w:before="150" w:after="150"/>
            </w:pPr>
            <w:r>
              <w:rPr>
                <w:rFonts w:ascii="仿宋_GB2312" w:hAnsi="仿宋_GB2312" w:cs="仿宋_GB2312" w:eastAsia="仿宋_GB2312"/>
                <w:sz w:val="24"/>
              </w:rPr>
              <w:t>3.</w:t>
            </w:r>
            <w:r>
              <w:rPr>
                <w:rFonts w:ascii="仿宋_GB2312" w:hAnsi="仿宋_GB2312" w:cs="仿宋_GB2312" w:eastAsia="仿宋_GB2312"/>
                <w:sz w:val="24"/>
              </w:rPr>
              <w:t>结合临床路径管理规范，以</w:t>
            </w:r>
            <w:r>
              <w:rPr>
                <w:rFonts w:ascii="仿宋_GB2312" w:hAnsi="仿宋_GB2312" w:cs="仿宋_GB2312" w:eastAsia="仿宋_GB2312"/>
                <w:sz w:val="24"/>
              </w:rPr>
              <w:t>七分钟</w:t>
            </w:r>
            <w:r>
              <w:rPr>
                <w:rFonts w:ascii="仿宋_GB2312" w:hAnsi="仿宋_GB2312" w:cs="仿宋_GB2312" w:eastAsia="仿宋_GB2312"/>
                <w:sz w:val="24"/>
              </w:rPr>
              <w:t>评估的结果和盆底专科病历信息的患者症状为依据，</w:t>
            </w:r>
          </w:p>
          <w:p>
            <w:pPr>
              <w:pStyle w:val="null3"/>
              <w:spacing w:before="150" w:after="150"/>
            </w:pPr>
            <w:r>
              <w:rPr>
                <w:rFonts w:ascii="仿宋_GB2312" w:hAnsi="仿宋_GB2312" w:cs="仿宋_GB2312" w:eastAsia="仿宋_GB2312"/>
                <w:sz w:val="24"/>
              </w:rPr>
              <w:t>智能推荐个性化的处方治疗方案，一键开启治疗</w:t>
            </w:r>
            <w:r>
              <w:rPr>
                <w:rFonts w:ascii="仿宋_GB2312" w:hAnsi="仿宋_GB2312" w:cs="仿宋_GB2312" w:eastAsia="仿宋_GB2312"/>
                <w:sz w:val="24"/>
              </w:rPr>
              <w:t>；</w:t>
            </w:r>
          </w:p>
          <w:p>
            <w:pPr>
              <w:pStyle w:val="null3"/>
              <w:spacing w:before="150" w:after="150"/>
            </w:pPr>
            <w:r>
              <w:rPr>
                <w:rFonts w:ascii="仿宋_GB2312" w:hAnsi="仿宋_GB2312" w:cs="仿宋_GB2312" w:eastAsia="仿宋_GB2312"/>
                <w:sz w:val="24"/>
              </w:rPr>
              <w:t>4.</w:t>
            </w:r>
            <w:r>
              <w:rPr>
                <w:rFonts w:ascii="仿宋_GB2312" w:hAnsi="仿宋_GB2312" w:cs="仿宋_GB2312" w:eastAsia="仿宋_GB2312"/>
                <w:sz w:val="24"/>
              </w:rPr>
              <w:t>在评估正式开始可进行预览及盆底肌收缩放松训练；</w:t>
            </w:r>
          </w:p>
          <w:p>
            <w:pPr>
              <w:pStyle w:val="null3"/>
              <w:spacing w:before="150" w:after="150"/>
            </w:pPr>
            <w:r>
              <w:rPr>
                <w:rFonts w:ascii="仿宋_GB2312" w:hAnsi="仿宋_GB2312" w:cs="仿宋_GB2312" w:eastAsia="仿宋_GB2312"/>
                <w:sz w:val="24"/>
              </w:rPr>
              <w:t>5.</w:t>
            </w:r>
            <w:r>
              <w:rPr>
                <w:rFonts w:ascii="仿宋_GB2312" w:hAnsi="仿宋_GB2312" w:cs="仿宋_GB2312" w:eastAsia="仿宋_GB2312"/>
                <w:sz w:val="24"/>
              </w:rPr>
              <w:t>可在评估后自动生成报告，报告可随时查看并回放评估过程</w:t>
            </w:r>
            <w:r>
              <w:rPr>
                <w:rFonts w:ascii="仿宋_GB2312" w:hAnsi="仿宋_GB2312" w:cs="仿宋_GB2312" w:eastAsia="仿宋_GB2312"/>
                <w:sz w:val="24"/>
              </w:rPr>
              <w:t>，</w:t>
            </w:r>
            <w:r>
              <w:rPr>
                <w:rFonts w:ascii="仿宋_GB2312" w:hAnsi="仿宋_GB2312" w:cs="仿宋_GB2312" w:eastAsia="仿宋_GB2312"/>
                <w:sz w:val="24"/>
              </w:rPr>
              <w:t>即时打印报告；</w:t>
            </w:r>
          </w:p>
          <w:p>
            <w:pPr>
              <w:pStyle w:val="null3"/>
              <w:spacing w:before="150" w:after="150"/>
            </w:pPr>
            <w:r>
              <w:rPr>
                <w:rFonts w:ascii="仿宋_GB2312" w:hAnsi="仿宋_GB2312" w:cs="仿宋_GB2312" w:eastAsia="仿宋_GB2312"/>
                <w:sz w:val="24"/>
              </w:rPr>
              <w:t>6.</w:t>
            </w:r>
            <w:r>
              <w:rPr>
                <w:rFonts w:ascii="仿宋_GB2312" w:hAnsi="仿宋_GB2312" w:cs="仿宋_GB2312" w:eastAsia="仿宋_GB2312"/>
                <w:sz w:val="24"/>
              </w:rPr>
              <w:t>神经肌肉电刺激，内置多种不同的盆底治疗方案，且可自定义设定不同的参数，包括频</w:t>
            </w:r>
          </w:p>
          <w:p>
            <w:pPr>
              <w:pStyle w:val="null3"/>
              <w:spacing w:before="150" w:after="150"/>
            </w:pPr>
            <w:r>
              <w:rPr>
                <w:rFonts w:ascii="仿宋_GB2312" w:hAnsi="仿宋_GB2312" w:cs="仿宋_GB2312" w:eastAsia="仿宋_GB2312"/>
                <w:sz w:val="24"/>
              </w:rPr>
              <w:t>率、波宽、电流通断</w:t>
            </w:r>
            <w:r>
              <w:rPr>
                <w:rFonts w:ascii="仿宋_GB2312" w:hAnsi="仿宋_GB2312" w:cs="仿宋_GB2312" w:eastAsia="仿宋_GB2312"/>
                <w:sz w:val="24"/>
              </w:rPr>
              <w:t>比时间</w:t>
            </w:r>
            <w:r>
              <w:rPr>
                <w:rFonts w:ascii="仿宋_GB2312" w:hAnsi="仿宋_GB2312" w:cs="仿宋_GB2312" w:eastAsia="仿宋_GB2312"/>
                <w:sz w:val="24"/>
              </w:rPr>
              <w:t>等</w:t>
            </w:r>
            <w:r>
              <w:rPr>
                <w:rFonts w:ascii="仿宋_GB2312" w:hAnsi="仿宋_GB2312" w:cs="仿宋_GB2312" w:eastAsia="仿宋_GB2312"/>
                <w:sz w:val="24"/>
              </w:rPr>
              <w:t>；</w:t>
            </w:r>
          </w:p>
          <w:p>
            <w:pPr>
              <w:pStyle w:val="null3"/>
              <w:spacing w:before="150" w:after="150"/>
            </w:pPr>
            <w:r>
              <w:rPr>
                <w:rFonts w:ascii="仿宋_GB2312" w:hAnsi="仿宋_GB2312" w:cs="仿宋_GB2312" w:eastAsia="仿宋_GB2312"/>
                <w:sz w:val="24"/>
              </w:rPr>
              <w:t>7.</w:t>
            </w:r>
            <w:r>
              <w:rPr>
                <w:rFonts w:ascii="仿宋_GB2312" w:hAnsi="仿宋_GB2312" w:cs="仿宋_GB2312" w:eastAsia="仿宋_GB2312"/>
                <w:sz w:val="24"/>
              </w:rPr>
              <w:t>具有肌电触发电刺激模式，可自动和手动设定阈值，也可自定义设定不同的参数；</w:t>
            </w:r>
          </w:p>
          <w:p>
            <w:pPr>
              <w:pStyle w:val="null3"/>
              <w:spacing w:before="150" w:after="150"/>
            </w:pPr>
            <w:r>
              <w:rPr>
                <w:rFonts w:ascii="仿宋_GB2312" w:hAnsi="仿宋_GB2312" w:cs="仿宋_GB2312" w:eastAsia="仿宋_GB2312"/>
                <w:sz w:val="24"/>
              </w:rPr>
              <w:t>8.</w:t>
            </w:r>
            <w:r>
              <w:rPr>
                <w:rFonts w:ascii="仿宋_GB2312" w:hAnsi="仿宋_GB2312" w:cs="仿宋_GB2312" w:eastAsia="仿宋_GB2312"/>
                <w:sz w:val="24"/>
              </w:rPr>
              <w:t>具有多媒体生物反馈训练，通过音乐和动画反馈进行肌力训练；</w:t>
            </w:r>
          </w:p>
          <w:p>
            <w:pPr>
              <w:pStyle w:val="null3"/>
              <w:spacing w:before="150" w:after="150"/>
            </w:pPr>
            <w:r>
              <w:rPr>
                <w:rFonts w:ascii="仿宋_GB2312" w:hAnsi="仿宋_GB2312" w:cs="仿宋_GB2312" w:eastAsia="仿宋_GB2312"/>
                <w:sz w:val="24"/>
              </w:rPr>
              <w:t>9.</w:t>
            </w:r>
            <w:r>
              <w:rPr>
                <w:rFonts w:ascii="仿宋_GB2312" w:hAnsi="仿宋_GB2312" w:cs="仿宋_GB2312" w:eastAsia="仿宋_GB2312"/>
                <w:sz w:val="24"/>
              </w:rPr>
              <w:t>标准的、进阶式</w:t>
            </w:r>
            <w:r>
              <w:rPr>
                <w:rFonts w:ascii="仿宋_GB2312" w:hAnsi="仿宋_GB2312" w:cs="仿宋_GB2312" w:eastAsia="仿宋_GB2312"/>
                <w:sz w:val="24"/>
              </w:rPr>
              <w:t>Kegel</w:t>
            </w:r>
            <w:r>
              <w:rPr>
                <w:rFonts w:ascii="仿宋_GB2312" w:hAnsi="仿宋_GB2312" w:cs="仿宋_GB2312" w:eastAsia="仿宋_GB2312"/>
                <w:sz w:val="24"/>
              </w:rPr>
              <w:t>训练方案：针对不同盆底功能障碍程度的患者选择针对性的训练；</w:t>
            </w:r>
          </w:p>
          <w:p>
            <w:pPr>
              <w:pStyle w:val="null3"/>
              <w:spacing w:before="150" w:after="150"/>
            </w:pPr>
            <w:r>
              <w:rPr>
                <w:rFonts w:ascii="仿宋_GB2312" w:hAnsi="仿宋_GB2312" w:cs="仿宋_GB2312" w:eastAsia="仿宋_GB2312"/>
                <w:sz w:val="24"/>
              </w:rPr>
              <w:t>10.</w:t>
            </w:r>
            <w:r>
              <w:rPr>
                <w:rFonts w:ascii="仿宋_GB2312" w:hAnsi="仿宋_GB2312" w:cs="仿宋_GB2312" w:eastAsia="仿宋_GB2312"/>
                <w:sz w:val="24"/>
              </w:rPr>
              <w:t>具有放松训练，运用声音、图像、动画等方式指导患者进行肌肉放松能力的训练；</w:t>
            </w:r>
          </w:p>
          <w:p>
            <w:pPr>
              <w:pStyle w:val="null3"/>
              <w:spacing w:before="150" w:after="150"/>
            </w:pPr>
            <w:r>
              <w:rPr>
                <w:rFonts w:ascii="仿宋_GB2312" w:hAnsi="仿宋_GB2312" w:cs="仿宋_GB2312" w:eastAsia="仿宋_GB2312"/>
                <w:sz w:val="24"/>
              </w:rPr>
              <w:t>11.</w:t>
            </w:r>
            <w:r>
              <w:rPr>
                <w:rFonts w:ascii="仿宋_GB2312" w:hAnsi="仿宋_GB2312" w:cs="仿宋_GB2312" w:eastAsia="仿宋_GB2312"/>
                <w:sz w:val="24"/>
              </w:rPr>
              <w:t>具有控尿反射</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spacing w:before="150" w:after="150"/>
            </w:pPr>
            <w:r>
              <w:rPr>
                <w:rFonts w:ascii="仿宋_GB2312" w:hAnsi="仿宋_GB2312" w:cs="仿宋_GB2312" w:eastAsia="仿宋_GB2312"/>
                <w:sz w:val="24"/>
              </w:rPr>
              <w:t>12.</w:t>
            </w:r>
            <w:r>
              <w:rPr>
                <w:rFonts w:ascii="仿宋_GB2312" w:hAnsi="仿宋_GB2312" w:cs="仿宋_GB2312" w:eastAsia="仿宋_GB2312"/>
                <w:sz w:val="24"/>
              </w:rPr>
              <w:t>游戏训练：通过多种趣味性的游戏对盆底肌肉的肌力、耐力和精准性训练；</w:t>
            </w:r>
          </w:p>
          <w:p>
            <w:pPr>
              <w:pStyle w:val="null3"/>
              <w:spacing w:before="150" w:after="150"/>
            </w:pPr>
            <w:r>
              <w:rPr>
                <w:rFonts w:ascii="仿宋_GB2312" w:hAnsi="仿宋_GB2312" w:cs="仿宋_GB2312" w:eastAsia="仿宋_GB2312"/>
                <w:sz w:val="24"/>
              </w:rPr>
              <w:t>13.</w:t>
            </w:r>
            <w:r>
              <w:rPr>
                <w:rFonts w:ascii="仿宋_GB2312" w:hAnsi="仿宋_GB2312" w:cs="仿宋_GB2312" w:eastAsia="仿宋_GB2312"/>
                <w:sz w:val="24"/>
              </w:rPr>
              <w:t>具备处方治疗模式，此模式下，可预置</w:t>
            </w:r>
            <w:r>
              <w:rPr>
                <w:rFonts w:ascii="仿宋_GB2312" w:hAnsi="仿宋_GB2312" w:cs="仿宋_GB2312" w:eastAsia="仿宋_GB2312"/>
                <w:sz w:val="24"/>
              </w:rPr>
              <w:t>Kegel</w:t>
            </w:r>
            <w:r>
              <w:rPr>
                <w:rFonts w:ascii="仿宋_GB2312" w:hAnsi="仿宋_GB2312" w:cs="仿宋_GB2312" w:eastAsia="仿宋_GB2312"/>
                <w:sz w:val="24"/>
              </w:rPr>
              <w:t>训练及生物反馈训练等相关治疗步骤程序，</w:t>
            </w:r>
          </w:p>
          <w:p>
            <w:pPr>
              <w:pStyle w:val="null3"/>
              <w:spacing w:before="150" w:after="150"/>
            </w:pPr>
            <w:r>
              <w:rPr>
                <w:rFonts w:ascii="仿宋_GB2312" w:hAnsi="仿宋_GB2312" w:cs="仿宋_GB2312" w:eastAsia="仿宋_GB2312"/>
                <w:sz w:val="24"/>
              </w:rPr>
              <w:t>一键无间断完成整个治疗过程；</w:t>
            </w:r>
          </w:p>
          <w:p>
            <w:pPr>
              <w:pStyle w:val="null3"/>
              <w:spacing w:before="150" w:after="150"/>
            </w:pPr>
            <w:r>
              <w:rPr>
                <w:rFonts w:ascii="仿宋_GB2312" w:hAnsi="仿宋_GB2312" w:cs="仿宋_GB2312" w:eastAsia="仿宋_GB2312"/>
                <w:sz w:val="24"/>
              </w:rPr>
              <w:t>14.</w:t>
            </w:r>
            <w:r>
              <w:rPr>
                <w:rFonts w:ascii="仿宋_GB2312" w:hAnsi="仿宋_GB2312" w:cs="仿宋_GB2312" w:eastAsia="仿宋_GB2312"/>
                <w:sz w:val="24"/>
              </w:rPr>
              <w:t>界面可记录患者基本信息，可记录患者病史采集，具有病员管理功能，实现病历添</w:t>
            </w:r>
          </w:p>
          <w:p>
            <w:pPr>
              <w:pStyle w:val="null3"/>
              <w:spacing w:before="150" w:after="150"/>
            </w:pPr>
            <w:r>
              <w:rPr>
                <w:rFonts w:ascii="仿宋_GB2312" w:hAnsi="仿宋_GB2312" w:cs="仿宋_GB2312" w:eastAsia="仿宋_GB2312"/>
                <w:sz w:val="24"/>
              </w:rPr>
              <w:t>加、修改、删除、查询、导入、导出等操作；</w:t>
            </w:r>
          </w:p>
          <w:p>
            <w:pPr>
              <w:pStyle w:val="null3"/>
              <w:spacing w:before="150" w:after="150"/>
            </w:pPr>
            <w:r>
              <w:rPr>
                <w:rFonts w:ascii="仿宋_GB2312" w:hAnsi="仿宋_GB2312" w:cs="仿宋_GB2312" w:eastAsia="仿宋_GB2312"/>
                <w:sz w:val="24"/>
              </w:rPr>
              <w:t>15.</w:t>
            </w:r>
            <w:r>
              <w:rPr>
                <w:rFonts w:ascii="仿宋_GB2312" w:hAnsi="仿宋_GB2312" w:cs="仿宋_GB2312" w:eastAsia="仿宋_GB2312"/>
                <w:sz w:val="24"/>
              </w:rPr>
              <w:t>全程语音指导，便于患者理解正确的收缩放松肌肉，实现准确评估和有效治疗</w:t>
            </w:r>
            <w:r>
              <w:rPr>
                <w:rFonts w:ascii="仿宋_GB2312" w:hAnsi="仿宋_GB2312" w:cs="仿宋_GB2312" w:eastAsia="仿宋_GB2312"/>
                <w:sz w:val="24"/>
              </w:rPr>
              <w:t>;</w:t>
            </w:r>
          </w:p>
          <w:p>
            <w:pPr>
              <w:pStyle w:val="null3"/>
              <w:spacing w:before="150" w:after="150"/>
            </w:pPr>
            <w:r>
              <w:rPr>
                <w:rFonts w:ascii="仿宋_GB2312" w:hAnsi="仿宋_GB2312" w:cs="仿宋_GB2312" w:eastAsia="仿宋_GB2312"/>
                <w:sz w:val="24"/>
              </w:rPr>
              <w:t>信息管理功能，可对数据进行查看、修改、查找、打印等操作，可进行工作量统计。</w:t>
            </w:r>
          </w:p>
          <w:p>
            <w:pPr>
              <w:pStyle w:val="null3"/>
              <w:spacing w:before="150" w:after="150"/>
            </w:pPr>
            <w:r>
              <w:rPr>
                <w:rFonts w:ascii="仿宋_GB2312" w:hAnsi="仿宋_GB2312" w:cs="仿宋_GB2312" w:eastAsia="仿宋_GB2312"/>
                <w:sz w:val="24"/>
              </w:rPr>
              <w:t>16.</w:t>
            </w:r>
            <w:r>
              <w:rPr>
                <w:rFonts w:ascii="仿宋_GB2312" w:hAnsi="仿宋_GB2312" w:cs="仿宋_GB2312" w:eastAsia="仿宋_GB2312"/>
                <w:sz w:val="24"/>
              </w:rPr>
              <w:t>信息管理功能，可对数据进行查看、修改、查找、打印等操作，可进行工作量统计。</w:t>
            </w:r>
          </w:p>
          <w:p>
            <w:pPr>
              <w:pStyle w:val="null3"/>
              <w:spacing w:before="150" w:after="150"/>
            </w:pPr>
            <w:r>
              <w:rPr>
                <w:rFonts w:ascii="仿宋_GB2312" w:hAnsi="仿宋_GB2312" w:cs="仿宋_GB2312" w:eastAsia="仿宋_GB2312"/>
                <w:sz w:val="24"/>
                <w:b/>
              </w:rPr>
              <w:t>牙科综合治疗机（种植机、种植牙椅）参数</w:t>
            </w:r>
          </w:p>
          <w:p>
            <w:pPr>
              <w:pStyle w:val="null3"/>
              <w:spacing w:before="150" w:after="150"/>
            </w:pPr>
            <w:r>
              <w:rPr>
                <w:rFonts w:ascii="仿宋_GB2312" w:hAnsi="仿宋_GB2312" w:cs="仿宋_GB2312" w:eastAsia="仿宋_GB2312"/>
                <w:sz w:val="24"/>
                <w:b/>
              </w:rPr>
              <w:t>（一）牙科种植机主要技术参数：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可视化种植图案界面，触摸操作可设定和保存参数。</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能</w:t>
            </w:r>
            <w:r>
              <w:rPr>
                <w:rFonts w:ascii="仿宋_GB2312" w:hAnsi="仿宋_GB2312" w:cs="仿宋_GB2312" w:eastAsia="仿宋_GB2312"/>
                <w:sz w:val="24"/>
                <w:color w:val="000000"/>
              </w:rPr>
              <w:t>适配多种转速比的机头</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电机扭矩保证终端输出达</w:t>
            </w:r>
            <w:r>
              <w:rPr>
                <w:rFonts w:ascii="仿宋_GB2312" w:hAnsi="仿宋_GB2312" w:cs="仿宋_GB2312" w:eastAsia="仿宋_GB2312"/>
                <w:sz w:val="24"/>
                <w:color w:val="000000"/>
              </w:rPr>
              <w:t>80N</w:t>
            </w:r>
            <w:r>
              <w:rPr>
                <w:rFonts w:ascii="仿宋_GB2312" w:hAnsi="仿宋_GB2312" w:cs="仿宋_GB2312" w:eastAsia="仿宋_GB2312"/>
                <w:sz w:val="24"/>
                <w:color w:val="000000"/>
              </w:rPr>
              <w:t>•</w:t>
            </w:r>
            <w:r>
              <w:rPr>
                <w:rFonts w:ascii="仿宋_GB2312" w:hAnsi="仿宋_GB2312" w:cs="仿宋_GB2312" w:eastAsia="仿宋_GB2312"/>
                <w:sz w:val="24"/>
                <w:color w:val="000000"/>
              </w:rPr>
              <w:t>cm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马达空载转速：</w:t>
            </w:r>
            <w:r>
              <w:rPr>
                <w:rFonts w:ascii="仿宋_GB2312" w:hAnsi="仿宋_GB2312" w:cs="仿宋_GB2312" w:eastAsia="仿宋_GB2312"/>
                <w:sz w:val="24"/>
                <w:color w:val="000000"/>
              </w:rPr>
              <w:t xml:space="preserve">300~40,000 </w:t>
            </w:r>
            <w:r>
              <w:rPr>
                <w:rFonts w:ascii="仿宋_GB2312" w:hAnsi="仿宋_GB2312" w:cs="仿宋_GB2312" w:eastAsia="仿宋_GB2312"/>
                <w:sz w:val="24"/>
                <w:color w:val="000000"/>
              </w:rPr>
              <w:t>r/min</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最大水</w:t>
            </w:r>
            <w:r>
              <w:rPr>
                <w:rFonts w:ascii="仿宋_GB2312" w:hAnsi="仿宋_GB2312" w:cs="仿宋_GB2312" w:eastAsia="仿宋_GB2312"/>
                <w:sz w:val="24"/>
                <w:color w:val="000000"/>
              </w:rPr>
              <w:t>流量：</w:t>
            </w:r>
            <w:r>
              <w:rPr>
                <w:rFonts w:ascii="仿宋_GB2312" w:hAnsi="仿宋_GB2312" w:cs="仿宋_GB2312" w:eastAsia="仿宋_GB2312"/>
                <w:sz w:val="24"/>
                <w:color w:val="000000"/>
              </w:rPr>
              <w:t>≥</w:t>
            </w:r>
            <w:r>
              <w:rPr>
                <w:rFonts w:ascii="仿宋_GB2312" w:hAnsi="仿宋_GB2312" w:cs="仿宋_GB2312" w:eastAsia="仿宋_GB2312"/>
                <w:sz w:val="24"/>
                <w:color w:val="000000"/>
              </w:rPr>
              <w:t>80</w:t>
            </w:r>
            <w:r>
              <w:rPr>
                <w:rFonts w:ascii="仿宋_GB2312" w:hAnsi="仿宋_GB2312" w:cs="仿宋_GB2312" w:eastAsia="仿宋_GB2312"/>
                <w:sz w:val="24"/>
                <w:color w:val="000000"/>
              </w:rPr>
              <w:t>m</w:t>
            </w:r>
            <w:r>
              <w:rPr>
                <w:rFonts w:ascii="仿宋_GB2312" w:hAnsi="仿宋_GB2312" w:cs="仿宋_GB2312" w:eastAsia="仿宋_GB2312"/>
                <w:sz w:val="24"/>
                <w:color w:val="000000"/>
              </w:rPr>
              <w:t>L</w:t>
            </w:r>
            <w:r>
              <w:rPr>
                <w:rFonts w:ascii="仿宋_GB2312" w:hAnsi="仿宋_GB2312" w:cs="仿宋_GB2312" w:eastAsia="仿宋_GB2312"/>
                <w:sz w:val="24"/>
                <w:color w:val="000000"/>
              </w:rPr>
              <w:t>/min</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多功能脚踏</w:t>
            </w:r>
            <w:r>
              <w:rPr>
                <w:rFonts w:ascii="仿宋_GB2312" w:hAnsi="仿宋_GB2312" w:cs="仿宋_GB2312" w:eastAsia="仿宋_GB2312"/>
                <w:sz w:val="24"/>
                <w:color w:val="000000"/>
              </w:rPr>
              <w:t>控制器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开机</w:t>
            </w:r>
            <w:r>
              <w:rPr>
                <w:rFonts w:ascii="仿宋_GB2312" w:hAnsi="仿宋_GB2312" w:cs="仿宋_GB2312" w:eastAsia="仿宋_GB2312"/>
                <w:sz w:val="24"/>
                <w:color w:val="000000"/>
              </w:rPr>
              <w:t>能</w:t>
            </w:r>
            <w:r>
              <w:rPr>
                <w:rFonts w:ascii="仿宋_GB2312" w:hAnsi="仿宋_GB2312" w:cs="仿宋_GB2312" w:eastAsia="仿宋_GB2312"/>
                <w:sz w:val="24"/>
                <w:color w:val="000000"/>
              </w:rPr>
              <w:t>自动进行扭力校准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具备故障自诊，自动保护功能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标配两把种植弯机头。</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使用年限：</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年。</w:t>
            </w:r>
          </w:p>
          <w:p>
            <w:pPr>
              <w:pStyle w:val="null3"/>
              <w:spacing w:before="150" w:after="150"/>
            </w:pPr>
            <w:r>
              <w:rPr>
                <w:rFonts w:ascii="仿宋_GB2312" w:hAnsi="仿宋_GB2312" w:cs="仿宋_GB2312" w:eastAsia="仿宋_GB2312"/>
                <w:sz w:val="24"/>
                <w:b/>
              </w:rPr>
              <w:t>（二）种植牙椅技术参数：</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电源电压：</w:t>
            </w:r>
            <w:r>
              <w:rPr>
                <w:rFonts w:ascii="仿宋_GB2312" w:hAnsi="仿宋_GB2312" w:cs="仿宋_GB2312" w:eastAsia="仿宋_GB2312"/>
                <w:sz w:val="24"/>
                <w:shd w:fill="FFFFFF" w:val="clear"/>
              </w:rPr>
              <w:t>220V-50HZ</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电机电压：</w:t>
            </w:r>
            <w:r>
              <w:rPr>
                <w:rFonts w:ascii="仿宋_GB2312" w:hAnsi="仿宋_GB2312" w:cs="仿宋_GB2312" w:eastAsia="仿宋_GB2312"/>
                <w:sz w:val="24"/>
                <w:shd w:fill="FFFFFF" w:val="clear"/>
              </w:rPr>
              <w:t xml:space="preserve">24V </w:t>
            </w:r>
          </w:p>
          <w:p>
            <w:pPr>
              <w:pStyle w:val="null3"/>
              <w:jc w:val="left"/>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水源水压：</w:t>
            </w:r>
            <w:r>
              <w:rPr>
                <w:rFonts w:ascii="仿宋_GB2312" w:hAnsi="仿宋_GB2312" w:cs="仿宋_GB2312" w:eastAsia="仿宋_GB2312"/>
                <w:sz w:val="24"/>
                <w:shd w:fill="FFFFFF" w:val="clear"/>
              </w:rPr>
              <w:t>0.2MPa～0.4MPa</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气源气压：</w:t>
            </w:r>
            <w:r>
              <w:rPr>
                <w:rFonts w:ascii="仿宋_GB2312" w:hAnsi="仿宋_GB2312" w:cs="仿宋_GB2312" w:eastAsia="仿宋_GB2312"/>
                <w:sz w:val="24"/>
                <w:shd w:fill="FFFFFF" w:val="clear"/>
              </w:rPr>
              <w:t>0.5MPa～0.8MPa</w:t>
            </w:r>
          </w:p>
          <w:p>
            <w:pPr>
              <w:pStyle w:val="null3"/>
              <w:jc w:val="left"/>
            </w:pPr>
            <w:r>
              <w:rPr>
                <w:rFonts w:ascii="仿宋_GB2312" w:hAnsi="仿宋_GB2312" w:cs="仿宋_GB2312" w:eastAsia="仿宋_GB2312"/>
                <w:sz w:val="24"/>
                <w:shd w:fill="FFFFFF" w:val="clear"/>
              </w:rPr>
              <w:t>5.输入功率：350VA</w:t>
            </w:r>
          </w:p>
          <w:p>
            <w:pPr>
              <w:pStyle w:val="null3"/>
              <w:ind w:firstLine="230"/>
              <w:jc w:val="left"/>
            </w:pPr>
            <w:r>
              <w:rPr>
                <w:rFonts w:ascii="仿宋_GB2312" w:hAnsi="仿宋_GB2312" w:cs="仿宋_GB2312" w:eastAsia="仿宋_GB2312"/>
                <w:sz w:val="23"/>
              </w:rPr>
              <w:t>一、</w:t>
            </w:r>
            <w:r>
              <w:rPr>
                <w:rFonts w:ascii="仿宋_GB2312" w:hAnsi="仿宋_GB2312" w:cs="仿宋_GB2312" w:eastAsia="仿宋_GB2312"/>
                <w:sz w:val="23"/>
              </w:rPr>
              <w:t>LED口腔专用手术冷光灯</w:t>
            </w:r>
          </w:p>
          <w:p>
            <w:pPr>
              <w:pStyle w:val="null3"/>
              <w:ind w:firstLine="230"/>
              <w:jc w:val="left"/>
            </w:pPr>
            <w:r>
              <w:rPr>
                <w:rFonts w:ascii="仿宋_GB2312" w:hAnsi="仿宋_GB2312" w:cs="仿宋_GB2312" w:eastAsia="仿宋_GB2312"/>
                <w:sz w:val="23"/>
              </w:rPr>
              <w:t>二、</w:t>
            </w:r>
            <w:r>
              <w:rPr>
                <w:rFonts w:ascii="仿宋_GB2312" w:hAnsi="仿宋_GB2312" w:cs="仿宋_GB2312" w:eastAsia="仿宋_GB2312"/>
                <w:sz w:val="23"/>
              </w:rPr>
              <w:t>最低椅位</w:t>
            </w:r>
            <w:r>
              <w:rPr>
                <w:rFonts w:ascii="仿宋_GB2312" w:hAnsi="仿宋_GB2312" w:cs="仿宋_GB2312" w:eastAsia="仿宋_GB2312"/>
                <w:sz w:val="23"/>
              </w:rPr>
              <w:t>≤</w:t>
            </w:r>
            <w:r>
              <w:rPr>
                <w:rFonts w:ascii="仿宋_GB2312" w:hAnsi="仿宋_GB2312" w:cs="仿宋_GB2312" w:eastAsia="仿宋_GB2312"/>
                <w:sz w:val="23"/>
              </w:rPr>
              <w:t>4</w:t>
            </w:r>
            <w:r>
              <w:rPr>
                <w:rFonts w:ascii="仿宋_GB2312" w:hAnsi="仿宋_GB2312" w:cs="仿宋_GB2312" w:eastAsia="仿宋_GB2312"/>
                <w:sz w:val="23"/>
              </w:rPr>
              <w:t>00</w:t>
            </w:r>
            <w:r>
              <w:rPr>
                <w:rFonts w:ascii="仿宋_GB2312" w:hAnsi="仿宋_GB2312" w:cs="仿宋_GB2312" w:eastAsia="仿宋_GB2312"/>
                <w:sz w:val="23"/>
              </w:rPr>
              <w:t>mm，最高椅位</w:t>
            </w:r>
            <w:r>
              <w:rPr>
                <w:rFonts w:ascii="仿宋_GB2312" w:hAnsi="仿宋_GB2312" w:cs="仿宋_GB2312" w:eastAsia="仿宋_GB2312"/>
                <w:sz w:val="23"/>
              </w:rPr>
              <w:t>≥</w:t>
            </w:r>
            <w:r>
              <w:rPr>
                <w:rFonts w:ascii="仿宋_GB2312" w:hAnsi="仿宋_GB2312" w:cs="仿宋_GB2312" w:eastAsia="仿宋_GB2312"/>
                <w:sz w:val="23"/>
              </w:rPr>
              <w:t>700mm；椅位载重量</w:t>
            </w:r>
            <w:r>
              <w:rPr>
                <w:rFonts w:ascii="仿宋_GB2312" w:hAnsi="仿宋_GB2312" w:cs="仿宋_GB2312" w:eastAsia="仿宋_GB2312"/>
                <w:sz w:val="23"/>
              </w:rPr>
              <w:t>≥</w:t>
            </w:r>
            <w:r>
              <w:rPr>
                <w:rFonts w:ascii="仿宋_GB2312" w:hAnsi="仿宋_GB2312" w:cs="仿宋_GB2312" w:eastAsia="仿宋_GB2312"/>
                <w:sz w:val="23"/>
              </w:rPr>
              <w:t>150kg；椅位升降速度≥15mm\s，座垫后倾角度≤10度；靠背运动0至70度。</w:t>
            </w:r>
          </w:p>
          <w:p>
            <w:pPr>
              <w:pStyle w:val="null3"/>
              <w:ind w:firstLine="230"/>
              <w:jc w:val="left"/>
            </w:pPr>
            <w:r>
              <w:rPr>
                <w:rFonts w:ascii="仿宋_GB2312" w:hAnsi="仿宋_GB2312" w:cs="仿宋_GB2312" w:eastAsia="仿宋_GB2312"/>
                <w:sz w:val="23"/>
              </w:rPr>
              <w:t>三、</w:t>
            </w:r>
            <w:r>
              <w:rPr>
                <w:rFonts w:ascii="仿宋_GB2312" w:hAnsi="仿宋_GB2312" w:cs="仿宋_GB2312" w:eastAsia="仿宋_GB2312"/>
                <w:sz w:val="23"/>
              </w:rPr>
              <w:t>可</w:t>
            </w:r>
            <w:r>
              <w:rPr>
                <w:rFonts w:ascii="仿宋_GB2312" w:hAnsi="仿宋_GB2312" w:cs="仿宋_GB2312" w:eastAsia="仿宋_GB2312"/>
                <w:sz w:val="23"/>
              </w:rPr>
              <w:t>180度移动箱体。</w:t>
            </w:r>
          </w:p>
          <w:p>
            <w:pPr>
              <w:pStyle w:val="null3"/>
              <w:ind w:firstLine="230"/>
              <w:jc w:val="left"/>
            </w:pPr>
            <w:r>
              <w:rPr>
                <w:rFonts w:ascii="仿宋_GB2312" w:hAnsi="仿宋_GB2312" w:cs="仿宋_GB2312" w:eastAsia="仿宋_GB2312"/>
                <w:sz w:val="23"/>
              </w:rPr>
              <w:t>四、定制超纤皮坐垫</w:t>
            </w:r>
          </w:p>
          <w:p>
            <w:pPr>
              <w:pStyle w:val="null3"/>
              <w:ind w:firstLine="230"/>
              <w:jc w:val="left"/>
            </w:pPr>
            <w:r>
              <w:rPr>
                <w:rFonts w:ascii="仿宋_GB2312" w:hAnsi="仿宋_GB2312" w:cs="仿宋_GB2312" w:eastAsia="仿宋_GB2312"/>
                <w:sz w:val="23"/>
              </w:rPr>
              <w:t>五、医师座椅，护士椅各一套</w:t>
            </w:r>
          </w:p>
          <w:p>
            <w:pPr>
              <w:pStyle w:val="null3"/>
              <w:ind w:firstLine="230"/>
              <w:jc w:val="left"/>
            </w:pPr>
            <w:r>
              <w:rPr>
                <w:rFonts w:ascii="仿宋_GB2312" w:hAnsi="仿宋_GB2312" w:cs="仿宋_GB2312" w:eastAsia="仿宋_GB2312"/>
                <w:sz w:val="23"/>
              </w:rPr>
              <w:t>六、使用年限</w:t>
            </w:r>
            <w:r>
              <w:rPr>
                <w:rFonts w:ascii="仿宋_GB2312" w:hAnsi="仿宋_GB2312" w:cs="仿宋_GB2312" w:eastAsia="仿宋_GB2312"/>
                <w:sz w:val="23"/>
              </w:rPr>
              <w:t>≥</w:t>
            </w:r>
            <w:r>
              <w:rPr>
                <w:rFonts w:ascii="仿宋_GB2312" w:hAnsi="仿宋_GB2312" w:cs="仿宋_GB2312" w:eastAsia="仿宋_GB2312"/>
                <w:sz w:val="23"/>
              </w:rPr>
              <w:t>10年</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供货期限</w:t>
            </w:r>
            <w:r>
              <w:rPr>
                <w:rFonts w:ascii="仿宋_GB2312" w:hAnsi="仿宋_GB2312" w:cs="仿宋_GB2312" w:eastAsia="仿宋_GB2312"/>
                <w:sz w:val="24"/>
              </w:rPr>
              <w:t>：</w:t>
            </w:r>
            <w:r>
              <w:rPr>
                <w:rFonts w:ascii="仿宋_GB2312" w:hAnsi="仿宋_GB2312" w:cs="仿宋_GB2312" w:eastAsia="仿宋_GB2312"/>
                <w:sz w:val="24"/>
              </w:rPr>
              <w:t>自合同签订之日起</w:t>
            </w:r>
            <w:r>
              <w:rPr>
                <w:rFonts w:ascii="仿宋_GB2312" w:hAnsi="仿宋_GB2312" w:cs="仿宋_GB2312" w:eastAsia="仿宋_GB2312"/>
                <w:sz w:val="24"/>
              </w:rPr>
              <w:t>10个日历日完成全部项目内容， 并交付采购单位验收合格。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、款项结算</w:t>
            </w:r>
          </w:p>
          <w:p>
            <w:pPr>
              <w:pStyle w:val="null3"/>
              <w:ind w:firstLine="480"/>
              <w:jc w:val="both"/>
            </w:pPr>
            <w:r>
              <w:rPr>
                <w:rFonts w:ascii="仿宋_GB2312" w:hAnsi="仿宋_GB2312" w:cs="仿宋_GB2312" w:eastAsia="仿宋_GB2312"/>
                <w:sz w:val="24"/>
              </w:rPr>
              <w:t>合同签订之后，设备安装并且经验收合格之后无任何质量问题不计息先付</w:t>
            </w:r>
            <w:r>
              <w:rPr>
                <w:rFonts w:ascii="仿宋_GB2312" w:hAnsi="仿宋_GB2312" w:cs="仿宋_GB2312" w:eastAsia="仿宋_GB2312"/>
                <w:sz w:val="24"/>
              </w:rPr>
              <w:t>95%,设备运行一年后无质量问题付剩余5%款项。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符合现行的国家标准或国家行政部门颁布的法律法规、规章制度等。没有国家标准的，参考行业标准。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、产品质保期</w:t>
            </w:r>
          </w:p>
          <w:p>
            <w:pPr>
              <w:pStyle w:val="null3"/>
              <w:ind w:firstLine="720"/>
              <w:jc w:val="both"/>
            </w:pPr>
            <w:r>
              <w:rPr>
                <w:rFonts w:ascii="仿宋_GB2312" w:hAnsi="仿宋_GB2312" w:cs="仿宋_GB2312" w:eastAsia="仿宋_GB2312"/>
                <w:sz w:val="24"/>
              </w:rPr>
              <w:t>产品质保期</w:t>
            </w:r>
            <w:r>
              <w:rPr>
                <w:rFonts w:ascii="仿宋_GB2312" w:hAnsi="仿宋_GB2312" w:cs="仿宋_GB2312" w:eastAsia="仿宋_GB2312"/>
                <w:sz w:val="24"/>
              </w:rPr>
              <w:t>五</w:t>
            </w:r>
            <w:r>
              <w:rPr>
                <w:rFonts w:ascii="仿宋_GB2312" w:hAnsi="仿宋_GB2312" w:cs="仿宋_GB2312" w:eastAsia="仿宋_GB2312"/>
                <w:sz w:val="24"/>
              </w:rPr>
              <w:t>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、违约责任</w:t>
            </w:r>
          </w:p>
          <w:p>
            <w:pPr>
              <w:pStyle w:val="null3"/>
              <w:ind w:firstLine="720"/>
              <w:jc w:val="both"/>
            </w:pPr>
            <w:r>
              <w:rPr>
                <w:rFonts w:ascii="仿宋_GB2312" w:hAnsi="仿宋_GB2312" w:cs="仿宋_GB2312" w:eastAsia="仿宋_GB2312"/>
                <w:sz w:val="24"/>
              </w:rPr>
              <w:t>一般与合同款项的支付相关，注意不要超出《民法典》中对于违约的责任上限。</w:t>
            </w:r>
          </w:p>
          <w:p>
            <w:pPr>
              <w:pStyle w:val="null3"/>
              <w:ind w:firstLine="480"/>
              <w:jc w:val="both"/>
            </w:pPr>
            <w:r>
              <w:rPr>
                <w:rFonts w:ascii="仿宋_GB2312" w:hAnsi="仿宋_GB2312" w:cs="仿宋_GB2312" w:eastAsia="仿宋_GB2312"/>
                <w:sz w:val="24"/>
              </w:rPr>
              <w:t>（六）、其他</w:t>
            </w:r>
          </w:p>
          <w:p>
            <w:pPr>
              <w:pStyle w:val="null3"/>
              <w:ind w:firstLine="720"/>
              <w:jc w:val="both"/>
            </w:pPr>
            <w:r>
              <w:rPr>
                <w:rFonts w:ascii="仿宋_GB2312" w:hAnsi="仿宋_GB2312" w:cs="仿宋_GB2312" w:eastAsia="仿宋_GB2312"/>
                <w:sz w:val="24"/>
              </w:rPr>
              <w:t>合同签订的货物数量以实际数量为准。</w:t>
            </w:r>
          </w:p>
          <w:p>
            <w:pPr>
              <w:pStyle w:val="null3"/>
              <w:ind w:firstLine="48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自合同签订之日起10个日历日完成全部项目内容，并交付采购单位验收合格。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合同签订之后，设备安装并且经验收合格之后无任何质量问题不计息先付95%,设备运行一年后无质量问题付剩余5%款项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合同签订之后，设备安装并且经验收合格之后无任何质量问题不计息先付95%,设备运行一年后无质量问题付剩余5%款项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符合现行的国家标准或国家行政部门颁布的法律法规、规章制度等。没有国家标准的，参考行业标准。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产品质保期五年，具体见磋商文件及合同要求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一般与合同款项的支付相关，注意不要超出《民法典》中对于违约的责任上限。</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磋商会议结束后，成交单位须提供与上传电子版一致的一正一副两套纸质版响应文件。联系电话：13484613855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响应供应商需提供合法有效的统一社会信用代码营业执照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相关证件</w:t>
            </w:r>
          </w:p>
        </w:tc>
        <w:tc>
          <w:tcPr>
            <w:tcW w:type="dxa" w:w="3322"/>
          </w:tcPr>
          <w:p>
            <w:pPr>
              <w:pStyle w:val="null3"/>
            </w:pPr>
            <w:r>
              <w:rPr>
                <w:rFonts w:ascii="仿宋_GB2312" w:hAnsi="仿宋_GB2312" w:cs="仿宋_GB2312" w:eastAsia="仿宋_GB2312"/>
              </w:rPr>
              <w:t>投标人为制造厂家的应出具医疗器械生产许可证（提供的设备须在其生产范围内）和所投设备医疗器械注册证；投标人为经销商的应出具医疗器械经营许可证（提供的设备须在其经营范围内）和所投产品《医疗器械注册证》（注：所投产品不属于医疗器械的须提供相应的书面声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 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响应供应商提供2023年度经审计的财务会计报告（成立时间至提交投标文件截止时间不足一年的可提供成立后任意时段的资产负债表），或提供投标截止时间前三个月内银行出具的资信证明，或信用担保机构出具 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提供2024年3月至开标截止日前已缴纳的任意1个月的社会保障资金缴存单据或社保机构开具的社会保险参保缴费情况证明，依法不需要缴纳社会保障资金的单位应提供相关证明材料。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提供2024年3月至开标截止日前已缴纳的任意1个月的纳税证明或完税证明，依法免税的单位应提供相关证明材料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响应文件封面 磋商一览表及分项报价表.docx 投标方案.docx 类似项目和相关项目一览表.docx 中小企业声明函 标的清单 其它资料.docx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磋商一览表及分项报价表.docx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磋商一览表及分项报价表.docx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应满足磋商文件中要求的供货期</w:t>
            </w:r>
          </w:p>
        </w:tc>
        <w:tc>
          <w:tcPr>
            <w:tcW w:type="dxa" w:w="1661"/>
          </w:tcPr>
          <w:p>
            <w:pPr>
              <w:pStyle w:val="null3"/>
            </w:pPr>
            <w:r>
              <w:rPr>
                <w:rFonts w:ascii="仿宋_GB2312" w:hAnsi="仿宋_GB2312" w:cs="仿宋_GB2312" w:eastAsia="仿宋_GB2312"/>
              </w:rPr>
              <w:t>磋商一览表及分项报价表.docx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设备（产品）技术参数性能满足或优于招标文件要求，且稳定可靠，能够保证整体项目顺利实施，根据各投标人对其所投设备（产品）数量准确、规格进行描述，并提供生产厂家确认的、相应的功能证明材料（包括但不限于检测报告或测试报告或官网和功能截图等），描述无缺漏详细具体且证明材料完整的计15分，每负偏离一项“★”指标扣3分，每负偏离一项非“★”指标扣1分，扣完为止。(正偏离不加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及使用单位实际需求提供详细具体可行的有针对性的实施方案，并由专业的技术人员提供设备（产品）安装服务，帮助使用单位将设备（产品）调试到最佳使用状态，保证项目的顺利运行，描述无缺漏详细具体的计15分，描述无缺漏但基本详细的计12分，描述基本完整的计9分，描述有缺漏且不完整详尽的计6分，未提供方案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交货组织安排</w:t>
            </w:r>
          </w:p>
        </w:tc>
        <w:tc>
          <w:tcPr>
            <w:tcW w:type="dxa" w:w="2492"/>
          </w:tcPr>
          <w:p>
            <w:pPr>
              <w:pStyle w:val="null3"/>
            </w:pPr>
            <w:r>
              <w:rPr>
                <w:rFonts w:ascii="仿宋_GB2312" w:hAnsi="仿宋_GB2312" w:cs="仿宋_GB2312" w:eastAsia="仿宋_GB2312"/>
              </w:rPr>
              <w:t>投标人针对本项目有具体的交货组织安排，详细的人员、财力调配、运输、派送措施，方案科学合理、可行、全面计10分；方案基本合理、可行计6分，方案有缺漏且不完整详尽计2分，未提供不计分。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的培训方案（包括但不限于培训人数、培训时间、培训及考核办法等），保证使用方能熟练操作，描述无缺漏详细具体的计10分，描述基本合理计6分，描述有缺漏且不完整详尽的计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1、售后服务机构健全，能够提供本地化服务的计1分，未提供不计分。 2、具有相应的物力、人力保障，能够保证产、供、销，服务正常运转，有详细的在产品发生不同类型故障后的到达现场时间、解决故障时间、补救措施等方面的措施或方案，同时具有明确的承诺且符合实际需求，提供详细的售后服务方案及售后服务承诺等，方案充实详细、有质量保证承诺，具体可行计4分，方案基本充实详细、有质量保证承诺计2分；方案描述有遗漏不详细及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投标人在满足项目需求的情况下能够提供相应的增值服务，服务完善、详细、具体计5分，服务基本完善、详细计3分，服务一般计1分，未提供不计分。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提供供应商2022年3月至开标截止日前类似项目业绩，每提供1个有效业绩得2分，满分10分。（附完整合同复印件并加盖供应商公章，未提供或提供不完整或不清晰均不得分。）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类似项目和相关项目一览表.docx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详见附件：磋商一览表及分项报价表.docx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详见附件：类似项目和相关项目一览表.docx</w:t>
      </w:r>
    </w:p>
    <w:p>
      <w:pPr>
        <w:pStyle w:val="null3"/>
        <w:ind w:firstLine="960"/>
      </w:pPr>
      <w:r>
        <w:rPr>
          <w:rFonts w:ascii="仿宋_GB2312" w:hAnsi="仿宋_GB2312" w:cs="仿宋_GB2312" w:eastAsia="仿宋_GB2312"/>
        </w:rPr>
        <w:t>详见附件：其它资料.docx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