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版本号：MZ2025-CS102020250321001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灞桥区2025年林业有害生物防控应急处置采购项目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MZ2025-CS1020</w:t>
      </w:r>
      <w:r>
        <w:br/>
      </w:r>
      <w:r>
        <w:br/>
      </w:r>
      <w:r>
        <w:br/>
      </w:r>
    </w:p>
    <w:p>
      <w:pPr>
        <w:pStyle w:val="null3"/>
        <w:jc w:val="center"/>
        <w:outlineLvl w:val="2"/>
      </w:pPr>
      <w:r>
        <w:rPr>
          <w:rFonts w:ascii="仿宋_GB2312" w:hAnsi="仿宋_GB2312" w:cs="仿宋_GB2312" w:eastAsia="仿宋_GB2312"/>
          <w:sz w:val="28"/>
          <w:b/>
        </w:rPr>
        <w:t>西安市灞桥区林业管理站</w:t>
      </w:r>
    </w:p>
    <w:p>
      <w:pPr>
        <w:pStyle w:val="null3"/>
        <w:jc w:val="center"/>
        <w:outlineLvl w:val="2"/>
      </w:pPr>
      <w:r>
        <w:rPr>
          <w:rFonts w:ascii="仿宋_GB2312" w:hAnsi="仿宋_GB2312" w:cs="仿宋_GB2312" w:eastAsia="仿宋_GB2312"/>
          <w:sz w:val="28"/>
          <w:b/>
        </w:rPr>
        <w:t>陕西明正招标有限公司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陕西明正招标有限公司</w:t>
      </w:r>
      <w:r>
        <w:rPr>
          <w:rFonts w:ascii="仿宋_GB2312" w:hAnsi="仿宋_GB2312" w:cs="仿宋_GB2312" w:eastAsia="仿宋_GB2312"/>
        </w:rPr>
        <w:t>（以下简称“代理机构”）受</w:t>
      </w:r>
      <w:r>
        <w:rPr>
          <w:rFonts w:ascii="仿宋_GB2312" w:hAnsi="仿宋_GB2312" w:cs="仿宋_GB2312" w:eastAsia="仿宋_GB2312"/>
        </w:rPr>
        <w:t>西安市灞桥区林业管理站</w:t>
      </w:r>
      <w:r>
        <w:rPr>
          <w:rFonts w:ascii="仿宋_GB2312" w:hAnsi="仿宋_GB2312" w:cs="仿宋_GB2312" w:eastAsia="仿宋_GB2312"/>
        </w:rPr>
        <w:t>委托，拟对</w:t>
      </w:r>
      <w:r>
        <w:rPr>
          <w:rFonts w:ascii="仿宋_GB2312" w:hAnsi="仿宋_GB2312" w:cs="仿宋_GB2312" w:eastAsia="仿宋_GB2312"/>
        </w:rPr>
        <w:t>灞桥区2025年林业有害生物防控应急处置采购项目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MZ2025-CS1020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灞桥区2025年林业有害生物防控应急处置采购项目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做好2025年度我区林业有害生物监测和重点区域林业有害生物综合防治工作。需对全区范围内林木开展重大林业有害生物(美国白蛾、松材线虫病)及常规林业有害生物监测工作，监测面积≥3万亩，松材线虫病监测面积≥0.5万亩。对区内重点区域林业有害生物进行综合性防治。</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采购包1（灞桥区2025年林业有害生物防控应急处置）：属于专门面向中小企业采购。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1、法定代表人身份证明/法定代表人授权书：法定代表人直接参加磋商的，须出具法定代表人身份证明及法人身份证；法定代表人授权代表参加磋商的，须出具法定代表人授权书及法人和授权代表身份证。</w:t>
      </w:r>
    </w:p>
    <w:p>
      <w:pPr>
        <w:pStyle w:val="null3"/>
      </w:pPr>
      <w:r>
        <w:rPr>
          <w:rFonts w:ascii="仿宋_GB2312" w:hAnsi="仿宋_GB2312" w:cs="仿宋_GB2312" w:eastAsia="仿宋_GB2312"/>
        </w:rPr>
        <w:t>2、符合《财政部关于在政府采购活动中查询及使用信用记录有关问题的通知》（财库【2016】125号）文件中信用查询的要求：不得为“信用中国”网站（www.creditchina.gov.cn）中列入失信被执行人和重大税收违法失信主体的供应商，不得为中国政府采购网（www.ccgp.gov.cn）政府采购严重违法失信行为记录名单中被财政部门禁止参加政府采购活动的供应商，以磋商当天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西安市灞桥区林业管理站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西安市灞桥区灞河西路3208号灞桥区林业管理站</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83579110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陕西明正招标有限公司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西安市雁塔区二环南路西段88号老三届世纪星大厦30层AB座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冯瑶 韩微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18691818284029-87551610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考《国家计委关于印发〈招标代理服务费管理暂行办法〉的通知》(计价格【2002】1980号）、《国家发展和改革委员会办公厅关于招标代理服务收费有关问题的通知》（发改办价格〔2003〕857号）规定收取。本项目代理服务费按定额人民币5000元收取。 2、代理服务费交纳信息 银行户名：陕西明正招标有限公司 开户银行：招商银行股份有限公司西安白沙路支行 账 号：129907967910101 联系人：韩乐乐 联系电话：029-87551611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西安市灞桥区林业管理站</w:t>
      </w:r>
      <w:r>
        <w:rPr>
          <w:rFonts w:ascii="仿宋_GB2312" w:hAnsi="仿宋_GB2312" w:cs="仿宋_GB2312" w:eastAsia="仿宋_GB2312"/>
        </w:rPr>
        <w:t>和</w:t>
      </w:r>
      <w:r>
        <w:rPr>
          <w:rFonts w:ascii="仿宋_GB2312" w:hAnsi="仿宋_GB2312" w:cs="仿宋_GB2312" w:eastAsia="仿宋_GB2312"/>
        </w:rPr>
        <w:t>陕西明正招标有限公司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西安市灞桥区林业管理站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陕西明正招标有限公司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西安市灞桥区林业管理站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陕西明正招标有限公司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1.重大林业有害生物（美国白蛾、松材线虫病）监测普查依据国家林业和草原局生物灾害防控中心编制的《美国白蛾监测预报技术操作手册》对项目进行验收。 光肩星天牛补充防治依据《光肩星天牛防治技术规程》（LY/T1961-2011）以及其它相关林业有害生物防治规范对项目进行验收。2.其他未尽事宜应严格按照《财政部关于进一步加强政府采购需求和履约验收管理的指导意见》(财库(2016) 205号)的要求进行。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联系人：冯瑶 韩微</w:t>
      </w:r>
    </w:p>
    <w:p>
      <w:pPr>
        <w:pStyle w:val="null3"/>
      </w:pPr>
      <w:r>
        <w:rPr>
          <w:rFonts w:ascii="仿宋_GB2312" w:hAnsi="仿宋_GB2312" w:cs="仿宋_GB2312" w:eastAsia="仿宋_GB2312"/>
        </w:rPr>
        <w:t>联系电话：029-87551610</w:t>
      </w:r>
    </w:p>
    <w:p>
      <w:pPr>
        <w:pStyle w:val="null3"/>
      </w:pPr>
      <w:r>
        <w:rPr>
          <w:rFonts w:ascii="仿宋_GB2312" w:hAnsi="仿宋_GB2312" w:cs="仿宋_GB2312" w:eastAsia="仿宋_GB2312"/>
        </w:rPr>
        <w:t>地址：西安市雁塔区二环南路西段88号老三届世纪星大厦30层AB座</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做好2025年度我区林业有害生物监测和重点区域林业有害生物综合防治工作。需对全区范围内林木开展重大林业有害生物(美国白蛾、松材线虫病)及常规林业有害生物监测工作，监测面积≥3万亩，松材线虫病监测面积≥0.5万亩。对区内重点区域林业有害生物进行综合性防治。</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灞桥区2025年林业有害生物防控应急处置采购项目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标的名称：灞桥区2025年林业有害生物防控应急处置采购项目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灞桥区2025年林业有害生物防控应急处置采购项目采购需求</w:t>
            </w:r>
          </w:p>
        </w:tc>
        <w:tc>
          <w:tcPr>
            <w:tcW w:type="dxa" w:w="2076"/>
          </w:tcPr>
          <w:p>
            <w:pPr>
              <w:pStyle w:val="null3"/>
              <w:ind w:firstLine="482"/>
              <w:jc w:val="left"/>
            </w:pPr>
            <w:r>
              <w:rPr>
                <w:rFonts w:ascii="仿宋_GB2312" w:hAnsi="仿宋_GB2312" w:cs="仿宋_GB2312" w:eastAsia="仿宋_GB2312"/>
              </w:rPr>
              <w:t>一、项目概况</w:t>
            </w:r>
          </w:p>
          <w:p>
            <w:pPr>
              <w:pStyle w:val="null3"/>
              <w:spacing w:before="90" w:after="120"/>
              <w:ind w:left="75"/>
              <w:jc w:val="both"/>
            </w:pPr>
            <w:r>
              <w:rPr>
                <w:rFonts w:ascii="仿宋_GB2312" w:hAnsi="仿宋_GB2312" w:cs="仿宋_GB2312" w:eastAsia="仿宋_GB2312"/>
                <w:sz w:val="20"/>
              </w:rPr>
              <w:t>为</w:t>
            </w:r>
            <w:r>
              <w:rPr>
                <w:rFonts w:ascii="仿宋_GB2312" w:hAnsi="仿宋_GB2312" w:cs="仿宋_GB2312" w:eastAsia="仿宋_GB2312"/>
                <w:sz w:val="20"/>
              </w:rPr>
              <w:t>做好</w:t>
            </w:r>
            <w:r>
              <w:rPr>
                <w:rFonts w:ascii="仿宋_GB2312" w:hAnsi="仿宋_GB2312" w:cs="仿宋_GB2312" w:eastAsia="仿宋_GB2312"/>
                <w:sz w:val="20"/>
              </w:rPr>
              <w:t>2025年度我区林业有害生物监测和重点区域林业有害生物综合防治工作。需对全区（灞桥自管区）范围内林木开展重大林业有害生物（美国白蛾、松材线虫病）及常规林业有害生物监测工作，监测面积≥3万亩，松材线虫病监测面积≥0.5万亩。对区内重点区域林业有害生物进行综合性防治。</w:t>
            </w:r>
          </w:p>
          <w:p>
            <w:pPr>
              <w:pStyle w:val="null3"/>
              <w:spacing w:before="90" w:after="120"/>
              <w:ind w:left="75"/>
              <w:jc w:val="both"/>
            </w:pPr>
            <w:r>
              <w:rPr>
                <w:rFonts w:ascii="仿宋_GB2312" w:hAnsi="仿宋_GB2312" w:cs="仿宋_GB2312" w:eastAsia="仿宋_GB2312"/>
              </w:rPr>
              <w:t>二、服务内容(包括工作区域、工作内容等)</w:t>
            </w:r>
          </w:p>
          <w:p>
            <w:pPr>
              <w:pStyle w:val="null3"/>
            </w:pPr>
            <w:r>
              <w:rPr>
                <w:rFonts w:ascii="仿宋_GB2312" w:hAnsi="仿宋_GB2312" w:cs="仿宋_GB2312" w:eastAsia="仿宋_GB2312"/>
              </w:rPr>
              <w:t>1.</w:t>
            </w:r>
            <w:r>
              <w:rPr>
                <w:rFonts w:ascii="仿宋_GB2312" w:hAnsi="仿宋_GB2312" w:cs="仿宋_GB2312" w:eastAsia="仿宋_GB2312"/>
              </w:rPr>
              <w:t>完成全区</w:t>
            </w:r>
            <w:r>
              <w:rPr>
                <w:rFonts w:ascii="仿宋_GB2312" w:hAnsi="仿宋_GB2312" w:cs="仿宋_GB2312" w:eastAsia="仿宋_GB2312"/>
              </w:rPr>
              <w:t>3</w:t>
            </w:r>
            <w:r>
              <w:rPr>
                <w:rFonts w:ascii="仿宋_GB2312" w:hAnsi="仿宋_GB2312" w:cs="仿宋_GB2312" w:eastAsia="仿宋_GB2312"/>
              </w:rPr>
              <w:t>万亩林业植物分布区内的林业有害生物监测普查，</w:t>
            </w:r>
            <w:r>
              <w:rPr>
                <w:rFonts w:ascii="仿宋_GB2312" w:hAnsi="仿宋_GB2312" w:cs="仿宋_GB2312" w:eastAsia="仿宋_GB2312"/>
              </w:rPr>
              <w:t>4</w:t>
            </w:r>
            <w:r>
              <w:rPr>
                <w:rFonts w:ascii="仿宋_GB2312" w:hAnsi="仿宋_GB2312" w:cs="仿宋_GB2312" w:eastAsia="仿宋_GB2312"/>
              </w:rPr>
              <w:t>月</w:t>
            </w:r>
            <w:r>
              <w:rPr>
                <w:rFonts w:ascii="仿宋_GB2312" w:hAnsi="仿宋_GB2312" w:cs="仿宋_GB2312" w:eastAsia="仿宋_GB2312"/>
              </w:rPr>
              <w:t>5</w:t>
            </w:r>
            <w:r>
              <w:rPr>
                <w:rFonts w:ascii="仿宋_GB2312" w:hAnsi="仿宋_GB2312" w:cs="仿宋_GB2312" w:eastAsia="仿宋_GB2312"/>
              </w:rPr>
              <w:t>日以前灞河左右岸（灞桥自管区）上游至蓝田界，下游至浐灞生态区界，东城大道沿线以及其他重点区域范围内布设美国白蛾性诱捕器</w:t>
            </w:r>
            <w:r>
              <w:rPr>
                <w:rFonts w:ascii="仿宋_GB2312" w:hAnsi="仿宋_GB2312" w:cs="仿宋_GB2312" w:eastAsia="仿宋_GB2312"/>
              </w:rPr>
              <w:t>80</w:t>
            </w:r>
            <w:r>
              <w:rPr>
                <w:rFonts w:ascii="仿宋_GB2312" w:hAnsi="仿宋_GB2312" w:cs="仿宋_GB2312" w:eastAsia="仿宋_GB2312"/>
              </w:rPr>
              <w:t>套，进行美国白蛾成虫监测。做到第一时间发现、第一时间报告、第一现场除治。</w:t>
            </w:r>
          </w:p>
          <w:p>
            <w:pPr>
              <w:pStyle w:val="null3"/>
            </w:pPr>
            <w:r>
              <w:rPr>
                <w:rFonts w:ascii="仿宋_GB2312" w:hAnsi="仿宋_GB2312" w:cs="仿宋_GB2312" w:eastAsia="仿宋_GB2312"/>
              </w:rPr>
              <w:t xml:space="preserve">2. </w:t>
            </w:r>
            <w:r>
              <w:rPr>
                <w:rFonts w:ascii="仿宋_GB2312" w:hAnsi="仿宋_GB2312" w:cs="仿宋_GB2312" w:eastAsia="仿宋_GB2312"/>
              </w:rPr>
              <w:t>完成全区</w:t>
            </w:r>
            <w:r>
              <w:rPr>
                <w:rFonts w:ascii="仿宋_GB2312" w:hAnsi="仿宋_GB2312" w:cs="仿宋_GB2312" w:eastAsia="仿宋_GB2312"/>
              </w:rPr>
              <w:t>0.5</w:t>
            </w:r>
            <w:r>
              <w:rPr>
                <w:rFonts w:ascii="仿宋_GB2312" w:hAnsi="仿宋_GB2312" w:cs="仿宋_GB2312" w:eastAsia="仿宋_GB2312"/>
              </w:rPr>
              <w:t>万亩松科植物松材线虫病监测普查任务，监测覆盖率达到</w:t>
            </w:r>
            <w:r>
              <w:rPr>
                <w:rFonts w:ascii="仿宋_GB2312" w:hAnsi="仿宋_GB2312" w:cs="仿宋_GB2312" w:eastAsia="仿宋_GB2312"/>
              </w:rPr>
              <w:t>100</w:t>
            </w:r>
            <w:r>
              <w:rPr>
                <w:rFonts w:ascii="仿宋_GB2312" w:hAnsi="仿宋_GB2312" w:cs="仿宋_GB2312" w:eastAsia="仿宋_GB2312"/>
              </w:rPr>
              <w:t>％。在东三环官厅立交、灞河湿地公园、洪庆街道栗沟村等松树相对集中区域布设松褐天牛诱捕器</w:t>
            </w:r>
            <w:r>
              <w:rPr>
                <w:rFonts w:ascii="仿宋_GB2312" w:hAnsi="仿宋_GB2312" w:cs="仿宋_GB2312" w:eastAsia="仿宋_GB2312"/>
              </w:rPr>
              <w:t>5</w:t>
            </w:r>
            <w:r>
              <w:rPr>
                <w:rFonts w:ascii="仿宋_GB2312" w:hAnsi="仿宋_GB2312" w:cs="仿宋_GB2312" w:eastAsia="仿宋_GB2312"/>
              </w:rPr>
              <w:t>套。</w:t>
            </w:r>
            <w:r>
              <w:rPr>
                <w:rFonts w:ascii="仿宋_GB2312" w:hAnsi="仿宋_GB2312" w:cs="仿宋_GB2312" w:eastAsia="仿宋_GB2312"/>
              </w:rPr>
              <w:t>5</w:t>
            </w:r>
            <w:r>
              <w:rPr>
                <w:rFonts w:ascii="仿宋_GB2312" w:hAnsi="仿宋_GB2312" w:cs="仿宋_GB2312" w:eastAsia="仿宋_GB2312"/>
              </w:rPr>
              <w:t>月底松褐天牛羽化期前完成松褐天牛诱捕器的布设，到</w:t>
            </w:r>
            <w:r>
              <w:rPr>
                <w:rFonts w:ascii="仿宋_GB2312" w:hAnsi="仿宋_GB2312" w:cs="仿宋_GB2312" w:eastAsia="仿宋_GB2312"/>
              </w:rPr>
              <w:t>10</w:t>
            </w:r>
            <w:r>
              <w:rPr>
                <w:rFonts w:ascii="仿宋_GB2312" w:hAnsi="仿宋_GB2312" w:cs="仿宋_GB2312" w:eastAsia="仿宋_GB2312"/>
              </w:rPr>
              <w:t>月底前每周收集、统计、清理一次，填写松褐天牛监测登记表。</w:t>
            </w:r>
          </w:p>
          <w:p>
            <w:pPr>
              <w:pStyle w:val="null3"/>
            </w:pPr>
            <w:r>
              <w:rPr>
                <w:rFonts w:ascii="仿宋_GB2312" w:hAnsi="仿宋_GB2312" w:cs="仿宋_GB2312" w:eastAsia="仿宋_GB2312"/>
              </w:rPr>
              <w:t>3.</w:t>
            </w:r>
            <w:r>
              <w:rPr>
                <w:rFonts w:ascii="仿宋_GB2312" w:hAnsi="仿宋_GB2312" w:cs="仿宋_GB2312" w:eastAsia="仿宋_GB2312"/>
              </w:rPr>
              <w:t>完成灞河湿地公园内林木各类病虫害监测，重点对灞河湿地公园及周边区域的柳树光肩星天牛开展补充防治。</w:t>
            </w:r>
          </w:p>
          <w:p>
            <w:pPr>
              <w:pStyle w:val="null3"/>
            </w:pPr>
            <w:r>
              <w:rPr>
                <w:rFonts w:ascii="仿宋_GB2312" w:hAnsi="仿宋_GB2312" w:cs="仿宋_GB2312" w:eastAsia="仿宋_GB2312"/>
              </w:rPr>
              <w:t>4.</w:t>
            </w:r>
            <w:r>
              <w:rPr>
                <w:rFonts w:ascii="仿宋_GB2312" w:hAnsi="仿宋_GB2312" w:cs="仿宋_GB2312" w:eastAsia="仿宋_GB2312"/>
              </w:rPr>
              <w:t>开展森防知识宣传培训</w:t>
            </w:r>
            <w:r>
              <w:rPr>
                <w:rFonts w:ascii="仿宋_GB2312" w:hAnsi="仿宋_GB2312" w:cs="仿宋_GB2312" w:eastAsia="仿宋_GB2312"/>
              </w:rPr>
              <w:t>2</w:t>
            </w:r>
            <w:r>
              <w:rPr>
                <w:rFonts w:ascii="仿宋_GB2312" w:hAnsi="仿宋_GB2312" w:cs="仿宋_GB2312" w:eastAsia="仿宋_GB2312"/>
              </w:rPr>
              <w:t>场次，制作林业有害生物防治宣传栏。</w:t>
            </w:r>
          </w:p>
          <w:p>
            <w:pPr>
              <w:pStyle w:val="null3"/>
            </w:pPr>
            <w:r>
              <w:rPr>
                <w:rFonts w:ascii="仿宋_GB2312" w:hAnsi="仿宋_GB2312" w:cs="仿宋_GB2312" w:eastAsia="仿宋_GB2312"/>
              </w:rPr>
              <w:t>三、技术要求</w:t>
            </w:r>
          </w:p>
          <w:p>
            <w:pPr>
              <w:pStyle w:val="null3"/>
            </w:pPr>
            <w:r>
              <w:rPr>
                <w:rFonts w:ascii="仿宋_GB2312" w:hAnsi="仿宋_GB2312" w:cs="仿宋_GB2312" w:eastAsia="仿宋_GB2312"/>
              </w:rPr>
              <w:t>（一）做好美国白蛾监测普查和常规林业有害生物工作</w:t>
            </w:r>
            <w:r>
              <w:rPr>
                <w:rFonts w:ascii="仿宋_GB2312" w:hAnsi="仿宋_GB2312" w:cs="仿宋_GB2312" w:eastAsia="仿宋_GB2312"/>
              </w:rPr>
              <w:t xml:space="preserve"> </w:t>
            </w:r>
          </w:p>
          <w:p>
            <w:pPr>
              <w:pStyle w:val="null3"/>
            </w:pPr>
            <w:r>
              <w:rPr>
                <w:rFonts w:ascii="仿宋_GB2312" w:hAnsi="仿宋_GB2312" w:cs="仿宋_GB2312" w:eastAsia="仿宋_GB2312"/>
              </w:rPr>
              <w:t>一是全面开展林业有害生物和美国白蛾普查工作。</w:t>
            </w:r>
            <w:r>
              <w:rPr>
                <w:rFonts w:ascii="仿宋_GB2312" w:hAnsi="仿宋_GB2312" w:cs="仿宋_GB2312" w:eastAsia="仿宋_GB2312"/>
              </w:rPr>
              <w:t>4-10</w:t>
            </w:r>
            <w:r>
              <w:rPr>
                <w:rFonts w:ascii="仿宋_GB2312" w:hAnsi="仿宋_GB2312" w:cs="仿宋_GB2312" w:eastAsia="仿宋_GB2312"/>
              </w:rPr>
              <w:t>月份对全区</w:t>
            </w:r>
            <w:r>
              <w:rPr>
                <w:rFonts w:ascii="仿宋_GB2312" w:hAnsi="仿宋_GB2312" w:cs="仿宋_GB2312" w:eastAsia="仿宋_GB2312"/>
              </w:rPr>
              <w:t>3</w:t>
            </w:r>
            <w:r>
              <w:rPr>
                <w:rFonts w:ascii="仿宋_GB2312" w:hAnsi="仿宋_GB2312" w:cs="仿宋_GB2312" w:eastAsia="仿宋_GB2312"/>
              </w:rPr>
              <w:t>万亩林地和非林地绿化苗木开展林业有害生物普查，次月</w:t>
            </w:r>
            <w:r>
              <w:rPr>
                <w:rFonts w:ascii="仿宋_GB2312" w:hAnsi="仿宋_GB2312" w:cs="仿宋_GB2312" w:eastAsia="仿宋_GB2312"/>
              </w:rPr>
              <w:t>5</w:t>
            </w:r>
            <w:r>
              <w:rPr>
                <w:rFonts w:ascii="仿宋_GB2312" w:hAnsi="仿宋_GB2312" w:cs="仿宋_GB2312" w:eastAsia="仿宋_GB2312"/>
              </w:rPr>
              <w:t>日前以书面（表格）形式报区林业管理站。并根据监测情况采取有效防治措施。对美国白蛾防控重点区域进行全面精细化美国白蛾网幕期普查工作，确保普查无死角。二是在指定区域悬挂美国白蛾成虫性信息素诱捕器</w:t>
            </w:r>
            <w:r>
              <w:rPr>
                <w:rFonts w:ascii="仿宋_GB2312" w:hAnsi="仿宋_GB2312" w:cs="仿宋_GB2312" w:eastAsia="仿宋_GB2312"/>
              </w:rPr>
              <w:t>80</w:t>
            </w:r>
            <w:r>
              <w:rPr>
                <w:rFonts w:ascii="仿宋_GB2312" w:hAnsi="仿宋_GB2312" w:cs="仿宋_GB2312" w:eastAsia="仿宋_GB2312"/>
              </w:rPr>
              <w:t>套，用于美国白蛾成虫发生量监测。</w:t>
            </w:r>
          </w:p>
          <w:p>
            <w:pPr>
              <w:pStyle w:val="null3"/>
            </w:pPr>
            <w:r>
              <w:rPr>
                <w:rFonts w:ascii="仿宋_GB2312" w:hAnsi="仿宋_GB2312" w:cs="仿宋_GB2312" w:eastAsia="仿宋_GB2312"/>
              </w:rPr>
              <w:t>1.</w:t>
            </w:r>
            <w:r>
              <w:rPr>
                <w:rFonts w:ascii="仿宋_GB2312" w:hAnsi="仿宋_GB2312" w:cs="仿宋_GB2312" w:eastAsia="仿宋_GB2312"/>
              </w:rPr>
              <w:t>美国白蛾诱捕器监测（性诱剂监测）</w:t>
            </w:r>
          </w:p>
          <w:p>
            <w:pPr>
              <w:pStyle w:val="null3"/>
            </w:pPr>
            <w:r>
              <w:rPr>
                <w:rFonts w:ascii="仿宋_GB2312" w:hAnsi="仿宋_GB2312" w:cs="仿宋_GB2312" w:eastAsia="仿宋_GB2312"/>
              </w:rPr>
              <w:t>每个诱捕器在</w:t>
            </w:r>
            <w:r>
              <w:rPr>
                <w:rFonts w:ascii="仿宋_GB2312" w:hAnsi="仿宋_GB2312" w:cs="仿宋_GB2312" w:eastAsia="仿宋_GB2312"/>
              </w:rPr>
              <w:t>4</w:t>
            </w:r>
            <w:r>
              <w:rPr>
                <w:rFonts w:ascii="仿宋_GB2312" w:hAnsi="仿宋_GB2312" w:cs="仿宋_GB2312" w:eastAsia="仿宋_GB2312"/>
              </w:rPr>
              <w:t>月上旬到</w:t>
            </w:r>
            <w:r>
              <w:rPr>
                <w:rFonts w:ascii="仿宋_GB2312" w:hAnsi="仿宋_GB2312" w:cs="仿宋_GB2312" w:eastAsia="仿宋_GB2312"/>
              </w:rPr>
              <w:t>5</w:t>
            </w:r>
            <w:r>
              <w:rPr>
                <w:rFonts w:ascii="仿宋_GB2312" w:hAnsi="仿宋_GB2312" w:cs="仿宋_GB2312" w:eastAsia="仿宋_GB2312"/>
              </w:rPr>
              <w:t>月中下旬使用北京中捷四方美国白蛾性诱剂诱芯一片。越冬代成虫监测结束后及时冷藏保存，根据本年度成虫发生规律及时更换。每个诱捕器设置点悬挂监测点标识牌一块（</w:t>
            </w:r>
            <w:r>
              <w:rPr>
                <w:rFonts w:ascii="仿宋_GB2312" w:hAnsi="仿宋_GB2312" w:cs="仿宋_GB2312" w:eastAsia="仿宋_GB2312"/>
              </w:rPr>
              <w:t>30*40</w:t>
            </w:r>
            <w:r>
              <w:rPr>
                <w:rFonts w:ascii="仿宋_GB2312" w:hAnsi="仿宋_GB2312" w:cs="仿宋_GB2312" w:eastAsia="仿宋_GB2312"/>
              </w:rPr>
              <w:t>厘米），共计需要</w:t>
            </w:r>
            <w:r>
              <w:rPr>
                <w:rFonts w:ascii="仿宋_GB2312" w:hAnsi="仿宋_GB2312" w:cs="仿宋_GB2312" w:eastAsia="仿宋_GB2312"/>
              </w:rPr>
              <w:t>80</w:t>
            </w:r>
            <w:r>
              <w:rPr>
                <w:rFonts w:ascii="仿宋_GB2312" w:hAnsi="仿宋_GB2312" w:cs="仿宋_GB2312" w:eastAsia="仿宋_GB2312"/>
              </w:rPr>
              <w:t>块标识牌。诱捕器越冬代悬挂高度一般为树冠中下层枝条（</w:t>
            </w:r>
            <w:r>
              <w:rPr>
                <w:rFonts w:ascii="仿宋_GB2312" w:hAnsi="仿宋_GB2312" w:cs="仿宋_GB2312" w:eastAsia="仿宋_GB2312"/>
              </w:rPr>
              <w:t>1.5</w:t>
            </w: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米），一代、二代悬挂高度为（</w:t>
            </w:r>
            <w:r>
              <w:rPr>
                <w:rFonts w:ascii="仿宋_GB2312" w:hAnsi="仿宋_GB2312" w:cs="仿宋_GB2312" w:eastAsia="仿宋_GB2312"/>
              </w:rPr>
              <w:t>2.5</w:t>
            </w: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米）在悬挂时注意诱捕器周边无树枝遮挡，诱捕器中加入碱性水，用铁丝固定悬挂于主枝条上，使用工具包括梯子，水桶、铁丝和钳子等，布设完成后制作诱捕器分布图。美国白蛾诱捕器要求</w:t>
            </w:r>
            <w:r>
              <w:rPr>
                <w:rFonts w:ascii="仿宋_GB2312" w:hAnsi="仿宋_GB2312" w:cs="仿宋_GB2312" w:eastAsia="仿宋_GB2312"/>
              </w:rPr>
              <w:t>4</w:t>
            </w:r>
            <w:r>
              <w:rPr>
                <w:rFonts w:ascii="仿宋_GB2312" w:hAnsi="仿宋_GB2312" w:cs="仿宋_GB2312" w:eastAsia="仿宋_GB2312"/>
              </w:rPr>
              <w:t>月</w:t>
            </w:r>
            <w:r>
              <w:rPr>
                <w:rFonts w:ascii="仿宋_GB2312" w:hAnsi="仿宋_GB2312" w:cs="仿宋_GB2312" w:eastAsia="仿宋_GB2312"/>
              </w:rPr>
              <w:t>5</w:t>
            </w:r>
            <w:r>
              <w:rPr>
                <w:rFonts w:ascii="仿宋_GB2312" w:hAnsi="仿宋_GB2312" w:cs="仿宋_GB2312" w:eastAsia="仿宋_GB2312"/>
              </w:rPr>
              <w:t>日前全面悬挂到位，</w:t>
            </w:r>
            <w:r>
              <w:rPr>
                <w:rFonts w:ascii="仿宋_GB2312" w:hAnsi="仿宋_GB2312" w:cs="仿宋_GB2312" w:eastAsia="仿宋_GB2312"/>
              </w:rPr>
              <w:t>4</w:t>
            </w:r>
            <w:r>
              <w:rPr>
                <w:rFonts w:ascii="仿宋_GB2312" w:hAnsi="仿宋_GB2312" w:cs="仿宋_GB2312" w:eastAsia="仿宋_GB2312"/>
              </w:rPr>
              <w:t>月上旬开始对已悬挂诱捕器进行日常监测，在监测过程中进行日常诱捕器换水，在发现诱捕到成虫后第一时间上报区林业管理站。</w:t>
            </w:r>
          </w:p>
          <w:p>
            <w:pPr>
              <w:pStyle w:val="null3"/>
            </w:pPr>
            <w:r>
              <w:rPr>
                <w:rFonts w:ascii="仿宋_GB2312" w:hAnsi="仿宋_GB2312" w:cs="仿宋_GB2312" w:eastAsia="仿宋_GB2312"/>
              </w:rPr>
              <w:t>对美国白蛾越冬代进行常规化监测，待越冬代监测结束后回收诱芯进行冷藏保存，美国白蛾成虫监测周期越冬代为</w:t>
            </w:r>
            <w:r>
              <w:rPr>
                <w:rFonts w:ascii="仿宋_GB2312" w:hAnsi="仿宋_GB2312" w:cs="仿宋_GB2312" w:eastAsia="仿宋_GB2312"/>
              </w:rPr>
              <w:t>45</w:t>
            </w:r>
            <w:r>
              <w:rPr>
                <w:rFonts w:ascii="仿宋_GB2312" w:hAnsi="仿宋_GB2312" w:cs="仿宋_GB2312" w:eastAsia="仿宋_GB2312"/>
              </w:rPr>
              <w:t>天左右，一代</w:t>
            </w:r>
            <w:r>
              <w:rPr>
                <w:rFonts w:ascii="仿宋_GB2312" w:hAnsi="仿宋_GB2312" w:cs="仿宋_GB2312" w:eastAsia="仿宋_GB2312"/>
              </w:rPr>
              <w:t>30</w:t>
            </w:r>
            <w:r>
              <w:rPr>
                <w:rFonts w:ascii="仿宋_GB2312" w:hAnsi="仿宋_GB2312" w:cs="仿宋_GB2312" w:eastAsia="仿宋_GB2312"/>
              </w:rPr>
              <w:t>天左右，二代</w:t>
            </w:r>
            <w:r>
              <w:rPr>
                <w:rFonts w:ascii="仿宋_GB2312" w:hAnsi="仿宋_GB2312" w:cs="仿宋_GB2312" w:eastAsia="仿宋_GB2312"/>
              </w:rPr>
              <w:t>50</w:t>
            </w:r>
            <w:r>
              <w:rPr>
                <w:rFonts w:ascii="仿宋_GB2312" w:hAnsi="仿宋_GB2312" w:cs="仿宋_GB2312" w:eastAsia="仿宋_GB2312"/>
              </w:rPr>
              <w:t>天左右，根据气候及外围因素影响以及世代重叠适当延长监测期，正常监测时间为每周</w:t>
            </w:r>
            <w:r>
              <w:rPr>
                <w:rFonts w:ascii="仿宋_GB2312" w:hAnsi="仿宋_GB2312" w:cs="仿宋_GB2312" w:eastAsia="仿宋_GB2312"/>
              </w:rPr>
              <w:t>2</w:t>
            </w:r>
            <w:r>
              <w:rPr>
                <w:rFonts w:ascii="仿宋_GB2312" w:hAnsi="仿宋_GB2312" w:cs="仿宋_GB2312" w:eastAsia="仿宋_GB2312"/>
              </w:rPr>
              <w:t>次，发现诱捕到成虫后每天进行监测。诱捕器每周监测</w:t>
            </w:r>
            <w:r>
              <w:rPr>
                <w:rFonts w:ascii="仿宋_GB2312" w:hAnsi="仿宋_GB2312" w:cs="仿宋_GB2312" w:eastAsia="仿宋_GB2312"/>
              </w:rPr>
              <w:t>2</w:t>
            </w:r>
            <w:r>
              <w:rPr>
                <w:rFonts w:ascii="仿宋_GB2312" w:hAnsi="仿宋_GB2312" w:cs="仿宋_GB2312" w:eastAsia="仿宋_GB2312"/>
              </w:rPr>
              <w:t>次。每次需要</w:t>
            </w:r>
            <w:r>
              <w:rPr>
                <w:rFonts w:ascii="仿宋_GB2312" w:hAnsi="仿宋_GB2312" w:cs="仿宋_GB2312" w:eastAsia="仿宋_GB2312"/>
              </w:rPr>
              <w:t>2</w:t>
            </w:r>
            <w:r>
              <w:rPr>
                <w:rFonts w:ascii="仿宋_GB2312" w:hAnsi="仿宋_GB2312" w:cs="仿宋_GB2312" w:eastAsia="仿宋_GB2312"/>
              </w:rPr>
              <w:t>人，共计监测≥</w:t>
            </w:r>
            <w:r>
              <w:rPr>
                <w:rFonts w:ascii="仿宋_GB2312" w:hAnsi="仿宋_GB2312" w:cs="仿宋_GB2312" w:eastAsia="仿宋_GB2312"/>
              </w:rPr>
              <w:t>35</w:t>
            </w:r>
            <w:r>
              <w:rPr>
                <w:rFonts w:ascii="仿宋_GB2312" w:hAnsi="仿宋_GB2312" w:cs="仿宋_GB2312" w:eastAsia="仿宋_GB2312"/>
              </w:rPr>
              <w:t>次。</w:t>
            </w:r>
          </w:p>
          <w:p>
            <w:pPr>
              <w:pStyle w:val="null3"/>
            </w:pPr>
            <w:r>
              <w:rPr>
                <w:rFonts w:ascii="仿宋_GB2312" w:hAnsi="仿宋_GB2312" w:cs="仿宋_GB2312" w:eastAsia="仿宋_GB2312"/>
              </w:rPr>
              <w:t>2.</w:t>
            </w:r>
            <w:r>
              <w:rPr>
                <w:rFonts w:ascii="仿宋_GB2312" w:hAnsi="仿宋_GB2312" w:cs="仿宋_GB2312" w:eastAsia="仿宋_GB2312"/>
              </w:rPr>
              <w:t>美国白蛾幼虫网幕虫卵虫蛹调查普查除诱捕器和杀虫灯外，监测重点为人工调查蛹、幼虫及网幕虫卵，确保美国白蛾在诱捕器悬挂区域以外的监测效果。根据当年气候环境计划分别于</w:t>
            </w:r>
            <w:r>
              <w:rPr>
                <w:rFonts w:ascii="仿宋_GB2312" w:hAnsi="仿宋_GB2312" w:cs="仿宋_GB2312" w:eastAsia="仿宋_GB2312"/>
              </w:rPr>
              <w:t>5</w:t>
            </w:r>
            <w:r>
              <w:rPr>
                <w:rFonts w:ascii="仿宋_GB2312" w:hAnsi="仿宋_GB2312" w:cs="仿宋_GB2312" w:eastAsia="仿宋_GB2312"/>
              </w:rPr>
              <w:t>月、</w:t>
            </w:r>
            <w:r>
              <w:rPr>
                <w:rFonts w:ascii="仿宋_GB2312" w:hAnsi="仿宋_GB2312" w:cs="仿宋_GB2312" w:eastAsia="仿宋_GB2312"/>
              </w:rPr>
              <w:t>7</w:t>
            </w:r>
            <w:r>
              <w:rPr>
                <w:rFonts w:ascii="仿宋_GB2312" w:hAnsi="仿宋_GB2312" w:cs="仿宋_GB2312" w:eastAsia="仿宋_GB2312"/>
              </w:rPr>
              <w:t>月和</w:t>
            </w:r>
            <w:r>
              <w:rPr>
                <w:rFonts w:ascii="仿宋_GB2312" w:hAnsi="仿宋_GB2312" w:cs="仿宋_GB2312" w:eastAsia="仿宋_GB2312"/>
              </w:rPr>
              <w:t>9</w:t>
            </w:r>
            <w:r>
              <w:rPr>
                <w:rFonts w:ascii="仿宋_GB2312" w:hAnsi="仿宋_GB2312" w:cs="仿宋_GB2312" w:eastAsia="仿宋_GB2312"/>
              </w:rPr>
              <w:t>月份进行</w:t>
            </w:r>
            <w:r>
              <w:rPr>
                <w:rFonts w:ascii="仿宋_GB2312" w:hAnsi="仿宋_GB2312" w:cs="仿宋_GB2312" w:eastAsia="仿宋_GB2312"/>
              </w:rPr>
              <w:t>3</w:t>
            </w:r>
            <w:r>
              <w:rPr>
                <w:rFonts w:ascii="仿宋_GB2312" w:hAnsi="仿宋_GB2312" w:cs="仿宋_GB2312" w:eastAsia="仿宋_GB2312"/>
              </w:rPr>
              <w:t>次重点区域全面人工普查，根据灞桥区自然地理条件，普查人员分为</w:t>
            </w:r>
            <w:r>
              <w:rPr>
                <w:rFonts w:ascii="仿宋_GB2312" w:hAnsi="仿宋_GB2312" w:cs="仿宋_GB2312" w:eastAsia="仿宋_GB2312"/>
              </w:rPr>
              <w:t>2</w:t>
            </w:r>
            <w:r>
              <w:rPr>
                <w:rFonts w:ascii="仿宋_GB2312" w:hAnsi="仿宋_GB2312" w:cs="仿宋_GB2312" w:eastAsia="仿宋_GB2312"/>
              </w:rPr>
              <w:t>组，每组由</w:t>
            </w:r>
            <w:r>
              <w:rPr>
                <w:rFonts w:ascii="仿宋_GB2312" w:hAnsi="仿宋_GB2312" w:cs="仿宋_GB2312" w:eastAsia="仿宋_GB2312"/>
              </w:rPr>
              <w:t>1</w:t>
            </w:r>
            <w:r>
              <w:rPr>
                <w:rFonts w:ascii="仿宋_GB2312" w:hAnsi="仿宋_GB2312" w:cs="仿宋_GB2312" w:eastAsia="仿宋_GB2312"/>
              </w:rPr>
              <w:t>名专家带领</w:t>
            </w:r>
            <w:r>
              <w:rPr>
                <w:rFonts w:ascii="仿宋_GB2312" w:hAnsi="仿宋_GB2312" w:cs="仿宋_GB2312" w:eastAsia="仿宋_GB2312"/>
              </w:rPr>
              <w:t>3</w:t>
            </w:r>
            <w:r>
              <w:rPr>
                <w:rFonts w:ascii="仿宋_GB2312" w:hAnsi="仿宋_GB2312" w:cs="仿宋_GB2312" w:eastAsia="仿宋_GB2312"/>
              </w:rPr>
              <w:t>名专业技术人员组成，对所有有林地带的喜食树种进行普查，重点对灞河左右两岸向外延伸</w:t>
            </w:r>
            <w:r>
              <w:rPr>
                <w:rFonts w:ascii="仿宋_GB2312" w:hAnsi="仿宋_GB2312" w:cs="仿宋_GB2312" w:eastAsia="仿宋_GB2312"/>
              </w:rPr>
              <w:t>500</w:t>
            </w:r>
            <w:r>
              <w:rPr>
                <w:rFonts w:ascii="仿宋_GB2312" w:hAnsi="仿宋_GB2312" w:cs="仿宋_GB2312" w:eastAsia="仿宋_GB2312"/>
              </w:rPr>
              <w:t>米范围内的林地、绿化用地、果园、小区、村庄进行全面普查，并对调查结果做以详细记录。由于美国白蛾可危害多种阔叶树、灌木、果树、花卉、农作物、蔬菜、杂草等，寄主范围广，排查范围大，每次普查需</w:t>
            </w:r>
            <w:r>
              <w:rPr>
                <w:rFonts w:ascii="仿宋_GB2312" w:hAnsi="仿宋_GB2312" w:cs="仿宋_GB2312" w:eastAsia="仿宋_GB2312"/>
              </w:rPr>
              <w:t>4</w:t>
            </w:r>
            <w:r>
              <w:rPr>
                <w:rFonts w:ascii="仿宋_GB2312" w:hAnsi="仿宋_GB2312" w:cs="仿宋_GB2312" w:eastAsia="仿宋_GB2312"/>
              </w:rPr>
              <w:t>天。</w:t>
            </w:r>
          </w:p>
          <w:p>
            <w:pPr>
              <w:pStyle w:val="null3"/>
            </w:pPr>
            <w:r>
              <w:rPr>
                <w:rFonts w:ascii="仿宋_GB2312" w:hAnsi="仿宋_GB2312" w:cs="仿宋_GB2312" w:eastAsia="仿宋_GB2312"/>
              </w:rPr>
              <w:t>3.</w:t>
            </w:r>
            <w:r>
              <w:rPr>
                <w:rFonts w:ascii="仿宋_GB2312" w:hAnsi="仿宋_GB2312" w:cs="仿宋_GB2312" w:eastAsia="仿宋_GB2312"/>
              </w:rPr>
              <w:t>预防性防治措施：</w:t>
            </w:r>
          </w:p>
          <w:p>
            <w:pPr>
              <w:pStyle w:val="null3"/>
            </w:pPr>
            <w:r>
              <w:rPr>
                <w:rFonts w:ascii="仿宋_GB2312" w:hAnsi="仿宋_GB2312" w:cs="仿宋_GB2312" w:eastAsia="仿宋_GB2312"/>
              </w:rPr>
              <w:t>在人工普查过程中如发现美国白蛾幼虫网幕及其它林业有害生物如（天牛、尺蠖、杨毒蛾、杨小舟蛾、刺蛾、蚧壳虫、蚜虫、柳树河曲丝叶蜂等），必要时派专业防治人员进行应急处置，能满足复杂条件下的各类病虫害应急防治，防治方式根据地形及病虫害危害程度可采取空中飞防及地面人工防治，对可能存在爆发性的林业有害生物特别是杨尺蠖、杨毒蛾，柳树河曲丝叶蜂，国槐尺蠖等发生区域采取预防性喷防，喷防面积大于等于</w:t>
            </w:r>
            <w:r>
              <w:rPr>
                <w:rFonts w:ascii="仿宋_GB2312" w:hAnsi="仿宋_GB2312" w:cs="仿宋_GB2312" w:eastAsia="仿宋_GB2312"/>
              </w:rPr>
              <w:t>0.3</w:t>
            </w:r>
            <w:r>
              <w:rPr>
                <w:rFonts w:ascii="仿宋_GB2312" w:hAnsi="仿宋_GB2312" w:cs="仿宋_GB2312" w:eastAsia="仿宋_GB2312"/>
              </w:rPr>
              <w:t>万亩。</w:t>
            </w:r>
          </w:p>
          <w:p>
            <w:pPr>
              <w:pStyle w:val="null3"/>
            </w:pPr>
            <w:r>
              <w:rPr>
                <w:rFonts w:ascii="仿宋_GB2312" w:hAnsi="仿宋_GB2312" w:cs="仿宋_GB2312" w:eastAsia="仿宋_GB2312"/>
              </w:rPr>
              <w:t>（二）全面开展松材线虫病防控工作</w:t>
            </w:r>
            <w:r>
              <w:rPr>
                <w:rFonts w:ascii="仿宋_GB2312" w:hAnsi="仿宋_GB2312" w:cs="仿宋_GB2312" w:eastAsia="仿宋_GB2312"/>
              </w:rPr>
              <w:t xml:space="preserve"> </w:t>
            </w:r>
          </w:p>
          <w:p>
            <w:pPr>
              <w:pStyle w:val="null3"/>
            </w:pPr>
            <w:r>
              <w:rPr>
                <w:rFonts w:ascii="仿宋_GB2312" w:hAnsi="仿宋_GB2312" w:cs="仿宋_GB2312" w:eastAsia="仿宋_GB2312"/>
              </w:rPr>
              <w:t>一是在</w:t>
            </w:r>
            <w:r>
              <w:rPr>
                <w:rFonts w:ascii="仿宋_GB2312" w:hAnsi="仿宋_GB2312" w:cs="仿宋_GB2312" w:eastAsia="仿宋_GB2312"/>
              </w:rPr>
              <w:t>5</w:t>
            </w:r>
            <w:r>
              <w:rPr>
                <w:rFonts w:ascii="仿宋_GB2312" w:hAnsi="仿宋_GB2312" w:cs="仿宋_GB2312" w:eastAsia="仿宋_GB2312"/>
              </w:rPr>
              <w:t>月底在松褐天牛羽化期前在东三环官厅立交、灞河湿地公园、洪庆街道栗沟村等松树相对集中区域布设松褐天牛诱捕器</w:t>
            </w:r>
            <w:r>
              <w:rPr>
                <w:rFonts w:ascii="仿宋_GB2312" w:hAnsi="仿宋_GB2312" w:cs="仿宋_GB2312" w:eastAsia="仿宋_GB2312"/>
              </w:rPr>
              <w:t>5</w:t>
            </w:r>
            <w:r>
              <w:rPr>
                <w:rFonts w:ascii="仿宋_GB2312" w:hAnsi="仿宋_GB2312" w:cs="仿宋_GB2312" w:eastAsia="仿宋_GB2312"/>
              </w:rPr>
              <w:t>套，用于松材线虫病的监测。布设完成后制作诱捕器分布图。到</w:t>
            </w:r>
            <w:r>
              <w:rPr>
                <w:rFonts w:ascii="仿宋_GB2312" w:hAnsi="仿宋_GB2312" w:cs="仿宋_GB2312" w:eastAsia="仿宋_GB2312"/>
              </w:rPr>
              <w:t>10</w:t>
            </w:r>
            <w:r>
              <w:rPr>
                <w:rFonts w:ascii="仿宋_GB2312" w:hAnsi="仿宋_GB2312" w:cs="仿宋_GB2312" w:eastAsia="仿宋_GB2312"/>
              </w:rPr>
              <w:t>月底前每周收集、统计、清理一次，填写松褐天牛监测登记表。二是采用人工普查的方法，利用《新版松材线虫病疫情防控监测平台》及手机</w:t>
            </w:r>
            <w:r>
              <w:rPr>
                <w:rFonts w:ascii="仿宋_GB2312" w:hAnsi="仿宋_GB2312" w:cs="仿宋_GB2312" w:eastAsia="仿宋_GB2312"/>
              </w:rPr>
              <w:t>APP</w:t>
            </w:r>
            <w:r>
              <w:rPr>
                <w:rFonts w:ascii="仿宋_GB2312" w:hAnsi="仿宋_GB2312" w:cs="仿宋_GB2312" w:eastAsia="仿宋_GB2312"/>
              </w:rPr>
              <w:t>，从</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4</w:t>
            </w:r>
            <w:r>
              <w:rPr>
                <w:rFonts w:ascii="仿宋_GB2312" w:hAnsi="仿宋_GB2312" w:cs="仿宋_GB2312" w:eastAsia="仿宋_GB2312"/>
              </w:rPr>
              <w:t>月—</w:t>
            </w:r>
            <w:r>
              <w:rPr>
                <w:rFonts w:ascii="仿宋_GB2312" w:hAnsi="仿宋_GB2312" w:cs="仿宋_GB2312" w:eastAsia="仿宋_GB2312"/>
              </w:rPr>
              <w:t>10</w:t>
            </w:r>
            <w:r>
              <w:rPr>
                <w:rFonts w:ascii="仿宋_GB2312" w:hAnsi="仿宋_GB2312" w:cs="仿宋_GB2312" w:eastAsia="仿宋_GB2312"/>
              </w:rPr>
              <w:t>月份对</w:t>
            </w:r>
            <w:r>
              <w:rPr>
                <w:rFonts w:ascii="仿宋_GB2312" w:hAnsi="仿宋_GB2312" w:cs="仿宋_GB2312" w:eastAsia="仿宋_GB2312"/>
              </w:rPr>
              <w:t>0.5</w:t>
            </w:r>
            <w:r>
              <w:rPr>
                <w:rFonts w:ascii="仿宋_GB2312" w:hAnsi="仿宋_GB2312" w:cs="仿宋_GB2312" w:eastAsia="仿宋_GB2312"/>
              </w:rPr>
              <w:t>万亩松科植物开展松材线虫病日常监测普查，</w:t>
            </w:r>
            <w:r>
              <w:rPr>
                <w:rFonts w:ascii="仿宋_GB2312" w:hAnsi="仿宋_GB2312" w:cs="仿宋_GB2312" w:eastAsia="仿宋_GB2312"/>
              </w:rPr>
              <w:t>9-10</w:t>
            </w:r>
            <w:r>
              <w:rPr>
                <w:rFonts w:ascii="仿宋_GB2312" w:hAnsi="仿宋_GB2312" w:cs="仿宋_GB2312" w:eastAsia="仿宋_GB2312"/>
              </w:rPr>
              <w:t>月份详细开展秋季监测普查工作和枯立木除治，确保监测普查覆盖率达到</w:t>
            </w:r>
            <w:r>
              <w:rPr>
                <w:rFonts w:ascii="仿宋_GB2312" w:hAnsi="仿宋_GB2312" w:cs="仿宋_GB2312" w:eastAsia="仿宋_GB2312"/>
              </w:rPr>
              <w:t>100%</w:t>
            </w:r>
            <w:r>
              <w:rPr>
                <w:rFonts w:ascii="仿宋_GB2312" w:hAnsi="仿宋_GB2312" w:cs="仿宋_GB2312" w:eastAsia="仿宋_GB2312"/>
              </w:rPr>
              <w:t>。</w:t>
            </w:r>
          </w:p>
          <w:p>
            <w:pPr>
              <w:pStyle w:val="null3"/>
            </w:pPr>
            <w:r>
              <w:rPr>
                <w:rFonts w:ascii="仿宋_GB2312" w:hAnsi="仿宋_GB2312" w:cs="仿宋_GB2312" w:eastAsia="仿宋_GB2312"/>
              </w:rPr>
              <w:t>（三）认真做好灞河湿地公园各类林木病虫害监测预防，重点做好灞河湿地公园柳树天牛补充防治工作。</w:t>
            </w:r>
          </w:p>
          <w:p>
            <w:pPr>
              <w:pStyle w:val="null3"/>
            </w:pPr>
            <w:r>
              <w:rPr>
                <w:rFonts w:ascii="仿宋_GB2312" w:hAnsi="仿宋_GB2312" w:cs="仿宋_GB2312" w:eastAsia="仿宋_GB2312"/>
              </w:rPr>
              <w:t>一是</w:t>
            </w:r>
            <w:r>
              <w:rPr>
                <w:rFonts w:ascii="仿宋_GB2312" w:hAnsi="仿宋_GB2312" w:cs="仿宋_GB2312" w:eastAsia="仿宋_GB2312"/>
              </w:rPr>
              <w:t>4</w:t>
            </w:r>
            <w:r>
              <w:rPr>
                <w:rFonts w:ascii="仿宋_GB2312" w:hAnsi="仿宋_GB2312" w:cs="仿宋_GB2312" w:eastAsia="仿宋_GB2312"/>
              </w:rPr>
              <w:t>月</w:t>
            </w:r>
            <w:r>
              <w:rPr>
                <w:rFonts w:ascii="仿宋_GB2312" w:hAnsi="仿宋_GB2312" w:cs="仿宋_GB2312" w:eastAsia="仿宋_GB2312"/>
              </w:rPr>
              <w:t>-10</w:t>
            </w:r>
            <w:r>
              <w:rPr>
                <w:rFonts w:ascii="仿宋_GB2312" w:hAnsi="仿宋_GB2312" w:cs="仿宋_GB2312" w:eastAsia="仿宋_GB2312"/>
              </w:rPr>
              <w:t>月份对灞河湿地公园及其周边做好包括松材线虫病、美国白蛾在内的各类林木病虫害监测和预防工作。二是对柳树光肩星天牛进行采取树干注药、捕捉成虫、太阳能灭虫灯诱杀等方式的补充防治。</w:t>
            </w:r>
          </w:p>
          <w:p>
            <w:pPr>
              <w:pStyle w:val="null3"/>
            </w:pPr>
            <w:r>
              <w:rPr>
                <w:rFonts w:ascii="仿宋_GB2312" w:hAnsi="仿宋_GB2312" w:cs="仿宋_GB2312" w:eastAsia="仿宋_GB2312"/>
              </w:rPr>
              <w:t>（四）宣传培训</w:t>
            </w:r>
          </w:p>
          <w:p>
            <w:pPr>
              <w:pStyle w:val="null3"/>
            </w:pPr>
            <w:r>
              <w:rPr>
                <w:rFonts w:ascii="仿宋_GB2312" w:hAnsi="仿宋_GB2312" w:cs="仿宋_GB2312" w:eastAsia="仿宋_GB2312"/>
              </w:rPr>
              <w:t>组织涉林街办和涉木企业以及在建绿化项目工地相关人员开展重大林业有害生物防治技术、《植物检疫条例》《陕西省林业有害生物防治检疫条例》等技术培训</w:t>
            </w:r>
            <w:r>
              <w:rPr>
                <w:rFonts w:ascii="仿宋_GB2312" w:hAnsi="仿宋_GB2312" w:cs="仿宋_GB2312" w:eastAsia="仿宋_GB2312"/>
              </w:rPr>
              <w:t>2</w:t>
            </w:r>
            <w:r>
              <w:rPr>
                <w:rFonts w:ascii="仿宋_GB2312" w:hAnsi="仿宋_GB2312" w:cs="仿宋_GB2312" w:eastAsia="仿宋_GB2312"/>
              </w:rPr>
              <w:t>场次，不断提升从业人员林业有害生物监测防治能力和水平；通过制作林业有害生物监测防治知识专题宣传栏一处。</w:t>
            </w:r>
          </w:p>
          <w:p>
            <w:pPr>
              <w:pStyle w:val="null3"/>
            </w:pPr>
            <w:r>
              <w:rPr>
                <w:rFonts w:ascii="仿宋_GB2312" w:hAnsi="仿宋_GB2312" w:cs="仿宋_GB2312" w:eastAsia="仿宋_GB2312"/>
              </w:rPr>
              <w:t>四、服务要求</w:t>
            </w:r>
            <w:r>
              <w:br/>
            </w:r>
            <w:r>
              <w:rPr>
                <w:rFonts w:ascii="仿宋_GB2312" w:hAnsi="仿宋_GB2312" w:cs="仿宋_GB2312" w:eastAsia="仿宋_GB2312"/>
              </w:rPr>
              <w:t>1.</w:t>
            </w:r>
            <w:r>
              <w:rPr>
                <w:rFonts w:ascii="仿宋_GB2312" w:hAnsi="仿宋_GB2312" w:cs="仿宋_GB2312" w:eastAsia="仿宋_GB2312"/>
              </w:rPr>
              <w:t>美国白蛾诱捕器监测，正常监测时间为每周</w:t>
            </w:r>
            <w:r>
              <w:rPr>
                <w:rFonts w:ascii="仿宋_GB2312" w:hAnsi="仿宋_GB2312" w:cs="仿宋_GB2312" w:eastAsia="仿宋_GB2312"/>
              </w:rPr>
              <w:t>2</w:t>
            </w:r>
            <w:r>
              <w:rPr>
                <w:rFonts w:ascii="仿宋_GB2312" w:hAnsi="仿宋_GB2312" w:cs="仿宋_GB2312" w:eastAsia="仿宋_GB2312"/>
              </w:rPr>
              <w:t>次，发现诱捕到成虫后每天进行监测。诱捕器每周监测</w:t>
            </w:r>
            <w:r>
              <w:rPr>
                <w:rFonts w:ascii="仿宋_GB2312" w:hAnsi="仿宋_GB2312" w:cs="仿宋_GB2312" w:eastAsia="仿宋_GB2312"/>
              </w:rPr>
              <w:t>2</w:t>
            </w:r>
            <w:r>
              <w:rPr>
                <w:rFonts w:ascii="仿宋_GB2312" w:hAnsi="仿宋_GB2312" w:cs="仿宋_GB2312" w:eastAsia="仿宋_GB2312"/>
              </w:rPr>
              <w:t>次。每次需要</w:t>
            </w:r>
            <w:r>
              <w:rPr>
                <w:rFonts w:ascii="仿宋_GB2312" w:hAnsi="仿宋_GB2312" w:cs="仿宋_GB2312" w:eastAsia="仿宋_GB2312"/>
              </w:rPr>
              <w:t>2</w:t>
            </w:r>
            <w:r>
              <w:rPr>
                <w:rFonts w:ascii="仿宋_GB2312" w:hAnsi="仿宋_GB2312" w:cs="仿宋_GB2312" w:eastAsia="仿宋_GB2312"/>
              </w:rPr>
              <w:t>人，共计监测≥</w:t>
            </w:r>
            <w:r>
              <w:rPr>
                <w:rFonts w:ascii="仿宋_GB2312" w:hAnsi="仿宋_GB2312" w:cs="仿宋_GB2312" w:eastAsia="仿宋_GB2312"/>
              </w:rPr>
              <w:t>35</w:t>
            </w:r>
            <w:r>
              <w:rPr>
                <w:rFonts w:ascii="仿宋_GB2312" w:hAnsi="仿宋_GB2312" w:cs="仿宋_GB2312" w:eastAsia="仿宋_GB2312"/>
              </w:rPr>
              <w:t>次。重点区域普查，分别于</w:t>
            </w:r>
            <w:r>
              <w:rPr>
                <w:rFonts w:ascii="仿宋_GB2312" w:hAnsi="仿宋_GB2312" w:cs="仿宋_GB2312" w:eastAsia="仿宋_GB2312"/>
              </w:rPr>
              <w:t>5</w:t>
            </w:r>
            <w:r>
              <w:rPr>
                <w:rFonts w:ascii="仿宋_GB2312" w:hAnsi="仿宋_GB2312" w:cs="仿宋_GB2312" w:eastAsia="仿宋_GB2312"/>
              </w:rPr>
              <w:t>月、</w:t>
            </w:r>
            <w:r>
              <w:rPr>
                <w:rFonts w:ascii="仿宋_GB2312" w:hAnsi="仿宋_GB2312" w:cs="仿宋_GB2312" w:eastAsia="仿宋_GB2312"/>
              </w:rPr>
              <w:t>7</w:t>
            </w:r>
            <w:r>
              <w:rPr>
                <w:rFonts w:ascii="仿宋_GB2312" w:hAnsi="仿宋_GB2312" w:cs="仿宋_GB2312" w:eastAsia="仿宋_GB2312"/>
              </w:rPr>
              <w:t>月和</w:t>
            </w:r>
            <w:r>
              <w:rPr>
                <w:rFonts w:ascii="仿宋_GB2312" w:hAnsi="仿宋_GB2312" w:cs="仿宋_GB2312" w:eastAsia="仿宋_GB2312"/>
              </w:rPr>
              <w:t>9</w:t>
            </w:r>
            <w:r>
              <w:rPr>
                <w:rFonts w:ascii="仿宋_GB2312" w:hAnsi="仿宋_GB2312" w:cs="仿宋_GB2312" w:eastAsia="仿宋_GB2312"/>
              </w:rPr>
              <w:t>月份进行</w:t>
            </w:r>
            <w:r>
              <w:rPr>
                <w:rFonts w:ascii="仿宋_GB2312" w:hAnsi="仿宋_GB2312" w:cs="仿宋_GB2312" w:eastAsia="仿宋_GB2312"/>
              </w:rPr>
              <w:t>3</w:t>
            </w:r>
            <w:r>
              <w:rPr>
                <w:rFonts w:ascii="仿宋_GB2312" w:hAnsi="仿宋_GB2312" w:cs="仿宋_GB2312" w:eastAsia="仿宋_GB2312"/>
              </w:rPr>
              <w:t>次重点区域全面人工普查，每次普查人员≥</w:t>
            </w:r>
            <w:r>
              <w:rPr>
                <w:rFonts w:ascii="仿宋_GB2312" w:hAnsi="仿宋_GB2312" w:cs="仿宋_GB2312" w:eastAsia="仿宋_GB2312"/>
              </w:rPr>
              <w:t>8</w:t>
            </w:r>
            <w:r>
              <w:rPr>
                <w:rFonts w:ascii="仿宋_GB2312" w:hAnsi="仿宋_GB2312" w:cs="仿宋_GB2312" w:eastAsia="仿宋_GB2312"/>
              </w:rPr>
              <w:t>人，每次普查时长≥</w:t>
            </w:r>
            <w:r>
              <w:rPr>
                <w:rFonts w:ascii="仿宋_GB2312" w:hAnsi="仿宋_GB2312" w:cs="仿宋_GB2312" w:eastAsia="仿宋_GB2312"/>
              </w:rPr>
              <w:t>4</w:t>
            </w:r>
            <w:r>
              <w:rPr>
                <w:rFonts w:ascii="仿宋_GB2312" w:hAnsi="仿宋_GB2312" w:cs="仿宋_GB2312" w:eastAsia="仿宋_GB2312"/>
              </w:rPr>
              <w:t>天，确保第一时间发现第一时间上报。</w:t>
            </w:r>
          </w:p>
          <w:p>
            <w:pPr>
              <w:pStyle w:val="null3"/>
            </w:pPr>
            <w:r>
              <w:rPr>
                <w:rFonts w:ascii="仿宋_GB2312" w:hAnsi="仿宋_GB2312" w:cs="仿宋_GB2312" w:eastAsia="仿宋_GB2312"/>
              </w:rPr>
              <w:t>2.</w:t>
            </w:r>
            <w:r>
              <w:rPr>
                <w:rFonts w:ascii="仿宋_GB2312" w:hAnsi="仿宋_GB2312" w:cs="仿宋_GB2312" w:eastAsia="仿宋_GB2312"/>
              </w:rPr>
              <w:t>松褐天牛诱捕器监测，每周收集、统计、清理、登记。松材线虫病普查每月利用</w:t>
            </w:r>
            <w:r>
              <w:rPr>
                <w:rFonts w:ascii="仿宋_GB2312" w:hAnsi="仿宋_GB2312" w:cs="仿宋_GB2312" w:eastAsia="仿宋_GB2312"/>
              </w:rPr>
              <w:t>APP</w:t>
            </w:r>
            <w:r>
              <w:rPr>
                <w:rFonts w:ascii="仿宋_GB2312" w:hAnsi="仿宋_GB2312" w:cs="仿宋_GB2312" w:eastAsia="仿宋_GB2312"/>
              </w:rPr>
              <w:t>完成一轮日常监测，并及时上报日常监测数据。</w:t>
            </w:r>
          </w:p>
          <w:p>
            <w:pPr>
              <w:pStyle w:val="null3"/>
            </w:pPr>
            <w:r>
              <w:rPr>
                <w:rFonts w:ascii="仿宋_GB2312" w:hAnsi="仿宋_GB2312" w:cs="仿宋_GB2312" w:eastAsia="仿宋_GB2312"/>
              </w:rPr>
              <w:t>3.</w:t>
            </w:r>
            <w:r>
              <w:rPr>
                <w:rFonts w:ascii="仿宋_GB2312" w:hAnsi="仿宋_GB2312" w:cs="仿宋_GB2312" w:eastAsia="仿宋_GB2312"/>
              </w:rPr>
              <w:t>按照光肩星天牛发生特性合理安排并完成树干注药、人工捕捉成虫、太阳能灭虫灯诱杀等各项工作（灭虫灯每三天清理一次）。</w:t>
            </w:r>
          </w:p>
          <w:p>
            <w:pPr>
              <w:pStyle w:val="null3"/>
              <w:jc w:val="both"/>
            </w:pPr>
            <w:r>
              <w:rPr>
                <w:rFonts w:ascii="仿宋_GB2312" w:hAnsi="仿宋_GB2312" w:cs="仿宋_GB2312" w:eastAsia="仿宋_GB2312"/>
              </w:rPr>
              <w:t>4、预防性防治，设置10个各类常见林业有害生物监测样地，具有专业防治人员和进行应急处置能力，需满足复杂条件下的各类病虫害应急防治，防治方式根据地形及病虫害危害程度可采取空中飞防及地面人工防治，做到第一时间发现第一时间防治，对可能存在爆发性的林业有害生物特别是杨尺蠖、杨毒蛾，柳树河曲丝叶蜂，国槐尺蠖等发生区域采取预防性喷防，喷防面积≥0.3万亩。</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供应商针对本项目提供相应的服务人员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供应商针对本项目提供相应的设备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进度要求： 1、重大林业有害生物(美国白蛾、松材线虫病)监测普查，2025 年4月5日前完成诱捕器布设，2025年5月31日前完成松褐天牛诱捕器布设。2025年10月31日前完成自查总结。 2、预防性防治，2025年4月10日前完成预防性防治方案的制定，包括10个各类常见林业有害生物监测样地的设置，湿地公园光星天牛补充防治的计划和各类药剂设备的准备工作，2025年10月31日前完成自查总结。</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自2025年4月起至2025年10月31日止。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西安市灞桥区林业管理站指定地点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1.重大林业有害生物（美国白蛾、松材线虫病）监测普查依据国家林业和草原局生物灾害防控中心编制的《美国白蛾监测预报技术操作手册》对项目进行验收。 光肩星天牛补充防治依据《光肩星天牛防治技术规程》（LY/T1961-2011）以及其它相关林业有害生物防治规范对项目进行验收。2.其他未尽事宜应严格按照《财政部关于进一步加强政府采购需求和履约验收管理的指导意见》(财库(2016) 205号)的要求进行。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项目验收合格后一次付清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向有管辖权的人民法院提起诉讼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磋商响应文件，同时，线下提交磋商响应文件正本壹套、副本壹套、电子版壹套（密封在一起）。若电子化交易平台文件与纸质磋商响应文件不一致的，以电子化交易平台文件为准。线下递交文件时间与线上磋商截止时间一致；线下递交文件地点：西安市雁塔区二环南路西段88号老三届世纪星大厦30层AB座开标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供应商应具有独立承担民事责任的能力的企业法人、事业法人、其他组织或自然人，出具合法有效的营业执照等相关证明文件，自然人参与的提供其身份证明（加盖公章）； （2）财务状况报告：提供经审计的2023年度财务报告或磋商前六个月内其本公司银行账户出具的资信证明或政府采购专业担保机构出具的磋商担保函（事业单位可不提供）（加盖公章）； （3）税收缴纳证明：供应商提供截止至磋商时间前六个月任一月份的缴费凭据；依法免税的应提供相关文件证明（加盖公章）； （4）社会保障资金缴纳证明：供应商提供截止至磋商时间前六个月任一月份的缴费凭据或社保机构开具的社会保险参保缴费情况证明；依法不需要缴纳社会保障资金的应提供相关文件证明（加盖公章）； （5）供应商提供具有履行本合同所必需的设备和专业技术能力的承诺函（加盖公章）； （6）供应商提供参加政府采购活动前三年内在经营活动中没有重大违法记录的承诺函（加盖公章）。</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一般资格要求.docx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法定代表人直接参加磋商的，须出具法定代表人身份证明及法人身份证；法定代表人授权代表参加磋商的，须出具法定代表人授权书及法人和授权代表身份证。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磋商当天的网站查询记录为准；</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磋商响应方案.docx 中小企业声明函 一般资格要求.docx 报价表 响应文件封面 分项报价表.docx 特殊资格要求.docx 供应商认为有必要补充说明的事项.docx 残疾人福利性单位声明函 业绩证明材料.docx 标的清单 商务要求响应偏离表.docx 服务内容及要求响应偏离表.docx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磋商报价符合唯一性要求； 未超出最高限价</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满足商务条款要求</w:t>
            </w:r>
          </w:p>
        </w:tc>
        <w:tc>
          <w:tcPr>
            <w:tcW w:type="dxa" w:w="1661"/>
          </w:tcPr>
          <w:p>
            <w:pPr>
              <w:pStyle w:val="null3"/>
            </w:pPr>
            <w:r>
              <w:rPr>
                <w:rFonts w:ascii="仿宋_GB2312" w:hAnsi="仿宋_GB2312" w:cs="仿宋_GB2312" w:eastAsia="仿宋_GB2312"/>
              </w:rPr>
              <w:t>商务要求响应偏离表.docx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磋商响应文件签署、盖章</w:t>
            </w:r>
          </w:p>
        </w:tc>
        <w:tc>
          <w:tcPr>
            <w:tcW w:type="dxa" w:w="3322"/>
          </w:tcPr>
          <w:p>
            <w:pPr>
              <w:pStyle w:val="null3"/>
            </w:pPr>
            <w:r>
              <w:rPr>
                <w:rFonts w:ascii="仿宋_GB2312" w:hAnsi="仿宋_GB2312" w:cs="仿宋_GB2312" w:eastAsia="仿宋_GB2312"/>
              </w:rPr>
              <w:t>磋商响应文件的签署、盖章合法、有效</w:t>
            </w:r>
          </w:p>
        </w:tc>
        <w:tc>
          <w:tcPr>
            <w:tcW w:type="dxa" w:w="1661"/>
          </w:tcPr>
          <w:p>
            <w:pPr>
              <w:pStyle w:val="null3"/>
            </w:pPr>
            <w:r>
              <w:rPr>
                <w:rFonts w:ascii="仿宋_GB2312" w:hAnsi="仿宋_GB2312" w:cs="仿宋_GB2312" w:eastAsia="仿宋_GB2312"/>
              </w:rPr>
              <w:t>磋商响应方案.docx 中小企业声明函 一般资格要求.docx 报价表 响应文件封面 分项报价表.docx 特殊资格要求.docx 供应商认为有必要补充说明的事项.docx 残疾人福利性单位声明函 业绩证明材料.docx 标的清单 商务要求响应偏离表.docx 服务内容及要求响应偏离表.docx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其他未达到磋商文件要求的情况</w:t>
            </w:r>
          </w:p>
        </w:tc>
        <w:tc>
          <w:tcPr>
            <w:tcW w:type="dxa" w:w="1661"/>
          </w:tcPr>
          <w:p>
            <w:pPr>
              <w:pStyle w:val="null3"/>
            </w:pPr>
            <w:r>
              <w:rPr>
                <w:rFonts w:ascii="仿宋_GB2312" w:hAnsi="仿宋_GB2312" w:cs="仿宋_GB2312" w:eastAsia="仿宋_GB2312"/>
              </w:rPr>
              <w:t>磋商响应方案.docx 中小企业声明函 一般资格要求.docx 报价表 响应文件封面 分项报价表.docx 特殊资格要求.docx 供应商认为有必要补充说明的事项.docx 残疾人福利性单位声明函 业绩证明材料.docx 标的清单 商务要求响应偏离表.docx 服务内容及要求响应偏离表.docx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美国白蛾监测普查和常规林业有害生物工作方案</w:t>
            </w:r>
          </w:p>
        </w:tc>
        <w:tc>
          <w:tcPr>
            <w:tcW w:type="dxa" w:w="2492"/>
          </w:tcPr>
          <w:p>
            <w:pPr>
              <w:pStyle w:val="null3"/>
            </w:pPr>
            <w:r>
              <w:rPr>
                <w:rFonts w:ascii="仿宋_GB2312" w:hAnsi="仿宋_GB2312" w:cs="仿宋_GB2312" w:eastAsia="仿宋_GB2312"/>
              </w:rPr>
              <w:t>根据供应商提供的美国白蛾监测普查和常规林业有害生物工作方案进行评审，内容包含：①项目特征分析；②物资设备配备； ③防控实施方案；④进度保障措施；⑤资料归档。完全具备上述内容无缺项和缺陷的得20分，每缺少一项内容扣4分，各项中每有一处缺陷扣2分，扣完为止。（注:缺陷是指方案仅有上述项的框架或标题但未结合采购需求做出进一步描述；方案具体内容完全复制采购需求或不符合履约要求规定；方案内容不完整、内容不合理、虽有内容但不完善，内容表述前后不一致或缺少关键节点、套用其他项目方案；引用的法律法规、标准（方法）或其他规范性文件失效或错误；方案内容涉及的名称或时间或地点或人员或数量或岗位或类别或方法存在错误。）</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服务内容及要求响应偏离表.docx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松材线虫病防控工作方案</w:t>
            </w:r>
          </w:p>
        </w:tc>
        <w:tc>
          <w:tcPr>
            <w:tcW w:type="dxa" w:w="2492"/>
          </w:tcPr>
          <w:p>
            <w:pPr>
              <w:pStyle w:val="null3"/>
            </w:pPr>
            <w:r>
              <w:rPr>
                <w:rFonts w:ascii="仿宋_GB2312" w:hAnsi="仿宋_GB2312" w:cs="仿宋_GB2312" w:eastAsia="仿宋_GB2312"/>
              </w:rPr>
              <w:t>根据供应商提供的松材线虫病防控工作方案进行评审，内容包含：①项目特征分析；②物资设备配备； ③防控实施方案；④进度保障措施；⑤资料归档。完全具备上述内容无缺项和缺陷的得20分，每缺少一项内容扣4分，各项中每有一处缺陷扣2分，扣完为止。（注:缺陷是指方案仅有上述项的框架或标题但未结合采购需求做出进一步描述；方案具体内容完全复制采购需求或不符合履约要求规定；方案内容不完整、内容不合理、虽有内容但不完善，内容表述前后不一致或缺少关键节点、套用其他项目方案；引用的法律法规、标准（方法）或其他规范性文件失效或错误；方案内容涉及的名称或时间或地点或人员或数量或岗位或类别或方法存在错误。）</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服务内容及要求响应偏离表.docx</w:t>
            </w:r>
          </w:p>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灞河湿地公园各类林木病虫害监测预防方案</w:t>
            </w:r>
          </w:p>
        </w:tc>
        <w:tc>
          <w:tcPr>
            <w:tcW w:type="dxa" w:w="2492"/>
          </w:tcPr>
          <w:p>
            <w:pPr>
              <w:pStyle w:val="null3"/>
            </w:pPr>
            <w:r>
              <w:rPr>
                <w:rFonts w:ascii="仿宋_GB2312" w:hAnsi="仿宋_GB2312" w:cs="仿宋_GB2312" w:eastAsia="仿宋_GB2312"/>
              </w:rPr>
              <w:t>根据供应商提供的灞河湿地公园各类林木病虫害监测预防方案进行评审，内容包含：①项目特征分析；②物资设备配备； ③防控实施方案；④进度保障措施；⑤资料归档。完全具备上述内容无缺项和缺陷的得20分，每缺少一项内容扣4分，各项中每有一处缺陷扣2分，扣完为止。（注:缺陷是指方案仅有上述项的框架或标题但未结合采购需求做出进一步描述；方案具体内容完全复制采购需求或不符合履约要求规定；方案内容不完整、内容不合理、虽有内容但不完善，内容表述前后不一致或缺少关键节点、套用其他项目方案；引用的法律法规、标准（方法）或其他规范性文件失效或错误；方案内容涉及的名称或时间或地点或人员或数量或岗位或类别或方法存在错误。）</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服务内容及要求响应偏离表.docx</w:t>
            </w:r>
          </w:p>
        </w:tc>
      </w:tr>
      <w:tr>
        <w:tc>
          <w:tcPr>
            <w:tcW w:type="dxa" w:w="831"/>
            <w:vMerge/>
          </w:tcPr>
          <w:p/>
        </w:tc>
        <w:tc>
          <w:tcPr>
            <w:tcW w:type="dxa" w:w="1661"/>
          </w:tcPr>
          <w:p>
            <w:pPr>
              <w:pStyle w:val="null3"/>
            </w:pPr>
            <w:r>
              <w:rPr>
                <w:rFonts w:ascii="仿宋_GB2312" w:hAnsi="仿宋_GB2312" w:cs="仿宋_GB2312" w:eastAsia="仿宋_GB2312"/>
              </w:rPr>
              <w:t>宣传培训</w:t>
            </w:r>
          </w:p>
        </w:tc>
        <w:tc>
          <w:tcPr>
            <w:tcW w:type="dxa" w:w="2492"/>
          </w:tcPr>
          <w:p>
            <w:pPr>
              <w:pStyle w:val="null3"/>
            </w:pPr>
            <w:r>
              <w:rPr>
                <w:rFonts w:ascii="仿宋_GB2312" w:hAnsi="仿宋_GB2312" w:cs="仿宋_GB2312" w:eastAsia="仿宋_GB2312"/>
              </w:rPr>
              <w:t>组织涉林街办和涉木企业以及在建绿化项目工地相关人员开展重大林业有害生物防治技术、《植物检疫条例》《陕西省林业有害生物防治检疫条例》等技术培训。根据供应商提供的培训方案进行综合评审，内容包含：①培训内容；②培训方法；③培训效果。完全具备上述内容无缺项和缺陷的得12分，每有缺少一项内容扣4分，各项中每有一处具有缺陷扣2分，扣完为止。 （注:缺陷是指方案仅有上述项的框架或标题但未结合采购需求做出进一步描述；方案具体内容完全复制采购需求或不符合履约要求规定；方案内容不完整、内容不合理、虽有内容但不完善，内容表述前后不一致或缺少关键节点、套用其他项目方案；引用的法律法规、标准（方法）或其他规范性文件失效或错误；方案内容涉及的名称或时间或地点或人员或数量或岗位或类别或方法存在错误。）</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服务内容及要求响应偏离表.docx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供应商结合项目需求及自身情况，提供拟派人员配置情况，包括但不限于以下内容：①人员配备数量及人员分工；②人员工作经历简介及身份证明、相关资格证书；③拟派人员劳动合同。 供应商组织机构健全，人员经验丰富、具备相关专业知识以及相关资格证书且配备合理及8分； 供应商组织机构基本健全，人员经验较丰富、具备相关专业知识及相关资格证书且配备较合理及5分； 供应商组织机构不健全，人员经验欠缺、相关专业知识及相关资格证书以及配备不合理及3分； 未提供本项计0分。 注：以上人员证书不重复计分。供应商提供拟投入人员的身份证及职称证书复印件加盖供应商公章。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服务内容及要求响应偏离表.docx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供应商2021年1月1日至今，具有类似项目履约经验的，每提供一个得2分，最多得10分。 注：提供合同复印件及中标（成交）通知书复印件并加盖供应商公章，以合同时间以签订时间为准。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经磋商小组评审，通过资格和符合性审查，且响应报价最低的供应商的响应报价作为评审基准价。2.磋商报价得分=（磋商基准价/最后磋商报价）×价格权值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详见附件：磋商响应方案.docx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详见附件：服务内容及要求响应偏离表.docx</w:t>
      </w:r>
    </w:p>
    <w:p>
      <w:pPr>
        <w:pStyle w:val="null3"/>
        <w:ind w:firstLine="960"/>
      </w:pPr>
      <w:r>
        <w:rPr>
          <w:rFonts w:ascii="仿宋_GB2312" w:hAnsi="仿宋_GB2312" w:cs="仿宋_GB2312" w:eastAsia="仿宋_GB2312"/>
        </w:rPr>
        <w:t>详见附件：供应商认为有必要补充说明的事项.docx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