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2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</w:t>
      </w:r>
      <w:bookmarkStart w:id="0" w:name="_GoBack"/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bookmarkEnd w:id="0"/>
      <w:r>
        <w:rPr>
          <w:rFonts w:hint="eastAsia" w:ascii="宋体" w:hAnsi="宋体" w:cs="宋体"/>
          <w:sz w:val="24"/>
        </w:rPr>
        <w:t>。偏离说明对偏离情况做出详细说明。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文件“第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 xml:space="preserve">章 </w:t>
      </w:r>
      <w:r>
        <w:rPr>
          <w:rFonts w:hint="eastAsia" w:ascii="宋体" w:hAnsi="宋体" w:cs="宋体"/>
          <w:sz w:val="24"/>
          <w:lang w:val="en-US" w:eastAsia="zh-CN"/>
        </w:rPr>
        <w:t>3.3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94705AB"/>
    <w:rsid w:val="39BF6C11"/>
    <w:rsid w:val="3BF3011D"/>
    <w:rsid w:val="455C75A3"/>
    <w:rsid w:val="4D1D7170"/>
    <w:rsid w:val="4D646013"/>
    <w:rsid w:val="4E171030"/>
    <w:rsid w:val="4E8E31EC"/>
    <w:rsid w:val="504A7CCC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2023-10-09T09:21:42Z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2BF148503C08443B8A3D553648DE92D3_13</vt:lpwstr>
  </property>
</Properties>
</file>