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版本号：SXHJZB-2025-1320250418001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西安市灞桥区2025年中央水利发展资金山洪灾害防治项目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SXHJZB-2025-13</w:t>
      </w:r>
      <w:r>
        <w:br/>
      </w:r>
      <w:r>
        <w:br/>
      </w:r>
      <w:r>
        <w:br/>
      </w:r>
    </w:p>
    <w:p>
      <w:pPr>
        <w:pStyle w:val="null3"/>
        <w:jc w:val="center"/>
        <w:outlineLvl w:val="2"/>
      </w:pPr>
      <w:r>
        <w:rPr>
          <w:rFonts w:ascii="仿宋_GB2312" w:hAnsi="仿宋_GB2312" w:cs="仿宋_GB2312" w:eastAsia="仿宋_GB2312"/>
          <w:sz w:val="28"/>
          <w:b/>
        </w:rPr>
        <w:t>西安市灞桥区水务局</w:t>
      </w:r>
    </w:p>
    <w:p>
      <w:pPr>
        <w:pStyle w:val="null3"/>
        <w:jc w:val="center"/>
        <w:outlineLvl w:val="2"/>
      </w:pPr>
      <w:r>
        <w:rPr>
          <w:rFonts w:ascii="仿宋_GB2312" w:hAnsi="仿宋_GB2312" w:cs="仿宋_GB2312" w:eastAsia="仿宋_GB2312"/>
          <w:sz w:val="28"/>
          <w:b/>
        </w:rPr>
        <w:t>陕西华璟项目管理有限公司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陕西华璟项目管理有限公司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西安市灞桥区水务局</w:t>
      </w:r>
      <w:r>
        <w:rPr>
          <w:rFonts w:ascii="仿宋_GB2312" w:hAnsi="仿宋_GB2312" w:cs="仿宋_GB2312" w:eastAsia="仿宋_GB2312"/>
        </w:rPr>
        <w:t>委托，拟对</w:t>
      </w:r>
      <w:r>
        <w:rPr>
          <w:rFonts w:ascii="仿宋_GB2312" w:hAnsi="仿宋_GB2312" w:cs="仿宋_GB2312" w:eastAsia="仿宋_GB2312"/>
        </w:rPr>
        <w:t>西安市灞桥区2025年中央水利发展资金山洪灾害防治项目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SXHJZB-2025-13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西安市灞桥区2025年中央水利发展资金山洪灾害防治项目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本次项目建设内容为西安市灞桥区2025年中央水利发展资金山洪灾害防治项目，共计1个标段（具体内容详见竞争性磋商文件）。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采购包1（西安市灞桥区2025年中央水利发展资金山洪灾害防治项目）：属于专门面向中小企业采购。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pPr>
        <w:pStyle w:val="null3"/>
      </w:pPr>
      <w:r>
        <w:rPr>
          <w:rFonts w:ascii="仿宋_GB2312" w:hAnsi="仿宋_GB2312" w:cs="仿宋_GB2312" w:eastAsia="仿宋_GB2312"/>
        </w:rPr>
        <w:t>3、信用主体查询：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4、财务状况报告：提供2023年度或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提供投标截止日前六个月内已缴纳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提供投标截止日前六个月内已缴纳的至少一个月的纳税证明或完税证明（任意税种），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7、声明：供应商提供具有履行合同所必需的设备和专业技术能力的声明；</w:t>
      </w:r>
    </w:p>
    <w:p>
      <w:pPr>
        <w:pStyle w:val="null3"/>
      </w:pPr>
      <w:r>
        <w:rPr>
          <w:rFonts w:ascii="仿宋_GB2312" w:hAnsi="仿宋_GB2312" w:cs="仿宋_GB2312" w:eastAsia="仿宋_GB2312"/>
        </w:rPr>
        <w:t>8、法定代表人授权书：法定代表人授权书及被授权人身份证复印件（法定代表人直接参加投标只须提供法定代表人身份证明）。供应商需在项目电子化交易系统中按要求上传相应证明文件并进行电子签章；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9、本项目不接受联合体响应，不允许分包：供应商提供《非联合体不分包投标承诺》，视为独立响应，不分包。供应商应提供承诺书，格式及内容具体参见“响应文件格式”</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029-83510107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西安市高新区沣惠南路与科技二路交叉路口西南侧泰华金贸国际6号楼902室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史莉君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13239105520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委托人与受托人约定：中标（成交）服务费参照《国家计委关于印发&lt;招标代理服务收费管理暂行办法&gt;的通知》（计价格【2002】1980号）规定的标准收取，由中标（成交）供应商向受托人支付，本项目代理服务费按定额5000元整收取。 成交供应商在领取《成交通知书》前，须向采购代理机构一次性支付招标代理服务费。 代理费账户信息： 开户名称：陕西华璟项目管理有限公司 开 户 行：中国工商银行股份有限公司西安高新技术开发区支行 账 号：3700024609200529721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西安市灞桥区水务局</w:t>
      </w:r>
      <w:r>
        <w:rPr>
          <w:rFonts w:ascii="仿宋_GB2312" w:hAnsi="仿宋_GB2312" w:cs="仿宋_GB2312" w:eastAsia="仿宋_GB2312"/>
        </w:rPr>
        <w:t>和</w:t>
      </w:r>
      <w:r>
        <w:rPr>
          <w:rFonts w:ascii="仿宋_GB2312" w:hAnsi="仿宋_GB2312" w:cs="仿宋_GB2312" w:eastAsia="仿宋_GB2312"/>
        </w:rPr>
        <w:t>陕西华璟项目管理有限公司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按照现行法律、地方性法规及国家标准、水利部、市场监督管理局有关标准与规范执行。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联系人：史莉君</w:t>
      </w:r>
    </w:p>
    <w:p>
      <w:pPr>
        <w:pStyle w:val="null3"/>
      </w:pPr>
      <w:r>
        <w:rPr>
          <w:rFonts w:ascii="仿宋_GB2312" w:hAnsi="仿宋_GB2312" w:cs="仿宋_GB2312" w:eastAsia="仿宋_GB2312"/>
        </w:rPr>
        <w:t>联系电话：13239105520</w:t>
      </w:r>
    </w:p>
    <w:p>
      <w:pPr>
        <w:pStyle w:val="null3"/>
      </w:pPr>
      <w:r>
        <w:rPr>
          <w:rFonts w:ascii="仿宋_GB2312" w:hAnsi="仿宋_GB2312" w:cs="仿宋_GB2312" w:eastAsia="仿宋_GB2312"/>
        </w:rPr>
        <w:t>地址：西安市高新区沣惠南路与科技二路交叉路口西南侧泰华金贸国际6号楼902室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本项目为西安市灞桥区2025年中央水利发展资金山洪灾害防治项目，具体内容详见磋商文件。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西安市灞桥区2025年中央水利发展资金山洪灾害防治项目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标的名称：西安市灞桥区2025年中央水利发展资金山洪灾害防治项目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jc w:val="both"/>
            </w:pPr>
            <w:r>
              <w:rPr>
                <w:rFonts w:ascii="仿宋_GB2312" w:hAnsi="仿宋_GB2312" w:cs="仿宋_GB2312" w:eastAsia="仿宋_GB2312"/>
                <w:sz w:val="18"/>
                <w:b/>
                <w:color w:val="000000"/>
              </w:rPr>
              <w:t>一、</w:t>
            </w:r>
            <w:r>
              <w:rPr>
                <w:rFonts w:ascii="仿宋_GB2312" w:hAnsi="仿宋_GB2312" w:cs="仿宋_GB2312" w:eastAsia="仿宋_GB2312"/>
                <w:sz w:val="18"/>
                <w:b/>
                <w:color w:val="000000"/>
              </w:rPr>
              <w:t>项目概况</w:t>
            </w:r>
          </w:p>
          <w:p>
            <w:pPr>
              <w:pStyle w:val="null3"/>
              <w:jc w:val="both"/>
            </w:pPr>
            <w:r>
              <w:rPr>
                <w:rFonts w:ascii="仿宋_GB2312" w:hAnsi="仿宋_GB2312" w:cs="仿宋_GB2312" w:eastAsia="仿宋_GB2312"/>
                <w:sz w:val="18"/>
                <w:color w:val="000000"/>
              </w:rPr>
              <w:t>本次项目建设内容主要包括：明白卡</w:t>
            </w:r>
            <w:r>
              <w:rPr>
                <w:rFonts w:ascii="仿宋_GB2312" w:hAnsi="仿宋_GB2312" w:cs="仿宋_GB2312" w:eastAsia="仿宋_GB2312"/>
                <w:sz w:val="18"/>
                <w:color w:val="000000"/>
              </w:rPr>
              <w:t>8张、宣传展板5个、铜锣 8只、口哨20个、手摇报警器8个、手持扩音器8个、应急照明8 个、呼叫器3台、应答器11台、山洪灾害培训演练各1场、区级镇 级村级山洪灾害防御预案修编。山洪灾害危险区复核。</w:t>
            </w:r>
          </w:p>
          <w:p>
            <w:pPr>
              <w:pStyle w:val="null3"/>
            </w:pPr>
            <w:r>
              <w:rPr>
                <w:rFonts w:ascii="仿宋_GB2312" w:hAnsi="仿宋_GB2312" w:cs="仿宋_GB2312" w:eastAsia="仿宋_GB2312"/>
                <w:sz w:val="18"/>
                <w:b/>
                <w:color w:val="000000"/>
              </w:rPr>
              <w:t>二、服务内容</w:t>
            </w:r>
          </w:p>
          <w:tbl>
            <w:tblPr>
              <w:tblInd w:type="dxa" w:w="120"/>
              <w:tblBorders>
                <w:top w:val="none" w:color="000000" w:sz="4"/>
                <w:left w:val="none" w:color="000000" w:sz="4"/>
                <w:bottom w:val="none" w:color="000000" w:sz="4"/>
                <w:right w:val="none" w:color="000000" w:sz="4"/>
                <w:insideH w:val="none"/>
                <w:insideV w:val="none"/>
              </w:tblBorders>
            </w:tblPr>
            <w:tblGrid>
              <w:gridCol w:w="136"/>
              <w:gridCol w:w="278"/>
              <w:gridCol w:w="1013"/>
              <w:gridCol w:w="200"/>
              <w:gridCol w:w="233"/>
            </w:tblGrid>
            <w:tr>
              <w:tc>
                <w:tcPr>
                  <w:tcW w:type="dxa" w:w="1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b/>
                      <w:color w:val="000000"/>
                    </w:rPr>
                    <w:t>序号</w:t>
                  </w:r>
                </w:p>
              </w:tc>
              <w:tc>
                <w:tcPr>
                  <w:tcW w:type="dxa" w:w="2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b/>
                      <w:color w:val="000000"/>
                    </w:rPr>
                    <w:t>设备名称</w:t>
                  </w:r>
                </w:p>
              </w:tc>
              <w:tc>
                <w:tcPr>
                  <w:tcW w:type="dxa" w:w="10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b/>
                      <w:color w:val="000000"/>
                    </w:rPr>
                    <w:t>规格</w:t>
                  </w:r>
                </w:p>
              </w:tc>
              <w:tc>
                <w:tcPr>
                  <w:tcW w:type="dxa" w:w="2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b/>
                      <w:color w:val="000000"/>
                    </w:rPr>
                    <w:t>数量</w:t>
                  </w:r>
                </w:p>
              </w:tc>
              <w:tc>
                <w:tcPr>
                  <w:tcW w:type="dxa" w:w="2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b/>
                      <w:color w:val="000000"/>
                    </w:rPr>
                    <w:t>单位</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制作明白卡</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15cm*10cm,不干胶油光硬卡纸 单张</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8</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张</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2</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制作宣传手册</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折页</w:t>
                  </w:r>
                  <w:r>
                    <w:rPr>
                      <w:rFonts w:ascii="仿宋_GB2312" w:hAnsi="仿宋_GB2312" w:cs="仿宋_GB2312" w:eastAsia="仿宋_GB2312"/>
                      <w:sz w:val="18"/>
                      <w:color w:val="000000"/>
                    </w:rPr>
                    <w:t>(三折页)</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200</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本</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3</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宣传展板</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2m*1.2m</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5</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个</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4</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铜锣</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厚度：</w:t>
                  </w:r>
                  <w:r>
                    <w:rPr>
                      <w:rFonts w:ascii="仿宋_GB2312" w:hAnsi="仿宋_GB2312" w:cs="仿宋_GB2312" w:eastAsia="仿宋_GB2312"/>
                      <w:sz w:val="18"/>
                      <w:color w:val="000000"/>
                    </w:rPr>
                    <w:t>2mm,直径：≥290mm,</w:t>
                  </w:r>
                </w:p>
                <w:p>
                  <w:pPr>
                    <w:pStyle w:val="null3"/>
                    <w:jc w:val="center"/>
                  </w:pPr>
                  <w:r>
                    <w:rPr>
                      <w:rFonts w:ascii="仿宋_GB2312" w:hAnsi="仿宋_GB2312" w:cs="仿宋_GB2312" w:eastAsia="仿宋_GB2312"/>
                      <w:sz w:val="18"/>
                      <w:color w:val="000000"/>
                    </w:rPr>
                    <w:t>高度：</w:t>
                  </w:r>
                  <w:r>
                    <w:rPr>
                      <w:rFonts w:ascii="仿宋_GB2312" w:hAnsi="仿宋_GB2312" w:cs="仿宋_GB2312" w:eastAsia="仿宋_GB2312"/>
                      <w:sz w:val="18"/>
                      <w:color w:val="000000"/>
                    </w:rPr>
                    <w:t>3.5cm,重量：一斤左右</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8</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只</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5</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口</w:t>
                  </w:r>
                  <w:r>
                    <w:rPr>
                      <w:rFonts w:ascii="仿宋_GB2312" w:hAnsi="仿宋_GB2312" w:cs="仿宋_GB2312" w:eastAsia="仿宋_GB2312"/>
                      <w:sz w:val="18"/>
                      <w:color w:val="000000"/>
                    </w:rPr>
                    <w:t>哨</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7mm*51mm</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20</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只</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6</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手摇报警器</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音响频率</w:t>
                  </w:r>
                  <w:r>
                    <w:rPr>
                      <w:rFonts w:ascii="仿宋_GB2312" w:hAnsi="仿宋_GB2312" w:cs="仿宋_GB2312" w:eastAsia="仿宋_GB2312"/>
                      <w:sz w:val="18"/>
                      <w:color w:val="000000"/>
                    </w:rPr>
                    <w:t>600士20Hz,产品款式：便携式，产品材质：铝合金，产品重量：4-4.5kg,声音等级120+2db(a)1m,传送距离：&gt;2000中M</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8</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个</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7</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手持扩音器</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频响范围：</w:t>
                  </w:r>
                  <w:r>
                    <w:rPr>
                      <w:rFonts w:ascii="仿宋_GB2312" w:hAnsi="仿宋_GB2312" w:cs="仿宋_GB2312" w:eastAsia="仿宋_GB2312"/>
                      <w:sz w:val="18"/>
                      <w:color w:val="000000"/>
                    </w:rPr>
                    <w:t>50-100000,输出功率：15-75,</w:t>
                  </w:r>
                </w:p>
                <w:p>
                  <w:pPr>
                    <w:pStyle w:val="null3"/>
                    <w:jc w:val="center"/>
                  </w:pP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≥75dB,供电方式：内置锂电池，</w:t>
                  </w:r>
                </w:p>
                <w:p>
                  <w:pPr>
                    <w:pStyle w:val="null3"/>
                    <w:jc w:val="center"/>
                  </w:pPr>
                  <w:r>
                    <w:rPr>
                      <w:rFonts w:ascii="仿宋_GB2312" w:hAnsi="仿宋_GB2312" w:cs="仿宋_GB2312" w:eastAsia="仿宋_GB2312"/>
                      <w:sz w:val="18"/>
                      <w:color w:val="000000"/>
                    </w:rPr>
                    <w:t>操作方式：按键，扩展存储：</w:t>
                  </w:r>
                  <w:r>
                    <w:rPr>
                      <w:rFonts w:ascii="仿宋_GB2312" w:hAnsi="仿宋_GB2312" w:cs="仿宋_GB2312" w:eastAsia="仿宋_GB2312"/>
                      <w:sz w:val="18"/>
                      <w:color w:val="000000"/>
                    </w:rPr>
                    <w:t>32GB</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8</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个</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8</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应急照明</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亮度</w:t>
                  </w:r>
                  <w:r>
                    <w:rPr>
                      <w:rFonts w:ascii="仿宋_GB2312" w:hAnsi="仿宋_GB2312" w:cs="仿宋_GB2312" w:eastAsia="仿宋_GB2312"/>
                      <w:sz w:val="18"/>
                      <w:color w:val="000000"/>
                    </w:rPr>
                    <w:t>(LM):5000,功率(W):60,</w:t>
                  </w:r>
                </w:p>
                <w:p>
                  <w:pPr>
                    <w:pStyle w:val="null3"/>
                    <w:jc w:val="center"/>
                  </w:pPr>
                  <w:r>
                    <w:rPr>
                      <w:rFonts w:ascii="仿宋_GB2312" w:hAnsi="仿宋_GB2312" w:cs="仿宋_GB2312" w:eastAsia="仿宋_GB2312"/>
                      <w:sz w:val="18"/>
                      <w:color w:val="000000"/>
                    </w:rPr>
                    <w:t>射程</w:t>
                  </w:r>
                  <w:r>
                    <w:rPr>
                      <w:rFonts w:ascii="仿宋_GB2312" w:hAnsi="仿宋_GB2312" w:cs="仿宋_GB2312" w:eastAsia="仿宋_GB2312"/>
                      <w:sz w:val="18"/>
                      <w:color w:val="000000"/>
                    </w:rPr>
                    <w:t>(M):600,电池：18650,</w:t>
                  </w:r>
                </w:p>
                <w:p>
                  <w:pPr>
                    <w:pStyle w:val="null3"/>
                    <w:jc w:val="center"/>
                  </w:pPr>
                  <w:r>
                    <w:rPr>
                      <w:rFonts w:ascii="仿宋_GB2312" w:hAnsi="仿宋_GB2312" w:cs="仿宋_GB2312" w:eastAsia="仿宋_GB2312"/>
                      <w:sz w:val="18"/>
                      <w:color w:val="000000"/>
                    </w:rPr>
                    <w:t>续航时间</w:t>
                  </w:r>
                  <w:r>
                    <w:rPr>
                      <w:rFonts w:ascii="仿宋_GB2312" w:hAnsi="仿宋_GB2312" w:cs="仿宋_GB2312" w:eastAsia="仿宋_GB2312"/>
                      <w:sz w:val="18"/>
                      <w:color w:val="000000"/>
                    </w:rPr>
                    <w:t>(H):约5-8H</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8</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把</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9</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呼叫器</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支持标准水文协议</w:t>
                  </w:r>
                  <w:r>
                    <w:rPr>
                      <w:rFonts w:ascii="仿宋_GB2312" w:hAnsi="仿宋_GB2312" w:cs="仿宋_GB2312" w:eastAsia="仿宋_GB2312"/>
                      <w:sz w:val="18"/>
                      <w:color w:val="000000"/>
                    </w:rPr>
                    <w:t>SL-651协议</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3</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台</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10</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应答器</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4G、无线LoRa传输无遮挡物的情况下2000米</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11</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只</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11</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线缆辅材</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2芯数据线</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11</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批</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12</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物联卡</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流量卡</w:t>
                  </w:r>
                  <w:r>
                    <w:rPr>
                      <w:rFonts w:ascii="仿宋_GB2312" w:hAnsi="仿宋_GB2312" w:cs="仿宋_GB2312" w:eastAsia="仿宋_GB2312"/>
                      <w:sz w:val="18"/>
                      <w:color w:val="000000"/>
                    </w:rPr>
                    <w:t>/年</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14</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张</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13</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培训</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场地：</w:t>
                  </w:r>
                  <w:r>
                    <w:rPr>
                      <w:rFonts w:ascii="仿宋_GB2312" w:hAnsi="仿宋_GB2312" w:cs="仿宋_GB2312" w:eastAsia="仿宋_GB2312"/>
                      <w:sz w:val="18"/>
                      <w:color w:val="000000"/>
                    </w:rPr>
                    <w:t>50人，满足培训会议要 求</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场</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14</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演练</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结合实际，在灞桥区山洪灾害</w:t>
                  </w:r>
                  <w:r>
                    <w:rPr>
                      <w:rFonts w:ascii="仿宋_GB2312" w:hAnsi="仿宋_GB2312" w:cs="仿宋_GB2312" w:eastAsia="仿宋_GB2312"/>
                      <w:sz w:val="18"/>
                      <w:color w:val="000000"/>
                    </w:rPr>
                    <w:t>危险区选择演练位置</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场</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15</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区级预案修编</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项</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16</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街办</w:t>
                  </w:r>
                  <w:r>
                    <w:rPr>
                      <w:rFonts w:ascii="仿宋_GB2312" w:hAnsi="仿宋_GB2312" w:cs="仿宋_GB2312" w:eastAsia="仿宋_GB2312"/>
                      <w:sz w:val="18"/>
                      <w:color w:val="000000"/>
                    </w:rPr>
                    <w:t>(乡)预案修编</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项</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17</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村级预案修编</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2</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项</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18</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山洪灾害危险区复核</w:t>
                  </w:r>
                </w:p>
              </w:tc>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项</w:t>
                  </w:r>
                </w:p>
              </w:tc>
            </w:tr>
          </w:tbl>
          <w:p>
            <w:pPr>
              <w:pStyle w:val="null3"/>
              <w:jc w:val="both"/>
            </w:pPr>
            <w:r>
              <w:rPr>
                <w:rFonts w:ascii="仿宋_GB2312" w:hAnsi="仿宋_GB2312" w:cs="仿宋_GB2312" w:eastAsia="仿宋_GB2312"/>
                <w:sz w:val="18"/>
                <w:b/>
                <w:color w:val="000000"/>
              </w:rPr>
              <w:t>三、技术要求</w:t>
            </w:r>
            <w:r>
              <w:rPr>
                <w:rFonts w:ascii="仿宋_GB2312" w:hAnsi="仿宋_GB2312" w:cs="仿宋_GB2312" w:eastAsia="仿宋_GB2312"/>
                <w:sz w:val="18"/>
                <w:b/>
                <w:color w:val="000000"/>
              </w:rPr>
              <w:t>(如有，一般适合于技术服务项目)</w:t>
            </w:r>
          </w:p>
          <w:p>
            <w:pPr>
              <w:pStyle w:val="null3"/>
              <w:jc w:val="both"/>
            </w:pPr>
            <w:r>
              <w:rPr>
                <w:rFonts w:ascii="仿宋_GB2312" w:hAnsi="仿宋_GB2312" w:cs="仿宋_GB2312" w:eastAsia="仿宋_GB2312"/>
                <w:sz w:val="18"/>
                <w:color w:val="000000"/>
              </w:rPr>
              <w:t>（1）要求符合现行法律法规，专业技术服务执行水利部、市场监督管理局现行有关规范、标准。</w:t>
            </w:r>
            <w:r>
              <w:br/>
            </w:r>
            <w:r>
              <w:rPr>
                <w:rFonts w:ascii="仿宋_GB2312" w:hAnsi="仿宋_GB2312" w:cs="仿宋_GB2312" w:eastAsia="仿宋_GB2312"/>
                <w:sz w:val="18"/>
                <w:color w:val="000000"/>
              </w:rPr>
              <w:t xml:space="preserve"> （2）质量要求:达到国家现行要求合格标准。</w:t>
            </w:r>
          </w:p>
          <w:p>
            <w:pPr>
              <w:pStyle w:val="null3"/>
              <w:jc w:val="both"/>
            </w:pPr>
            <w:r>
              <w:rPr>
                <w:rFonts w:ascii="仿宋_GB2312" w:hAnsi="仿宋_GB2312" w:cs="仿宋_GB2312" w:eastAsia="仿宋_GB2312"/>
                <w:sz w:val="18"/>
                <w:b/>
                <w:color w:val="000000"/>
              </w:rPr>
              <w:t>四、服务要求</w:t>
            </w:r>
            <w:r>
              <w:rPr>
                <w:rFonts w:ascii="仿宋_GB2312" w:hAnsi="仿宋_GB2312" w:cs="仿宋_GB2312" w:eastAsia="仿宋_GB2312"/>
                <w:sz w:val="18"/>
                <w:b/>
                <w:color w:val="000000"/>
              </w:rPr>
              <w:t>(如对人员配置、专业设备、服务标准等)</w:t>
            </w:r>
          </w:p>
          <w:p>
            <w:pPr>
              <w:pStyle w:val="null3"/>
              <w:ind w:firstLine="364"/>
              <w:jc w:val="left"/>
            </w:pPr>
            <w:r>
              <w:rPr>
                <w:rFonts w:ascii="仿宋_GB2312" w:hAnsi="仿宋_GB2312" w:cs="仿宋_GB2312" w:eastAsia="仿宋_GB2312"/>
                <w:sz w:val="18"/>
                <w:color w:val="000000"/>
              </w:rPr>
              <w:t>在合同执行过程中需要服务商应执行的相关服务标准和应当履行的相关义务。</w:t>
            </w:r>
          </w:p>
          <w:p>
            <w:pPr>
              <w:pStyle w:val="null3"/>
              <w:jc w:val="both"/>
            </w:pPr>
            <w:r>
              <w:rPr>
                <w:rFonts w:ascii="仿宋_GB2312" w:hAnsi="仿宋_GB2312" w:cs="仿宋_GB2312" w:eastAsia="仿宋_GB2312"/>
                <w:sz w:val="18"/>
                <w:b/>
                <w:color w:val="000000"/>
              </w:rPr>
              <w:t>五、商务要求</w:t>
            </w:r>
            <w:r>
              <w:rPr>
                <w:rFonts w:ascii="仿宋_GB2312" w:hAnsi="仿宋_GB2312" w:cs="仿宋_GB2312" w:eastAsia="仿宋_GB2312"/>
                <w:sz w:val="18"/>
                <w:b/>
                <w:color w:val="000000"/>
              </w:rPr>
              <w:t>(如服务期限、款项结算等)</w:t>
            </w:r>
          </w:p>
          <w:p>
            <w:pPr>
              <w:pStyle w:val="null3"/>
              <w:ind w:firstLine="364"/>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、工程期：自合同签订之日起</w:t>
            </w:r>
            <w:r>
              <w:rPr>
                <w:rFonts w:ascii="仿宋_GB2312" w:hAnsi="仿宋_GB2312" w:cs="仿宋_GB2312" w:eastAsia="仿宋_GB2312"/>
                <w:sz w:val="18"/>
                <w:color w:val="000000"/>
              </w:rPr>
              <w:t>45天完成全部项目内容，并交付采购人验收合格。</w:t>
            </w:r>
          </w:p>
          <w:p>
            <w:pPr>
              <w:pStyle w:val="null3"/>
              <w:ind w:firstLine="364"/>
              <w:jc w:val="left"/>
            </w:pPr>
            <w:r>
              <w:rPr>
                <w:rFonts w:ascii="仿宋_GB2312" w:hAnsi="仿宋_GB2312" w:cs="仿宋_GB2312" w:eastAsia="仿宋_GB2312"/>
                <w:sz w:val="18"/>
                <w:color w:val="000000"/>
              </w:rPr>
              <w:t>二、款项结算：签订合同后甲方向乙方支付合同金额</w:t>
            </w:r>
            <w:r>
              <w:rPr>
                <w:rFonts w:ascii="仿宋_GB2312" w:hAnsi="仿宋_GB2312" w:cs="仿宋_GB2312" w:eastAsia="仿宋_GB2312"/>
                <w:sz w:val="18"/>
                <w:color w:val="000000"/>
              </w:rPr>
              <w:t>40%的预付款，项目验收合格后，达到付款条件起30日内，支付至合同总金额的100.00%。</w:t>
            </w:r>
          </w:p>
          <w:p>
            <w:pPr>
              <w:pStyle w:val="null3"/>
              <w:jc w:val="both"/>
            </w:pPr>
            <w:r>
              <w:rPr>
                <w:rFonts w:ascii="仿宋_GB2312" w:hAnsi="仿宋_GB2312" w:cs="仿宋_GB2312" w:eastAsia="仿宋_GB2312"/>
                <w:sz w:val="18"/>
                <w:b/>
                <w:color w:val="000000"/>
              </w:rPr>
              <w:t>六、其他</w:t>
            </w:r>
            <w:r>
              <w:rPr>
                <w:rFonts w:ascii="仿宋_GB2312" w:hAnsi="仿宋_GB2312" w:cs="仿宋_GB2312" w:eastAsia="仿宋_GB2312"/>
                <w:sz w:val="18"/>
                <w:b/>
                <w:color w:val="000000"/>
              </w:rPr>
              <w:t>(如有要求，请写明)</w:t>
            </w:r>
          </w:p>
          <w:p>
            <w:pPr>
              <w:pStyle w:val="null3"/>
              <w:ind w:firstLine="364"/>
              <w:jc w:val="left"/>
            </w:pPr>
            <w:r>
              <w:rPr>
                <w:rFonts w:ascii="仿宋_GB2312" w:hAnsi="仿宋_GB2312" w:cs="仿宋_GB2312" w:eastAsia="仿宋_GB2312"/>
                <w:sz w:val="18"/>
                <w:color w:val="000000"/>
              </w:rPr>
              <w:t>(一)质量验收标准或规范</w:t>
            </w:r>
          </w:p>
          <w:p>
            <w:pPr>
              <w:pStyle w:val="null3"/>
              <w:ind w:firstLine="364"/>
              <w:jc w:val="left"/>
            </w:pPr>
            <w:r>
              <w:rPr>
                <w:rFonts w:ascii="仿宋_GB2312" w:hAnsi="仿宋_GB2312" w:cs="仿宋_GB2312" w:eastAsia="仿宋_GB2312"/>
                <w:sz w:val="18"/>
                <w:color w:val="000000"/>
              </w:rPr>
              <w:t>现行的国家标准或国家行政部门颁布的法律法规、规章制度等，是项目验收的另一个重要依据。没有国家标准的，可以参考行业标准。</w:t>
            </w:r>
          </w:p>
          <w:p>
            <w:pPr>
              <w:pStyle w:val="null3"/>
              <w:ind w:firstLine="364"/>
              <w:jc w:val="left"/>
            </w:pPr>
            <w:r>
              <w:rPr>
                <w:rFonts w:ascii="仿宋_GB2312" w:hAnsi="仿宋_GB2312" w:cs="仿宋_GB2312" w:eastAsia="仿宋_GB2312"/>
                <w:sz w:val="18"/>
                <w:color w:val="000000"/>
              </w:rPr>
              <w:t>(二)产品质保期</w:t>
            </w:r>
          </w:p>
          <w:p>
            <w:pPr>
              <w:pStyle w:val="null3"/>
              <w:ind w:firstLine="364"/>
              <w:jc w:val="left"/>
            </w:pPr>
            <w:r>
              <w:rPr>
                <w:rFonts w:ascii="仿宋_GB2312" w:hAnsi="仿宋_GB2312" w:cs="仿宋_GB2312" w:eastAsia="仿宋_GB2312"/>
                <w:sz w:val="18"/>
                <w:color w:val="000000"/>
              </w:rPr>
              <w:t>以产品出厂保质期为准；</w:t>
            </w:r>
          </w:p>
          <w:p>
            <w:pPr>
              <w:pStyle w:val="null3"/>
              <w:ind w:firstLine="364"/>
              <w:jc w:val="left"/>
            </w:pPr>
            <w:r>
              <w:rPr>
                <w:rFonts w:ascii="仿宋_GB2312" w:hAnsi="仿宋_GB2312" w:cs="仿宋_GB2312" w:eastAsia="仿宋_GB2312"/>
                <w:sz w:val="18"/>
                <w:color w:val="000000"/>
              </w:rPr>
              <w:t>(三)违约责任</w:t>
            </w:r>
          </w:p>
          <w:p>
            <w:pPr>
              <w:pStyle w:val="null3"/>
              <w:jc w:val="left"/>
            </w:pPr>
            <w:r>
              <w:rPr>
                <w:rFonts w:ascii="仿宋_GB2312" w:hAnsi="仿宋_GB2312" w:cs="仿宋_GB2312" w:eastAsia="仿宋_GB2312"/>
                <w:sz w:val="18"/>
                <w:color w:val="000000"/>
              </w:rPr>
              <w:t>另行约定。供应商在履行合同过程中，出现了合同条款内的违约条件，应按照合同约定承担相应的违约责任。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有完善的项目实施团队。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有完成本项目服务所需的设备，提供设备清单。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自合同签订之日起45天完成全部项目内容，并交付采购人验收合格。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按照现行法律、地方性法规及国家标准、水利部、市场监督管理局有关标准与规范执行。具体详见磋商文件相关要求。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2.未按合同要求提供服务或质量标准不能满足技术要求，采购人有 权终止合同，并对成交人违约行为进行追究，同时按《中华人民共和国政府采购法》的有关规定进行处罚。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六个月内已缴纳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六个月内已缴纳的至少一个月的纳税证明或完税证明（任意税种），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供应商提供具有履行合同所必需的设备和专业技术能力的声明；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供应商提供《非联合体不分包投标承诺》，视为独立响应，不分包。供应商应提供承诺书，格式及内容具体参见“响应文件格式”</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商务及合同主要条款响应说明.docx 供应商类似项目业绩一览表.docx 中小企业声明函 供应商认为有必要说明、阐述的事项或其他材料.docx 供应商应提交的相关资格证明材料 报价表 资格证明文件.docx 响应文件封面 残疾人福利性单位声明函 服务方案 标的清单 供应商拒绝政府采购领域商业贿赂承诺书.docx 技术、服务条款响应偏离表.docx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对本项目工作的理解与认识</w:t>
            </w:r>
          </w:p>
        </w:tc>
        <w:tc>
          <w:tcPr>
            <w:tcW w:type="dxa" w:w="2492"/>
          </w:tcPr>
          <w:p>
            <w:pPr>
              <w:pStyle w:val="null3"/>
            </w:pPr>
            <w:r>
              <w:rPr>
                <w:rFonts w:ascii="仿宋_GB2312" w:hAnsi="仿宋_GB2312" w:cs="仿宋_GB2312" w:eastAsia="仿宋_GB2312"/>
              </w:rPr>
              <w:t>一、评审内容 供应商针对本项目工作的理解与认识，内容包含：①对项目内容、任务、目标的理解与认识②对任务影响因素的认识与理解③对主要技术依据文件、技术指标要求、成果规格要求的认识与理解。 二、评审标准 1、完整性：理解必须全面，对评审内容中的各项要求有详细描述； 2、可实施性：切合本项目实际情况，提出步骤清晰、合理的方案； 3、针对性：措施能够紧扣项目实际情况，内容科学合理。 三、赋分标准(满分9分) ①对项目内容、任务、目标的理解与认识:每完全满足一个评审标准得1分，满分3分; ②对任务影响因素的认识与理解:每完全满足一个评审标准得1分，满分3分; ③对主要技术依据文件、技术指标要求、成果规格要求的认识与理解:每完全满足一个评审标准得1分，满分3分。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供应商提供针对本项目的服务方案，内容包括:①服务计划及安排②服务阶段目标及任务③重难点分析及解决措施。 二、评审标准 1、完整性:服务方案须全面，对评审内容中的各项要求有详细描述； 2、可实施性:服务方案切合本项目实际情况，提出步骤清晰、合理的方案； 3、针对性:服务方案能够紧扣项目实际情况，内容科学合理。 三、赋分标准(满分18分) ①服务计划及安排:每完全满足一个评审标准得2分，满分6分; ②服务阶段目标及任务:每完全满足一个评审标准得2分，满分6分; ③重难点分析及解决措施:每完全满足一个评审标准得2分，满分6分。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服务实施组织计划</w:t>
            </w:r>
          </w:p>
        </w:tc>
        <w:tc>
          <w:tcPr>
            <w:tcW w:type="dxa" w:w="2492"/>
          </w:tcPr>
          <w:p>
            <w:pPr>
              <w:pStyle w:val="null3"/>
            </w:pPr>
            <w:r>
              <w:rPr>
                <w:rFonts w:ascii="仿宋_GB2312" w:hAnsi="仿宋_GB2312" w:cs="仿宋_GB2312" w:eastAsia="仿宋_GB2312"/>
              </w:rPr>
              <w:t>一、评审内容 供应商提供针对本项目的服务实施组织计划，内容包括:①项目实施目标②项目实施主要任务分工③项目实施步骤④项目实施技术路线与创点。 二、评审标准 1、完整性:服务实施组织计划须全面，对评审内容中的各项要求有详细描述； 2、可实施性:系服务实施组织计划须切合本项目实际情况，提出步骤清晰、图文并茂、合理的方案； 3、针对性:服务实施组织计划须能够紧扣项目实际情况，内容科学合理。 三、赋分标准(满分18分) ①项目实施目标:每完全满足一个评审标准得1.5分，满分4.5分; ②项目实施主要任务分工:每完全满足一个评审标准得1.5分，满分4.5分; ③项目实施步骤:每完全满足一个评审标准得1.5分，满分4.5分; ④项目实施技术路线与创点:每完全满足一个评审标准得1.5分，满分4.5分；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供应商提供针对本项目的服务保障措施，内容包括：①服务质量保障措施②进度计划及保障措施③保密保障措施④安全管理体系与措施。 二、评审标准 1、完整性:服务保障措施须全面，对评审内容中的各项要求有详细描述； 2、可实施性:服务保障措施切合本项目实际情况，提出步骤清晰、合理的方案； 3、针对性:服务保障措施能够紧扣项目实际情况，内容科学合理。 三、赋分标准(满分24分) ①服务质量保障措施:每完全满足一个评审标准得2分，满分6分; ②进度计划及保障措施:每完全满足一个评审标准得2分，满分6分; ③应急保障措施:每完全满足一个评审标准得2分，满分6分； ④安全管理体系与措施：每完全满足一个评审标准得2分，满分6分。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提供本项目的资源配备计划，包括但不限于:对设备的分配及使用计划等内容，满足本项目需求。 二、赋分标准（满分5分） 1、供应商对设备的分配及使用计划的合理程度切实可行，操作性强得[3-5]分； 2、计划的合理程度一般，操作性一般得[0-3）分；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项目人员配备方案</w:t>
            </w:r>
          </w:p>
        </w:tc>
        <w:tc>
          <w:tcPr>
            <w:tcW w:type="dxa" w:w="2492"/>
          </w:tcPr>
          <w:p>
            <w:pPr>
              <w:pStyle w:val="null3"/>
            </w:pPr>
            <w:r>
              <w:rPr>
                <w:rFonts w:ascii="仿宋_GB2312" w:hAnsi="仿宋_GB2312" w:cs="仿宋_GB2312" w:eastAsia="仿宋_GB2312"/>
              </w:rPr>
              <w:t>一、评审内容 供应商提供拟派本项目的人员配置方案，包括但不限于：专业人员配备、专业人员分工、机构健全等，满足本项目需求。 二、赋分标准（满分9分） 1、项目人员及数量配备合理，经验丰富，分工明确，方案、制度内容完整，描述清晰，能针对性满足项目需求赋分；得[6-9）分； 2、项目人员及数量配备较合理，经验较为丰富，分工基本明确，方案、制度内容较完整，描述简单，基本满足项目需要，得[3-6）分； 3、项目人员及数量配备欠合理，分工欠明确，方案、制度内容笼统，描述简单，得[0-3）分。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1）供应商针对本项目及采购人实际需求提供详细具体可行的合理化建议、服务措施承诺，并阐明可提供的咨询、培训或后续服务，科学性、合理性、全面性、针对性强，得[4-5]分； 2）科学性、合理性、全面性、针对性较好，得[2-4)分； 3）科学性、合理性、全面性、针对性一般，得[0-2)分。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1、提供2022年1月1日以来类似项目业绩（业绩时间以合同签订日期为准），每提供一个业绩证明材料得1分，满分2分。 2、业绩以完整合同或中标通知书为准。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1、满足磋商文件要求且最后报价最低的供应商的价格为磋商基准价，其价格分为满分即10分； 2、其他各供应商的最后磋商报价得分按下列公式计算:（磋商基准价/最后磋商报价）*价格权值（即10%）*100。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