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版本号：SXZCZB2025-ZCCS-021320250526003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中央水利发展资金农村饮水工程维修养护项目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SXZCZB2025-ZCCS-0213</w:t>
      </w:r>
      <w:r>
        <w:br/>
      </w:r>
      <w:r>
        <w:br/>
      </w:r>
      <w:r>
        <w:br/>
      </w:r>
    </w:p>
    <w:p>
      <w:pPr>
        <w:pStyle w:val="null3"/>
        <w:jc w:val="center"/>
        <w:outlineLvl w:val="2"/>
      </w:pPr>
      <w:r>
        <w:rPr>
          <w:rFonts w:ascii="仿宋_GB2312" w:hAnsi="仿宋_GB2312" w:cs="仿宋_GB2312" w:eastAsia="仿宋_GB2312"/>
          <w:sz w:val="28"/>
          <w:b/>
        </w:rPr>
        <w:t>西安市灞桥区水务局</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西安市灞桥区水务局</w:t>
      </w:r>
      <w:r>
        <w:rPr>
          <w:rFonts w:ascii="仿宋_GB2312" w:hAnsi="仿宋_GB2312" w:cs="仿宋_GB2312" w:eastAsia="仿宋_GB2312"/>
        </w:rPr>
        <w:t>委托，拟对</w:t>
      </w:r>
      <w:r>
        <w:rPr>
          <w:rFonts w:ascii="仿宋_GB2312" w:hAnsi="仿宋_GB2312" w:cs="仿宋_GB2312" w:eastAsia="仿宋_GB2312"/>
        </w:rPr>
        <w:t>中央水利发展资金农村饮水工程维修养护项目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SXZCZB2025-ZCCS-0213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中央水利发展资金农村饮水工程维修养护项目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项目共涉及全区灞桥街道办、红旗街道办、洪庆街道办、席王街道办、狄寨街道办、十里铺街道办6个涉农街办及其下属30个行政村，37个自然村涉及37处供水工程。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采购包1（中央水利发展资金农村饮水工程维修养护项目）：属于专门面向中小企业采购。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5、设备及专业技术能力的声明：提供具有履行本合同所必需的设备和专业技术能力的声明；</w:t>
      </w:r>
    </w:p>
    <w:p>
      <w:pPr>
        <w:pStyle w:val="null3"/>
      </w:pPr>
      <w:r>
        <w:rPr>
          <w:rFonts w:ascii="仿宋_GB2312" w:hAnsi="仿宋_GB2312" w:cs="仿宋_GB2312" w:eastAsia="仿宋_GB2312"/>
        </w:rPr>
        <w:t>6、3年内在经营活动中没有重大违法记录的书面声明：出具参加政府采购活动前3年内在经营活动中没有重大违法记录的书面声明；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7、授权委托书：被授权人参与磋商的需提供法定代表人身份证明书及授权委托书；法定代表人或负责人直接参与磋商的，须出具法定代表人身份证明书；</w:t>
      </w:r>
    </w:p>
    <w:p>
      <w:pPr>
        <w:pStyle w:val="null3"/>
      </w:pPr>
      <w:r>
        <w:rPr>
          <w:rFonts w:ascii="仿宋_GB2312" w:hAnsi="仿宋_GB2312" w:cs="仿宋_GB2312" w:eastAsia="仿宋_GB2312"/>
        </w:rPr>
        <w:t>8、供应商资质：供应商须具备建设行政主管部门颁发的水利水电工程施工总承包三级及以上资质，并具备有效的安全生产许可证；</w:t>
      </w:r>
    </w:p>
    <w:p>
      <w:pPr>
        <w:pStyle w:val="null3"/>
      </w:pPr>
      <w:r>
        <w:rPr>
          <w:rFonts w:ascii="仿宋_GB2312" w:hAnsi="仿宋_GB2312" w:cs="仿宋_GB2312" w:eastAsia="仿宋_GB2312"/>
        </w:rPr>
        <w:t>9、拟派项目经理：拟派项目经理须具备有效的水利水电工程专业二级（含二级）以上建造师注册证，具备水行政主管部门颁发的安全生产考核合格证（B证），且在本单位注册，无在建工程（提供承诺书）；</w:t>
      </w:r>
    </w:p>
    <w:p>
      <w:pPr>
        <w:pStyle w:val="null3"/>
      </w:pPr>
      <w:r>
        <w:rPr>
          <w:rFonts w:ascii="仿宋_GB2312" w:hAnsi="仿宋_GB2312" w:cs="仿宋_GB2312" w:eastAsia="仿宋_GB2312"/>
        </w:rPr>
        <w:t>10、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11、联合体投标：本项目不接受联合体投标。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王怡娜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029-83514129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孙洋、康乐、常瑛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采购包1：821,548.90元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展和改革委员会办公厅关于招标代理服务收费有关问题的通知》（发改办价格〔2003〕857号）规定的工程类收费标准下浮20%收取，由中标（成交）供应商向受托方支付。 ①采购代理机构开户名称: 陕西至诚项目管理集团有限公司 ②开户行名称：中国建设银行股份有限公司西安高新技术产业开发区支行 ③账号：61050192090000002152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西安市灞桥区水务局</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1.达到国家及行业现行技术规范标准，符合国家及行业验收合格标准。 2.符合磋商文件及合同要求。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联系人：孙洋、康乐、常瑛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821,548.90</w:t>
      </w:r>
    </w:p>
    <w:p>
      <w:pPr>
        <w:pStyle w:val="null3"/>
      </w:pPr>
      <w:r>
        <w:rPr>
          <w:rFonts w:ascii="仿宋_GB2312" w:hAnsi="仿宋_GB2312" w:cs="仿宋_GB2312" w:eastAsia="仿宋_GB2312"/>
        </w:rPr>
        <w:t>采购包最高限价（元）: 821,548.90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中央水利发展资金农村饮水工程维修养护项目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821,548.90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标的名称：中央水利发展资金农村饮水工程维修养护项目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项目共涉及全区灞桥街道办、红旗街道办、洪庆街道办、席王街道办、狄寨街道办、十里铺街道办</w:t>
            </w:r>
            <w:r>
              <w:rPr>
                <w:rFonts w:ascii="仿宋_GB2312" w:hAnsi="仿宋_GB2312" w:cs="仿宋_GB2312" w:eastAsia="仿宋_GB2312"/>
                <w:sz w:val="28"/>
              </w:rPr>
              <w:t>6个涉农街办及其下属30个行政村，37个自然村涉及37处供水工程。</w:t>
            </w:r>
          </w:p>
          <w:p>
            <w:pPr>
              <w:pStyle w:val="null3"/>
              <w:spacing w:before="315"/>
              <w:ind w:left="420"/>
              <w:jc w:val="both"/>
            </w:pPr>
            <w:r>
              <w:rPr>
                <w:rFonts w:ascii="仿宋_GB2312" w:hAnsi="仿宋_GB2312" w:cs="仿宋_GB2312" w:eastAsia="仿宋_GB2312"/>
                <w:sz w:val="28"/>
                <w:b/>
              </w:rPr>
              <w:t>二、工程内容和施工地点、计划</w:t>
            </w:r>
            <w:r>
              <w:rPr>
                <w:rFonts w:ascii="仿宋_GB2312" w:hAnsi="仿宋_GB2312" w:cs="仿宋_GB2312" w:eastAsia="仿宋_GB2312"/>
                <w:sz w:val="28"/>
                <w:b/>
              </w:rPr>
              <w:t>工期、缺陷责任期、质量保修期</w:t>
            </w:r>
          </w:p>
          <w:p>
            <w:pPr>
              <w:pStyle w:val="null3"/>
              <w:ind w:firstLine="560"/>
              <w:jc w:val="both"/>
            </w:pPr>
            <w:r>
              <w:rPr>
                <w:rFonts w:ascii="仿宋_GB2312" w:hAnsi="仿宋_GB2312" w:cs="仿宋_GB2312" w:eastAsia="仿宋_GB2312"/>
                <w:sz w:val="28"/>
              </w:rPr>
              <w:t>（一）工程内容：</w:t>
            </w:r>
            <w:r>
              <w:rPr>
                <w:rFonts w:ascii="仿宋_GB2312" w:hAnsi="仿宋_GB2312" w:cs="仿宋_GB2312" w:eastAsia="仿宋_GB2312"/>
                <w:sz w:val="28"/>
              </w:rPr>
              <w:t>水泵更换</w:t>
            </w:r>
            <w:r>
              <w:rPr>
                <w:rFonts w:ascii="仿宋_GB2312" w:hAnsi="仿宋_GB2312" w:cs="仿宋_GB2312" w:eastAsia="仿宋_GB2312"/>
                <w:sz w:val="28"/>
              </w:rPr>
              <w:t>15台套，电缆更换1555m，软启动柜及配电柜安装10套，更换泵管596m，更换紫外线消毒设备21台，更新臭氧发生器21套，新建管网工程1000米，新建水源渗水池1座，蓄水池扩容25m³等。</w:t>
            </w:r>
          </w:p>
          <w:p>
            <w:pPr>
              <w:pStyle w:val="null3"/>
              <w:ind w:firstLine="560"/>
              <w:jc w:val="both"/>
            </w:pPr>
            <w:r>
              <w:rPr>
                <w:rFonts w:ascii="仿宋_GB2312" w:hAnsi="仿宋_GB2312" w:cs="仿宋_GB2312" w:eastAsia="仿宋_GB2312"/>
                <w:sz w:val="28"/>
              </w:rPr>
              <w:t>（二）工程地点：采购人指定地点。</w:t>
            </w:r>
          </w:p>
          <w:p>
            <w:pPr>
              <w:pStyle w:val="null3"/>
              <w:ind w:firstLine="560"/>
              <w:jc w:val="both"/>
            </w:pPr>
            <w:r>
              <w:rPr>
                <w:rFonts w:ascii="仿宋_GB2312" w:hAnsi="仿宋_GB2312" w:cs="仿宋_GB2312" w:eastAsia="仿宋_GB2312"/>
                <w:sz w:val="28"/>
              </w:rPr>
              <w:t>（三）计划工期</w:t>
            </w:r>
            <w:r>
              <w:rPr>
                <w:rFonts w:ascii="仿宋_GB2312" w:hAnsi="仿宋_GB2312" w:cs="仿宋_GB2312" w:eastAsia="仿宋_GB2312"/>
                <w:sz w:val="28"/>
              </w:rPr>
              <w:t>：自合同签订之日起</w:t>
            </w:r>
            <w:r>
              <w:rPr>
                <w:rFonts w:ascii="仿宋_GB2312" w:hAnsi="仿宋_GB2312" w:cs="仿宋_GB2312" w:eastAsia="仿宋_GB2312"/>
                <w:sz w:val="28"/>
              </w:rPr>
              <w:t>45天。</w:t>
            </w:r>
          </w:p>
          <w:p>
            <w:pPr>
              <w:pStyle w:val="null3"/>
              <w:ind w:firstLine="560"/>
              <w:jc w:val="both"/>
            </w:pPr>
            <w:r>
              <w:rPr>
                <w:rFonts w:ascii="仿宋_GB2312" w:hAnsi="仿宋_GB2312" w:cs="仿宋_GB2312" w:eastAsia="仿宋_GB2312"/>
                <w:sz w:val="28"/>
              </w:rPr>
              <w:t>（四）缺陷责任期：</w:t>
            </w:r>
            <w:r>
              <w:rPr>
                <w:rFonts w:ascii="仿宋_GB2312" w:hAnsi="仿宋_GB2312" w:cs="仿宋_GB2312" w:eastAsia="仿宋_GB2312"/>
                <w:sz w:val="28"/>
              </w:rPr>
              <w:t>1年。</w:t>
            </w:r>
          </w:p>
          <w:p>
            <w:pPr>
              <w:pStyle w:val="null3"/>
              <w:ind w:firstLine="560"/>
              <w:jc w:val="both"/>
            </w:pPr>
            <w:r>
              <w:rPr>
                <w:rFonts w:ascii="仿宋_GB2312" w:hAnsi="仿宋_GB2312" w:cs="仿宋_GB2312" w:eastAsia="仿宋_GB2312"/>
                <w:sz w:val="28"/>
              </w:rPr>
              <w:t>（五）质量保修期：</w:t>
            </w:r>
            <w:r>
              <w:rPr>
                <w:rFonts w:ascii="仿宋_GB2312" w:hAnsi="仿宋_GB2312" w:cs="仿宋_GB2312" w:eastAsia="仿宋_GB2312"/>
                <w:sz w:val="28"/>
              </w:rPr>
              <w:t>1年。</w:t>
            </w:r>
          </w:p>
          <w:p>
            <w:pPr>
              <w:pStyle w:val="null3"/>
              <w:spacing w:before="315"/>
              <w:jc w:val="both"/>
            </w:pPr>
            <w:r>
              <w:rPr>
                <w:rFonts w:ascii="仿宋_GB2312" w:hAnsi="仿宋_GB2312" w:cs="仿宋_GB2312" w:eastAsia="仿宋_GB2312"/>
                <w:sz w:val="28"/>
                <w:b/>
              </w:rPr>
              <w:t>三、施工要求</w:t>
            </w:r>
          </w:p>
          <w:p>
            <w:pPr>
              <w:pStyle w:val="null3"/>
              <w:ind w:firstLine="560"/>
              <w:jc w:val="both"/>
            </w:pPr>
            <w:r>
              <w:rPr>
                <w:rFonts w:ascii="仿宋_GB2312" w:hAnsi="仿宋_GB2312" w:cs="仿宋_GB2312" w:eastAsia="仿宋_GB2312"/>
                <w:sz w:val="28"/>
              </w:rPr>
              <w:t>在施工期间，中标供应商必须注意人员安全，加强安全措施，并对施工人员进行安全教育。施工人员必须持证上岗。</w:t>
            </w:r>
          </w:p>
          <w:p>
            <w:pPr>
              <w:pStyle w:val="null3"/>
              <w:spacing w:before="315"/>
              <w:ind w:left="420"/>
              <w:jc w:val="both"/>
            </w:pPr>
            <w:r>
              <w:rPr>
                <w:rFonts w:ascii="仿宋_GB2312" w:hAnsi="仿宋_GB2312" w:cs="仿宋_GB2312" w:eastAsia="仿宋_GB2312"/>
                <w:sz w:val="28"/>
                <w:b/>
              </w:rPr>
              <w:t>四、</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rPr>
              <w:t>1.合同价款签订：本项目签订固定综合单价合同。结算工程量是承包人实际完成的，并按合同约定的计量方法进行计量的工程量。</w:t>
            </w:r>
          </w:p>
          <w:p>
            <w:pPr>
              <w:pStyle w:val="null3"/>
              <w:jc w:val="both"/>
            </w:pPr>
            <w:r>
              <w:rPr>
                <w:rFonts w:ascii="仿宋_GB2312" w:hAnsi="仿宋_GB2312" w:cs="仿宋_GB2312" w:eastAsia="仿宋_GB2312"/>
                <w:sz w:val="28"/>
              </w:rPr>
              <w:t>2.付款方式：</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）本项目工程款按月支付。</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）每月经监理工程师及发包方代表对所报已完工程量核定后，按完成工程量的</w:t>
            </w:r>
            <w:r>
              <w:rPr>
                <w:rFonts w:ascii="仿宋_GB2312" w:hAnsi="仿宋_GB2312" w:cs="仿宋_GB2312" w:eastAsia="仿宋_GB2312"/>
                <w:sz w:val="28"/>
              </w:rPr>
              <w:t>97%支付进度款。</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合同</w:t>
            </w:r>
            <w:r>
              <w:rPr>
                <w:rFonts w:ascii="仿宋_GB2312" w:hAnsi="仿宋_GB2312" w:cs="仿宋_GB2312" w:eastAsia="仿宋_GB2312"/>
                <w:sz w:val="28"/>
              </w:rPr>
              <w:t>工程完工后，支付至合同总价的</w:t>
            </w:r>
            <w:r>
              <w:rPr>
                <w:rFonts w:ascii="仿宋_GB2312" w:hAnsi="仿宋_GB2312" w:cs="仿宋_GB2312" w:eastAsia="仿宋_GB2312"/>
                <w:sz w:val="28"/>
              </w:rPr>
              <w:t>97%。</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施工结算经审定后，支付至结算金额的</w:t>
            </w:r>
            <w:r>
              <w:rPr>
                <w:rFonts w:ascii="仿宋_GB2312" w:hAnsi="仿宋_GB2312" w:cs="仿宋_GB2312" w:eastAsia="仿宋_GB2312"/>
                <w:sz w:val="28"/>
              </w:rPr>
              <w:t>100%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其他</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对供应商的业绩要求。</w:t>
            </w:r>
          </w:p>
          <w:p>
            <w:pPr>
              <w:pStyle w:val="null3"/>
              <w:ind w:firstLine="560"/>
              <w:jc w:val="both"/>
            </w:pPr>
            <w:r>
              <w:rPr>
                <w:rFonts w:ascii="仿宋_GB2312" w:hAnsi="仿宋_GB2312" w:cs="仿宋_GB2312" w:eastAsia="仿宋_GB2312"/>
                <w:sz w:val="28"/>
              </w:rPr>
              <w:t>提供</w:t>
            </w:r>
            <w:r>
              <w:rPr>
                <w:rFonts w:ascii="仿宋_GB2312" w:hAnsi="仿宋_GB2312" w:cs="仿宋_GB2312" w:eastAsia="仿宋_GB2312"/>
                <w:sz w:val="28"/>
              </w:rPr>
              <w:t>2022年1月1日起至今类似业绩</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2）《生活饮用水卫生标准》（GB5749-2022）</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3）《村镇供水工程技术规范》(GB/T 43824-2024)</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《村镇供水工程技术规范》</w:t>
            </w:r>
            <w:r>
              <w:rPr>
                <w:rFonts w:ascii="仿宋_GB2312" w:hAnsi="仿宋_GB2312" w:cs="仿宋_GB2312" w:eastAsia="仿宋_GB2312"/>
                <w:sz w:val="28"/>
              </w:rPr>
              <w:t>(SL 310-2019)</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5）《饮用水水源保护区划分技术规范》(HJ 338-2018)</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6）《饮用水水源保护区标志技术要求》（HJ/T 433-2008）</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7）《地表水环境质量标准》（GB3838-2002）《地下水质量标准》(GB/T 14848-2017)</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8）《水利建设项目经济评价规范》（SL72-2013）</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9）《生产建设项目水土保持技术标准》(GB 50433—2018)</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10）《水环境监测规范》（SL219-2013）</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11）《机井工程技术标准》(GB/T50625-2023)</w:t>
            </w:r>
          </w:p>
          <w:p>
            <w:pPr>
              <w:pStyle w:val="null3"/>
              <w:ind w:firstLine="560"/>
              <w:jc w:val="both"/>
            </w:pPr>
            <w:r>
              <w:rPr>
                <w:rFonts w:ascii="仿宋_GB2312" w:hAnsi="仿宋_GB2312" w:cs="仿宋_GB2312" w:eastAsia="仿宋_GB2312"/>
                <w:sz w:val="28"/>
              </w:rPr>
              <w:t>（三）违约责任</w:t>
            </w:r>
          </w:p>
          <w:p>
            <w:pPr>
              <w:pStyle w:val="null3"/>
              <w:jc w:val="both"/>
            </w:pPr>
            <w:r>
              <w:rPr>
                <w:rFonts w:ascii="仿宋_GB2312" w:hAnsi="仿宋_GB2312" w:cs="仿宋_GB2312" w:eastAsia="仿宋_GB2312"/>
                <w:sz w:val="28"/>
              </w:rPr>
              <w:t>供应商在履行合同过程中，出现了合同条款内的违约条件，应按照合同约定承担相应的违约责任。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1.达到国家及行业现行技术规范标准，符合国家及行业验收合格标准。 2.符合磋商文件及合同要求。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符合磋商文件及合同要求。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供应商需在项目电子化交易系统中按要求填写《响应函》完成承诺并进行电子签章；并按要求填写供应商关联关系声明函并进行电子签章。</w:t>
            </w:r>
          </w:p>
        </w:tc>
        <w:tc>
          <w:tcPr>
            <w:tcW w:type="dxa" w:w="1661"/>
          </w:tcPr>
          <w:p>
            <w:pPr>
              <w:pStyle w:val="null3"/>
            </w:pPr>
            <w:r>
              <w:rPr>
                <w:rFonts w:ascii="仿宋_GB2312" w:hAnsi="仿宋_GB2312" w:cs="仿宋_GB2312" w:eastAsia="仿宋_GB2312"/>
              </w:rPr>
              <w:t>供应商企业关联关系声明函.docx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设备及专业技术能力的声明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被授权人参与磋商的需提供法定代表人身份证明书及授权委托书；法定代表人或负责人直接参与磋商的，须出具法定代表人身份证明书；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供应商须具备建设行政主管部门颁发的水利水电工程施工总承包三级及以上资质，并具备有效的安全生产许可证；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拟派项目经理须具备有效的水利水电工程专业二级（含二级）以上建造师注册证，具备水行政主管部门颁发的安全生产考核合格证（B证），且在本单位注册，无在建工程（提供承诺书）；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投标（响应）文件的签字盖章符合性</w:t>
            </w:r>
          </w:p>
        </w:tc>
        <w:tc>
          <w:tcPr>
            <w:tcW w:type="dxa" w:w="3322"/>
          </w:tcPr>
          <w:p>
            <w:pPr>
              <w:pStyle w:val="null3"/>
            </w:pPr>
            <w:r>
              <w:rPr>
                <w:rFonts w:ascii="仿宋_GB2312" w:hAnsi="仿宋_GB2312" w:cs="仿宋_GB2312" w:eastAsia="仿宋_GB2312"/>
              </w:rPr>
              <w:t>投标（响应）文件上法定代表人或其授权代表人的签字齐全或加盖公章，符合磋商文件要求。</w:t>
            </w:r>
          </w:p>
        </w:tc>
        <w:tc>
          <w:tcPr>
            <w:tcW w:type="dxa" w:w="1661"/>
          </w:tcPr>
          <w:p>
            <w:pPr>
              <w:pStyle w:val="null3"/>
            </w:pPr>
            <w:r>
              <w:rPr>
                <w:rFonts w:ascii="仿宋_GB2312" w:hAnsi="仿宋_GB2312" w:cs="仿宋_GB2312" w:eastAsia="仿宋_GB2312"/>
              </w:rPr>
              <w:t>已标价工程量清单 中小企业声明函.docx 供应商类似项目业绩一览表.docx 商务条款响应偏离表.docx 供应商企业关联关系声明函.docx 项目管理机构.docx 供应商承诺书.docx 强制优先采购产品承诺函 响应文件封面 施工技术方案.docx 供应商应提交的相关资格证明材料.docx 残疾人福利性单位声明函 报价函 标的清单 技术、服务条款响应偏离表.docx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供应商名称字章符合性</w:t>
            </w:r>
          </w:p>
        </w:tc>
        <w:tc>
          <w:tcPr>
            <w:tcW w:type="dxa" w:w="3322"/>
          </w:tcPr>
          <w:p>
            <w:pPr>
              <w:pStyle w:val="null3"/>
            </w:pPr>
            <w:r>
              <w:rPr>
                <w:rFonts w:ascii="仿宋_GB2312" w:hAnsi="仿宋_GB2312" w:cs="仿宋_GB2312" w:eastAsia="仿宋_GB2312"/>
              </w:rPr>
              <w:t>供应商名称字章一致</w:t>
            </w:r>
          </w:p>
        </w:tc>
        <w:tc>
          <w:tcPr>
            <w:tcW w:type="dxa" w:w="1661"/>
          </w:tcPr>
          <w:p>
            <w:pPr>
              <w:pStyle w:val="null3"/>
            </w:pPr>
            <w:r>
              <w:rPr>
                <w:rFonts w:ascii="仿宋_GB2312" w:hAnsi="仿宋_GB2312" w:cs="仿宋_GB2312" w:eastAsia="仿宋_GB2312"/>
              </w:rPr>
              <w:t>已标价工程量清单 中小企业声明函.docx 供应商类似项目业绩一览表.docx 商务条款响应偏离表.docx 供应商企业关联关系声明函.docx 项目管理机构.docx 供应商承诺书.docx 强制优先采购产品承诺函 响应文件封面 施工技术方案.docx 供应商应提交的相关资格证明材料.docx 残疾人福利性单位声明函 报价函 标的清单 技术、服务条款响应偏离表.docx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投标（响应）有效期符合性</w:t>
            </w:r>
          </w:p>
        </w:tc>
        <w:tc>
          <w:tcPr>
            <w:tcW w:type="dxa" w:w="3322"/>
          </w:tcPr>
          <w:p>
            <w:pPr>
              <w:pStyle w:val="null3"/>
            </w:pPr>
            <w:r>
              <w:rPr>
                <w:rFonts w:ascii="仿宋_GB2312" w:hAnsi="仿宋_GB2312" w:cs="仿宋_GB2312" w:eastAsia="仿宋_GB2312"/>
              </w:rPr>
              <w:t>投标（响应）有效期满足磋商文件要求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投标（响应）报价符合性</w:t>
            </w:r>
          </w:p>
        </w:tc>
        <w:tc>
          <w:tcPr>
            <w:tcW w:type="dxa" w:w="3322"/>
          </w:tcPr>
          <w:p>
            <w:pPr>
              <w:pStyle w:val="null3"/>
            </w:pPr>
            <w:r>
              <w:rPr>
                <w:rFonts w:ascii="仿宋_GB2312" w:hAnsi="仿宋_GB2312" w:cs="仿宋_GB2312" w:eastAsia="仿宋_GB2312"/>
              </w:rPr>
              <w:t>投标（响应）报价是唯一有效的、投标（响应）报价不得超出最高限价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技术、服务、商务响应满足磋商文件实质性要求</w:t>
            </w:r>
          </w:p>
        </w:tc>
        <w:tc>
          <w:tcPr>
            <w:tcW w:type="dxa" w:w="3322"/>
          </w:tcPr>
          <w:p>
            <w:pPr>
              <w:pStyle w:val="null3"/>
            </w:pPr>
            <w:r>
              <w:rPr>
                <w:rFonts w:ascii="仿宋_GB2312" w:hAnsi="仿宋_GB2312" w:cs="仿宋_GB2312" w:eastAsia="仿宋_GB2312"/>
              </w:rPr>
              <w:t>技术、服务响应满足磋商文件要求；商务响应满足磋商文件要求</w:t>
            </w:r>
          </w:p>
        </w:tc>
        <w:tc>
          <w:tcPr>
            <w:tcW w:type="dxa" w:w="1661"/>
          </w:tcPr>
          <w:p>
            <w:pPr>
              <w:pStyle w:val="null3"/>
            </w:pPr>
            <w:r>
              <w:rPr>
                <w:rFonts w:ascii="仿宋_GB2312" w:hAnsi="仿宋_GB2312" w:cs="仿宋_GB2312" w:eastAsia="仿宋_GB2312"/>
              </w:rPr>
              <w:t>技术、服务条款响应偏离表.docx 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已标价工程量清单 中小企业声明函.docx 供应商类似项目业绩一览表.docx 商务条款响应偏离表.docx 供应商企业关联关系声明函.docx 项目管理机构.docx 供应商承诺书.docx 强制优先采购产品承诺函 响应文件封面 施工技术方案.docx 供应商应提交的相关资格证明材料.docx 残疾人福利性单位声明函 报价函 标的清单 技术、服务条款响应偏离表.docx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施工方案专门针对本项目编制，符合项目实际情况及实施要求，内容详尽且涵盖角度全面，合理性和可行性强，能够保障项目顺利实施的，得(7-10]分; 符合项目实际情况及实施要求，内容较详尽且涵盖角度较全面，有一定的合理性和可行性的，得(4-7]分; 基本符合项目实际情况及实施要求，但方案涵盖角度不全面且实施有难度的，得[0-4]分。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确保工期措施内容专门针对本项目编制，符合项目实际情况及实施要求，内容详尽且涵盖角度全面，合理性和可行性强，能够保障工程质量的，得(4-6]分; 符合项目实际情况及实施要求，内容较详尽且涵盖角度基本全面，有一定的合理性和可行性的，得(2-4]分; 基本符合项目实际情况及实施要求，但涵盖角度不全面得[0-2]分。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确保安全生产的措施内容专门针对本项目编制，符合项目实际情况及实施要求，内容详尽且涵盖角度全面，合理性和可行性强，能够保障项目安全实施的，得(4-6]分; 符合项目实际情况及实施要求，内容较详尽且涵盖角度基本全面，有一定的合理性和可行性的，得(2-4]分; 基本符合项目实际情况及实施要求，但涵盖角度不全面得[0-2]分。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措施内容专门针对本项目编制，符合项目实际情况及实施要求，内容详尽且涵盖角度全面，合理性和可行性强，能够保障项目文明施工及施工过程中的环境保护，得(4-6]分; 符合项目实际情况及实施要求，内容较详尽且涵盖角度基本全面，有一定的合理性和可行性的，得(2-4]分; 基本符合项目实际情况及实施要求，但涵盖角度不够全面得[0-2]分。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工期的，得(4-6]分；符合项目实际情况及实施要求，内容较详尽且涵盖角度基本全面，有一定的合理性和可行性的，得(2-4]分; 基本符合项目实际情况及实施要求，但涵盖角度不全面得[0-2]分。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项目部组成科学合理、人员表配置充足，有详细的人员配置清单，针对性强，能够很好的满足项目需求，得(2-4]分； 项目部组成人员缺乏科学合理性，人员配置清单不全，内容简单笼统得[0-2]分。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施工机械配备及材料投入计划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投入计划专门针对本项目编制，符合项目实际情况及实施要求，机械及材料投入合理可行，能够保障项目顺利实施的，得(4-6]分; 符合项目实际情况及实施要求，机械及材料投入有一定的合理性和可行性的，得(2-4]分; 基本符合项目实际情况及实施要求，但涵盖不全面且实施有难度的，得[0-2]分。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施工总平面布置图、施工进度表或施工网络图</w:t>
            </w:r>
          </w:p>
        </w:tc>
        <w:tc>
          <w:tcPr>
            <w:tcW w:type="dxa" w:w="2492"/>
          </w:tcPr>
          <w:p>
            <w:pPr>
              <w:pStyle w:val="null3"/>
            </w:pPr>
            <w:r>
              <w:rPr>
                <w:rFonts w:ascii="仿宋_GB2312" w:hAnsi="仿宋_GB2312" w:cs="仿宋_GB2312" w:eastAsia="仿宋_GB2312"/>
              </w:rPr>
              <w:t>总工期满足采购文件要求、施工有总平面布置图，进度计划有网络图（或横道图），节点工期控制全面合理，计(3-5]分；总工期基本满足采购文件要求、施工有总平面布置图，进度计划有网络图（或横道图），节点工期控制较合理，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安排计划科学全面、措施详细具体、针对性强计(4-6]分； 安排计划科学全面、措施较详细具体、针对性较强计分(2-4]； 安排计划内容简单笼统计[0-2]分。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应用的技术、产品、工艺、材料等先进科学、可行性高计(2-4]分； 应用的技术、产品、工艺、材料等科学性、可行性缺乏计[0-2]分。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承诺方案专门针对本项目编制，符合项目实际情况及实施要求，内容详尽且涵盖角度全面，合理性和可行性强，保障充分，得(3-5]分; 基本符合项目实际情况及实施要求，内容较详细，涵盖角度较全面，基本合理可行的，得(0-3]分。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近三年（2022年1月1日至今）项目类似业绩，每承担过1个类似项目得2分，最高得6分（类似业绩合同协议书或中标通知书复印件并加盖公章，合同以签订日期为准，中标通知书以落款时间为准）。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 , 即满足磋商文件要求且最后磋商报价最低的报价为评审基准价，其价格分为满分。其他供应商的价格 分统一按照下列公式计算：磋商报价得分=【评审基准价/磋商报价( 最终二次报价）】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详见附件：供应商企业关联关系声明函.docx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详见附件：施工技术方案.docx</w:t>
      </w:r>
    </w:p>
    <w:p>
      <w:pPr>
        <w:pStyle w:val="null3"/>
        <w:ind w:firstLine="960"/>
      </w:pPr>
      <w:r>
        <w:rPr>
          <w:rFonts w:ascii="仿宋_GB2312" w:hAnsi="仿宋_GB2312" w:cs="仿宋_GB2312" w:eastAsia="仿宋_GB2312"/>
        </w:rPr>
        <w:t>详见附件：项目管理机构.docx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