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版本号：YZZB-2503920250526001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传染病智能监测预警前置软件部署及相关接口改造项目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YZZB-25039</w:t>
      </w:r>
      <w:r>
        <w:br/>
      </w:r>
      <w:r>
        <w:br/>
      </w:r>
      <w:r>
        <w:br/>
      </w:r>
    </w:p>
    <w:p>
      <w:pPr>
        <w:pStyle w:val="null3"/>
        <w:jc w:val="center"/>
        <w:outlineLvl w:val="5"/>
      </w:pPr>
      <w:r>
        <w:rPr>
          <w:rFonts w:ascii="仿宋_GB2312" w:hAnsi="仿宋_GB2312" w:cs="仿宋_GB2312" w:eastAsia="仿宋_GB2312"/>
          <w:sz w:val="15"/>
          <w:b/>
        </w:rPr>
        <w:t>西安市灞桥区人民医院（本级）</w:t>
      </w:r>
    </w:p>
    <w:p>
      <w:pPr>
        <w:pStyle w:val="null3"/>
        <w:jc w:val="center"/>
        <w:outlineLvl w:val="5"/>
      </w:pPr>
      <w:r>
        <w:rPr>
          <w:rFonts w:ascii="仿宋_GB2312" w:hAnsi="仿宋_GB2312" w:cs="仿宋_GB2312" w:eastAsia="仿宋_GB2312"/>
          <w:sz w:val="15"/>
          <w:b/>
        </w:rPr>
        <w:t>易臻项目管理有限公司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西安市灞桥区人民医院（本级）</w:t>
      </w:r>
      <w:r>
        <w:rPr>
          <w:rFonts w:ascii="仿宋_GB2312" w:hAnsi="仿宋_GB2312" w:cs="仿宋_GB2312" w:eastAsia="仿宋_GB2312"/>
        </w:rPr>
        <w:t>委托，拟对</w:t>
      </w:r>
      <w:r>
        <w:rPr>
          <w:rFonts w:ascii="仿宋_GB2312" w:hAnsi="仿宋_GB2312" w:cs="仿宋_GB2312" w:eastAsia="仿宋_GB2312"/>
        </w:rPr>
        <w:t>传染病智能监测预警前置软件部署及相关接口改造项目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YZZB-25039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传染病智能监测预警前置软件部署及相关接口改造项目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采购前置软件服务器，完成前置软件安装，并同步接通国家平台，显示心跳监测页面。</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采购包1（传染病智能监测预警前置软件部署及相关接口改造项目）：属于专门面向中小企业采购。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1、营业执照：具有独立承担民事责任能力的法人、其他组织或自然人，提供合法有效的营业执照等相关证明，自然人参与的提供其身份证明；</w:t>
      </w:r>
    </w:p>
    <w:p>
      <w:pPr>
        <w:pStyle w:val="null3"/>
      </w:pPr>
      <w:r>
        <w:rPr>
          <w:rFonts w:ascii="仿宋_GB2312" w:hAnsi="仿宋_GB2312" w:cs="仿宋_GB2312" w:eastAsia="仿宋_GB2312"/>
        </w:rPr>
        <w:t>2、财务状况报告：提供2023年度（或者2024年度）经审计的财务审计报告或者开标前三个月内的银行资信证明；</w:t>
      </w:r>
    </w:p>
    <w:p>
      <w:pPr>
        <w:pStyle w:val="null3"/>
      </w:pPr>
      <w:r>
        <w:rPr>
          <w:rFonts w:ascii="仿宋_GB2312" w:hAnsi="仿宋_GB2312" w:cs="仿宋_GB2312" w:eastAsia="仿宋_GB2312"/>
        </w:rPr>
        <w:t>3、社会保障资金缴纳证明：提供投标人自2024年11月以来已缴纳任意一个月完税凭证或税务机关开具的完税证明（任意税种）；依法免税的应提供相关文件证明；</w:t>
      </w:r>
    </w:p>
    <w:p>
      <w:pPr>
        <w:pStyle w:val="null3"/>
      </w:pPr>
      <w:r>
        <w:rPr>
          <w:rFonts w:ascii="仿宋_GB2312" w:hAnsi="仿宋_GB2312" w:cs="仿宋_GB2312" w:eastAsia="仿宋_GB2312"/>
        </w:rPr>
        <w:t>4、税收缴纳证明：提供投标人自2024年11月以来已缴存的任意一个月的社会保障资金缴存单据或社保机构开具的社会保险参保缴费情况证明；依法不需要缴纳社会保障资金的投标人应提供相关文件证明；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6、身份证明：法定代表人参加投标的，须提供本人身份证加盖公章的复印件；法定代表人授权他人参加投标的，须提供法定代表人授权委托书及被授权代表的身份证复印件。</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西安市灞桥区人民医院（本级）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西安市灞桥区灞桥街办灞桥正街28号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13324582166/13991886512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西安市雁塔区雁展路莱安中心T7栋10层1005室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董青青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18066718602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采购包1：185,000.00元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代理服务费收费标准：本项目招标代理服务费为定额收取伍仟元整，由中标（成交）供应商领取成交通知书前一次性支付。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西安市灞桥区人民医院（本级）</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西安市灞桥区人民医院（本级）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采购前置软件服务器，完成前置软件安装，并同步接通国家平台，显示心跳监测页面。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185,000.00</w:t>
      </w:r>
    </w:p>
    <w:p>
      <w:pPr>
        <w:pStyle w:val="null3"/>
      </w:pPr>
      <w:r>
        <w:rPr>
          <w:rFonts w:ascii="仿宋_GB2312" w:hAnsi="仿宋_GB2312" w:cs="仿宋_GB2312" w:eastAsia="仿宋_GB2312"/>
        </w:rPr>
        <w:t>采购包最高限价（元）: 185,000.00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传染病智能监测预警前置软件部署及相关接口改造项目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标的名称：传染病智能监测预警前置软件部署及相关接口改造项目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rPr>
              <w:t>一、项目概况</w:t>
            </w:r>
          </w:p>
          <w:p>
            <w:pPr>
              <w:pStyle w:val="null3"/>
              <w:jc w:val="both"/>
            </w:pPr>
            <w:r>
              <w:rPr>
                <w:rFonts w:ascii="仿宋_GB2312" w:hAnsi="仿宋_GB2312" w:cs="仿宋_GB2312" w:eastAsia="仿宋_GB2312"/>
                <w:sz w:val="28"/>
              </w:rPr>
              <w:t>采购前置软件服务器，完成前置软件安装，并同步接通国家平台，显示心跳监测页面。</w:t>
            </w:r>
          </w:p>
          <w:p>
            <w:pPr>
              <w:pStyle w:val="null3"/>
              <w:jc w:val="both"/>
            </w:pPr>
            <w:r>
              <w:rPr>
                <w:rFonts w:ascii="仿宋_GB2312" w:hAnsi="仿宋_GB2312" w:cs="仿宋_GB2312" w:eastAsia="仿宋_GB2312"/>
                <w:sz w:val="32"/>
                <w:b/>
              </w:rPr>
              <w:t>二、商务要求</w:t>
            </w:r>
          </w:p>
          <w:p>
            <w:pPr>
              <w:pStyle w:val="null3"/>
              <w:ind w:firstLine="566"/>
              <w:jc w:val="both"/>
            </w:pPr>
            <w:r>
              <w:rPr>
                <w:rFonts w:ascii="仿宋_GB2312" w:hAnsi="仿宋_GB2312" w:cs="仿宋_GB2312" w:eastAsia="仿宋_GB2312"/>
                <w:sz w:val="28"/>
              </w:rPr>
              <w:t>（一）、</w:t>
            </w:r>
            <w:r>
              <w:rPr>
                <w:rFonts w:ascii="仿宋_GB2312" w:hAnsi="仿宋_GB2312" w:cs="仿宋_GB2312" w:eastAsia="仿宋_GB2312"/>
                <w:sz w:val="28"/>
              </w:rPr>
              <w:t>服务</w:t>
            </w:r>
            <w:r>
              <w:rPr>
                <w:rFonts w:ascii="仿宋_GB2312" w:hAnsi="仿宋_GB2312" w:cs="仿宋_GB2312" w:eastAsia="仿宋_GB2312"/>
                <w:sz w:val="28"/>
              </w:rPr>
              <w:t>期限：</w:t>
            </w:r>
            <w:r>
              <w:rPr>
                <w:rFonts w:ascii="仿宋_GB2312" w:hAnsi="仿宋_GB2312" w:cs="仿宋_GB2312" w:eastAsia="仿宋_GB2312"/>
                <w:sz w:val="28"/>
              </w:rPr>
              <w:t>本项目服务期自合同签订之日起，至项目完成终验后</w:t>
            </w:r>
            <w:r>
              <w:rPr>
                <w:rFonts w:ascii="仿宋_GB2312" w:hAnsi="仿宋_GB2312" w:cs="仿宋_GB2312" w:eastAsia="仿宋_GB2312"/>
                <w:sz w:val="28"/>
              </w:rPr>
              <w:t>1个月止。其中，项目建设周期为合同签订后 1个月内完成全部系统开发、部署及联调测试工作；</w:t>
            </w:r>
          </w:p>
          <w:p>
            <w:pPr>
              <w:pStyle w:val="null3"/>
              <w:ind w:firstLine="566"/>
              <w:jc w:val="both"/>
            </w:pPr>
            <w:r>
              <w:rPr>
                <w:rFonts w:ascii="仿宋_GB2312" w:hAnsi="仿宋_GB2312" w:cs="仿宋_GB2312" w:eastAsia="仿宋_GB2312"/>
                <w:sz w:val="28"/>
              </w:rPr>
              <w:t>（二）、款项结算</w:t>
            </w:r>
          </w:p>
          <w:p>
            <w:pPr>
              <w:pStyle w:val="null3"/>
              <w:ind w:firstLine="566"/>
              <w:jc w:val="both"/>
            </w:pPr>
            <w:r>
              <w:rPr>
                <w:rFonts w:ascii="仿宋_GB2312" w:hAnsi="仿宋_GB2312" w:cs="仿宋_GB2312" w:eastAsia="仿宋_GB2312"/>
                <w:sz w:val="28"/>
              </w:rPr>
              <w:t>本项目采用分期支付方式，具体如下：</w:t>
            </w:r>
          </w:p>
          <w:p>
            <w:pPr>
              <w:pStyle w:val="null3"/>
              <w:ind w:firstLine="566"/>
              <w:jc w:val="both"/>
            </w:pPr>
            <w:r>
              <w:rPr>
                <w:rFonts w:ascii="仿宋_GB2312" w:hAnsi="仿宋_GB2312" w:cs="仿宋_GB2312" w:eastAsia="仿宋_GB2312"/>
                <w:sz w:val="28"/>
              </w:rPr>
              <w:t>预付款：合同签订且供应商提交等额预付款保函后</w:t>
            </w:r>
            <w:r>
              <w:rPr>
                <w:rFonts w:ascii="仿宋_GB2312" w:hAnsi="仿宋_GB2312" w:cs="仿宋_GB2312" w:eastAsia="仿宋_GB2312"/>
                <w:sz w:val="28"/>
              </w:rPr>
              <w:t>15 个工作日内，采购人向供应商支付合同总金额的 30% 作为预付款，用于项目启动及前期资源筹备。</w:t>
            </w:r>
          </w:p>
          <w:p>
            <w:pPr>
              <w:pStyle w:val="null3"/>
              <w:ind w:firstLine="566"/>
              <w:jc w:val="both"/>
            </w:pPr>
            <w:r>
              <w:rPr>
                <w:rFonts w:ascii="仿宋_GB2312" w:hAnsi="仿宋_GB2312" w:cs="仿宋_GB2312" w:eastAsia="仿宋_GB2312"/>
                <w:sz w:val="28"/>
              </w:rPr>
              <w:t>进度款：项目完成系统开发并通过初验后，采购人在收到供应商提交的合规发票及付款申请材料后</w:t>
            </w:r>
            <w:r>
              <w:rPr>
                <w:rFonts w:ascii="仿宋_GB2312" w:hAnsi="仿宋_GB2312" w:cs="仿宋_GB2312" w:eastAsia="仿宋_GB2312"/>
                <w:sz w:val="28"/>
              </w:rPr>
              <w:t>15 个工作日内，支付合同总金额的 40%。</w:t>
            </w:r>
          </w:p>
          <w:p>
            <w:pPr>
              <w:pStyle w:val="null3"/>
              <w:ind w:firstLine="566"/>
              <w:jc w:val="both"/>
            </w:pPr>
            <w:r>
              <w:rPr>
                <w:rFonts w:ascii="仿宋_GB2312" w:hAnsi="仿宋_GB2312" w:cs="仿宋_GB2312" w:eastAsia="仿宋_GB2312"/>
                <w:sz w:val="28"/>
              </w:rPr>
              <w:t>终验款：项目完成终验后，采购人在收到供应商提交的完整项目资料、合规发票及付款申请材料后</w:t>
            </w:r>
            <w:r>
              <w:rPr>
                <w:rFonts w:ascii="仿宋_GB2312" w:hAnsi="仿宋_GB2312" w:cs="仿宋_GB2312" w:eastAsia="仿宋_GB2312"/>
                <w:sz w:val="28"/>
              </w:rPr>
              <w:t>15 个工作日内，支付合同总金额的 25%。</w:t>
            </w:r>
          </w:p>
          <w:p>
            <w:pPr>
              <w:pStyle w:val="null3"/>
              <w:ind w:firstLine="566"/>
              <w:jc w:val="both"/>
            </w:pPr>
            <w:r>
              <w:rPr>
                <w:rFonts w:ascii="仿宋_GB2312" w:hAnsi="仿宋_GB2312" w:cs="仿宋_GB2312" w:eastAsia="仿宋_GB2312"/>
                <w:sz w:val="28"/>
              </w:rPr>
              <w:t>质保金：合同总金额的</w:t>
            </w:r>
            <w:r>
              <w:rPr>
                <w:rFonts w:ascii="仿宋_GB2312" w:hAnsi="仿宋_GB2312" w:cs="仿宋_GB2312" w:eastAsia="仿宋_GB2312"/>
                <w:sz w:val="28"/>
              </w:rPr>
              <w:t>5% 作为质保金，在质保期届满且无质量问题及履约争议后，采购人在收到供应商付款申请后 15 个工作日内无息支付</w:t>
            </w:r>
            <w:r>
              <w:rPr>
                <w:rFonts w:ascii="仿宋_GB2312" w:hAnsi="仿宋_GB2312" w:cs="仿宋_GB2312" w:eastAsia="仿宋_GB2312"/>
                <w:sz w:val="28"/>
              </w:rPr>
              <w:t>。</w:t>
            </w:r>
          </w:p>
          <w:p>
            <w:pPr>
              <w:pStyle w:val="null3"/>
              <w:ind w:firstLine="566"/>
              <w:jc w:val="both"/>
            </w:pPr>
            <w:r>
              <w:rPr>
                <w:rFonts w:ascii="仿宋_GB2312" w:hAnsi="仿宋_GB2312" w:cs="仿宋_GB2312" w:eastAsia="仿宋_GB2312"/>
                <w:sz w:val="28"/>
              </w:rPr>
              <w:t>（三）、质量验收标准或规范</w:t>
            </w:r>
          </w:p>
          <w:p>
            <w:pPr>
              <w:pStyle w:val="null3"/>
              <w:ind w:firstLine="566"/>
              <w:jc w:val="both"/>
            </w:pPr>
            <w:r>
              <w:rPr>
                <w:rFonts w:ascii="仿宋_GB2312" w:hAnsi="仿宋_GB2312" w:cs="仿宋_GB2312" w:eastAsia="仿宋_GB2312"/>
                <w:sz w:val="28"/>
              </w:rPr>
              <w:t>符合现行的国家标准或国家行政部门颁布的法律法规、规章制度等。没有国家标准的，参考行业标准。</w:t>
            </w:r>
          </w:p>
          <w:p>
            <w:pPr>
              <w:pStyle w:val="null3"/>
              <w:numPr>
                <w:ilvl w:val="0"/>
                <w:numId w:val="1"/>
              </w:numPr>
              <w:jc w:val="both"/>
            </w:pPr>
            <w:r>
              <w:rPr>
                <w:rFonts w:ascii="仿宋_GB2312" w:hAnsi="仿宋_GB2312" w:cs="仿宋_GB2312" w:eastAsia="仿宋_GB2312"/>
                <w:sz w:val="28"/>
              </w:rPr>
              <w:t>、产品质保期</w:t>
            </w:r>
          </w:p>
          <w:p>
            <w:pPr>
              <w:pStyle w:val="null3"/>
              <w:ind w:firstLine="560"/>
              <w:jc w:val="both"/>
            </w:pPr>
            <w:r>
              <w:rPr>
                <w:rFonts w:ascii="仿宋_GB2312" w:hAnsi="仿宋_GB2312" w:cs="仿宋_GB2312" w:eastAsia="仿宋_GB2312"/>
                <w:sz w:val="28"/>
              </w:rPr>
              <w:t>质保服务期为项目终验合格之日起</w:t>
            </w:r>
            <w:r>
              <w:rPr>
                <w:rFonts w:ascii="仿宋_GB2312" w:hAnsi="仿宋_GB2312" w:cs="仿宋_GB2312" w:eastAsia="仿宋_GB2312"/>
                <w:sz w:val="28"/>
              </w:rPr>
              <w:t>12个月，供应商需在质保期内提供免费的软件维护、技术支持及系统优化服务 。</w:t>
            </w:r>
          </w:p>
          <w:p>
            <w:pPr>
              <w:pStyle w:val="null3"/>
              <w:ind w:firstLine="566"/>
              <w:jc w:val="both"/>
            </w:pPr>
            <w:r>
              <w:rPr>
                <w:rFonts w:ascii="仿宋_GB2312" w:hAnsi="仿宋_GB2312" w:cs="仿宋_GB2312" w:eastAsia="仿宋_GB2312"/>
                <w:sz w:val="28"/>
              </w:rPr>
              <w:t xml:space="preserve">---------------------------------  </w:t>
            </w:r>
          </w:p>
          <w:p>
            <w:pPr>
              <w:pStyle w:val="null3"/>
              <w:ind w:firstLine="283"/>
              <w:jc w:val="both"/>
            </w:pPr>
            <w:r>
              <w:rPr>
                <w:rFonts w:ascii="仿宋_GB2312" w:hAnsi="仿宋_GB2312" w:cs="仿宋_GB2312" w:eastAsia="仿宋_GB2312"/>
              </w:rPr>
              <w:t xml:space="preserve"> </w:t>
            </w:r>
            <w:r>
              <w:rPr>
                <w:rFonts w:ascii="仿宋_GB2312" w:hAnsi="仿宋_GB2312" w:cs="仿宋_GB2312" w:eastAsia="仿宋_GB2312"/>
                <w:sz w:val="28"/>
              </w:rPr>
              <w:t>（五）、</w:t>
            </w:r>
            <w:r>
              <w:rPr>
                <w:rFonts w:ascii="仿宋_GB2312" w:hAnsi="仿宋_GB2312" w:cs="仿宋_GB2312" w:eastAsia="仿宋_GB2312"/>
                <w:sz w:val="28"/>
              </w:rPr>
              <w:t>服务要求</w:t>
            </w:r>
          </w:p>
          <w:p>
            <w:pPr>
              <w:pStyle w:val="null3"/>
              <w:ind w:firstLine="283"/>
              <w:jc w:val="both"/>
            </w:pPr>
            <w:r>
              <w:rPr>
                <w:rFonts w:ascii="仿宋_GB2312" w:hAnsi="仿宋_GB2312" w:cs="仿宋_GB2312" w:eastAsia="仿宋_GB2312"/>
                <w:sz w:val="28"/>
              </w:rPr>
              <w:t>每周对故障情况进行汇总编目，提交采购人进行审核，并提出改进意见。</w:t>
            </w:r>
          </w:p>
          <w:p>
            <w:pPr>
              <w:pStyle w:val="null3"/>
              <w:ind w:firstLine="283"/>
              <w:jc w:val="both"/>
            </w:pPr>
            <w:r>
              <w:rPr>
                <w:rFonts w:ascii="仿宋_GB2312" w:hAnsi="仿宋_GB2312" w:cs="仿宋_GB2312" w:eastAsia="仿宋_GB2312"/>
                <w:sz w:val="28"/>
              </w:rPr>
              <w:t>（六）、采购内容（规格和数量）</w:t>
            </w:r>
          </w:p>
          <w:p>
            <w:pPr>
              <w:pStyle w:val="null3"/>
              <w:spacing w:before="315" w:after="315"/>
              <w:jc w:val="center"/>
            </w:pPr>
            <w:r>
              <w:rPr>
                <w:rFonts w:ascii="仿宋_GB2312" w:hAnsi="仿宋_GB2312" w:cs="仿宋_GB2312" w:eastAsia="仿宋_GB2312"/>
                <w:sz w:val="32"/>
                <w:b/>
              </w:rPr>
              <w:t>技术规格参数</w:t>
            </w:r>
          </w:p>
          <w:p>
            <w:pPr>
              <w:pStyle w:val="null3"/>
            </w:pPr>
            <w:r>
              <w:rPr>
                <w:rFonts w:ascii="仿宋_GB2312" w:hAnsi="仿宋_GB2312" w:cs="仿宋_GB2312" w:eastAsia="仿宋_GB2312"/>
                <w:sz w:val="28"/>
              </w:rPr>
              <w:t>配置参数</w:t>
            </w:r>
            <w:r>
              <w:rPr>
                <w:rFonts w:ascii="仿宋_GB2312" w:hAnsi="仿宋_GB2312" w:cs="仿宋_GB2312" w:eastAsia="仿宋_GB2312"/>
                <w:sz w:val="28"/>
              </w:rPr>
              <w:t>:2U 机架式服务器</w:t>
            </w:r>
          </w:p>
          <w:p>
            <w:pPr>
              <w:pStyle w:val="null3"/>
            </w:pPr>
            <w:r>
              <w:rPr>
                <w:rFonts w:ascii="仿宋_GB2312" w:hAnsi="仿宋_GB2312" w:cs="仿宋_GB2312" w:eastAsia="仿宋_GB2312"/>
                <w:sz w:val="28"/>
              </w:rPr>
              <w:t>传染病疾控监测前置机</w:t>
            </w:r>
            <w:r>
              <w:rPr>
                <w:rFonts w:ascii="仿宋_GB2312" w:hAnsi="仿宋_GB2312" w:cs="仿宋_GB2312" w:eastAsia="仿宋_GB2312"/>
                <w:sz w:val="28"/>
              </w:rPr>
              <w:t>(服务器+欧拉+高斯+中科软软件部署</w:t>
            </w:r>
          </w:p>
          <w:p>
            <w:pPr>
              <w:pStyle w:val="null3"/>
            </w:pPr>
            <w:r>
              <w:rPr>
                <w:rFonts w:ascii="仿宋_GB2312" w:hAnsi="仿宋_GB2312" w:cs="仿宋_GB2312" w:eastAsia="仿宋_GB2312"/>
                <w:sz w:val="28"/>
              </w:rPr>
              <w:t>配置华为泰山</w:t>
            </w:r>
            <w:r>
              <w:rPr>
                <w:rFonts w:ascii="仿宋_GB2312" w:hAnsi="仿宋_GB2312" w:cs="仿宋_GB2312" w:eastAsia="仿宋_GB2312"/>
                <w:sz w:val="28"/>
              </w:rPr>
              <w:t>12*3.5inch盘位主机，标配2颗 kunpeng 920 (32核 2.6主频),共计64核 128GB内存;可支持24个内存插槽;标配 4*GE 以太网卡;PCI 模组;标配 9440-8i 支持 RAID 0，1，5，配置2块*960G SSD 硬盘;12*3.5热插拔硬位;标配2个900W 交流电源;无 DVD;含2U上架导轨套件质保:3年保修操作系统:</w:t>
            </w:r>
          </w:p>
          <w:p>
            <w:pPr>
              <w:pStyle w:val="null3"/>
            </w:pPr>
            <w:r>
              <w:rPr>
                <w:rFonts w:ascii="仿宋_GB2312" w:hAnsi="仿宋_GB2312" w:cs="仿宋_GB2312" w:eastAsia="仿宋_GB2312"/>
                <w:sz w:val="28"/>
              </w:rPr>
              <w:t>安装国产操作系统华为欧拉、高斯国产数据，含安装调试前置软件</w:t>
            </w:r>
            <w:r>
              <w:rPr>
                <w:rFonts w:ascii="仿宋_GB2312" w:hAnsi="仿宋_GB2312" w:cs="仿宋_GB2312" w:eastAsia="仿宋_GB2312"/>
                <w:sz w:val="28"/>
              </w:rPr>
              <w:t>:</w:t>
            </w:r>
          </w:p>
          <w:p>
            <w:pPr>
              <w:pStyle w:val="null3"/>
            </w:pPr>
            <w:r>
              <w:rPr>
                <w:rFonts w:ascii="仿宋_GB2312" w:hAnsi="仿宋_GB2312" w:cs="仿宋_GB2312" w:eastAsia="仿宋_GB2312"/>
                <w:sz w:val="28"/>
              </w:rPr>
              <w:t>传染病前置机中科软软件上报系统部署，含安装调试</w:t>
            </w:r>
          </w:p>
          <w:p>
            <w:pPr>
              <w:pStyle w:val="null3"/>
              <w:jc w:val="both"/>
            </w:pPr>
            <w:r>
              <w:rPr>
                <w:rFonts w:ascii="仿宋_GB2312" w:hAnsi="仿宋_GB2312" w:cs="仿宋_GB2312" w:eastAsia="仿宋_GB2312"/>
                <w:sz w:val="28"/>
              </w:rPr>
              <w:t>服务内容：</w:t>
            </w:r>
            <w:r>
              <w:rPr>
                <w:rFonts w:ascii="仿宋_GB2312" w:hAnsi="仿宋_GB2312" w:cs="仿宋_GB2312" w:eastAsia="仿宋_GB2312"/>
                <w:sz w:val="28"/>
              </w:rPr>
              <w:t>api 接口环境基本类库编写</w:t>
            </w:r>
          </w:p>
          <w:p>
            <w:pPr>
              <w:pStyle w:val="null3"/>
              <w:jc w:val="both"/>
            </w:pPr>
            <w:r>
              <w:rPr>
                <w:rFonts w:ascii="仿宋_GB2312" w:hAnsi="仿宋_GB2312" w:cs="仿宋_GB2312" w:eastAsia="仿宋_GB2312"/>
                <w:sz w:val="28"/>
              </w:rPr>
              <w:t>药品编码映射数据。</w:t>
            </w:r>
          </w:p>
          <w:p>
            <w:pPr>
              <w:pStyle w:val="null3"/>
              <w:jc w:val="both"/>
            </w:pPr>
            <w:r>
              <w:rPr>
                <w:rFonts w:ascii="仿宋_GB2312" w:hAnsi="仿宋_GB2312" w:cs="仿宋_GB2312" w:eastAsia="仿宋_GB2312"/>
                <w:sz w:val="28"/>
              </w:rPr>
              <w:t>患者基本信息表数据操作</w:t>
            </w:r>
            <w:r>
              <w:rPr>
                <w:rFonts w:ascii="仿宋_GB2312" w:hAnsi="仿宋_GB2312" w:cs="仿宋_GB2312" w:eastAsia="仿宋_GB2312"/>
                <w:sz w:val="28"/>
              </w:rPr>
              <w:t>API接口</w:t>
            </w:r>
          </w:p>
          <w:p>
            <w:pPr>
              <w:pStyle w:val="null3"/>
              <w:jc w:val="both"/>
            </w:pPr>
            <w:r>
              <w:rPr>
                <w:rFonts w:ascii="仿宋_GB2312" w:hAnsi="仿宋_GB2312" w:cs="仿宋_GB2312" w:eastAsia="仿宋_GB2312"/>
                <w:sz w:val="28"/>
              </w:rPr>
              <w:t>诊疗活动信息表数据操作</w:t>
            </w:r>
            <w:r>
              <w:rPr>
                <w:rFonts w:ascii="仿宋_GB2312" w:hAnsi="仿宋_GB2312" w:cs="仿宋_GB2312" w:eastAsia="仿宋_GB2312"/>
                <w:sz w:val="28"/>
              </w:rPr>
              <w:t>API 接口1</w:t>
            </w:r>
          </w:p>
          <w:p>
            <w:pPr>
              <w:pStyle w:val="null3"/>
              <w:jc w:val="both"/>
            </w:pPr>
            <w:r>
              <w:rPr>
                <w:rFonts w:ascii="仿宋_GB2312" w:hAnsi="仿宋_GB2312" w:cs="仿宋_GB2312" w:eastAsia="仿宋_GB2312"/>
                <w:sz w:val="28"/>
              </w:rPr>
              <w:t>医院信息系统用户信息表数据操作</w:t>
            </w:r>
            <w:r>
              <w:rPr>
                <w:rFonts w:ascii="仿宋_GB2312" w:hAnsi="仿宋_GB2312" w:cs="仿宋_GB2312" w:eastAsia="仿宋_GB2312"/>
                <w:sz w:val="28"/>
              </w:rPr>
              <w:t>API接口</w:t>
            </w:r>
          </w:p>
          <w:p>
            <w:pPr>
              <w:pStyle w:val="null3"/>
              <w:jc w:val="both"/>
            </w:pPr>
            <w:r>
              <w:rPr>
                <w:rFonts w:ascii="仿宋_GB2312" w:hAnsi="仿宋_GB2312" w:cs="仿宋_GB2312" w:eastAsia="仿宋_GB2312"/>
                <w:sz w:val="28"/>
              </w:rPr>
              <w:t>医院信息系统科室信息数据操作</w:t>
            </w:r>
            <w:r>
              <w:rPr>
                <w:rFonts w:ascii="仿宋_GB2312" w:hAnsi="仿宋_GB2312" w:cs="仿宋_GB2312" w:eastAsia="仿宋_GB2312"/>
                <w:sz w:val="28"/>
              </w:rPr>
              <w:t>API接口</w:t>
            </w:r>
          </w:p>
          <w:p>
            <w:pPr>
              <w:pStyle w:val="null3"/>
              <w:jc w:val="both"/>
            </w:pPr>
            <w:r>
              <w:rPr>
                <w:rFonts w:ascii="仿宋_GB2312" w:hAnsi="仿宋_GB2312" w:cs="仿宋_GB2312" w:eastAsia="仿宋_GB2312"/>
                <w:sz w:val="28"/>
              </w:rPr>
              <w:t>门</w:t>
            </w:r>
            <w:r>
              <w:rPr>
                <w:rFonts w:ascii="仿宋_GB2312" w:hAnsi="仿宋_GB2312" w:cs="仿宋_GB2312" w:eastAsia="仿宋_GB2312"/>
                <w:sz w:val="28"/>
              </w:rPr>
              <w:t>(急)诊病历表数据操作API接口</w:t>
            </w:r>
          </w:p>
          <w:p>
            <w:pPr>
              <w:pStyle w:val="null3"/>
              <w:jc w:val="both"/>
            </w:pPr>
            <w:r>
              <w:rPr>
                <w:rFonts w:ascii="仿宋_GB2312" w:hAnsi="仿宋_GB2312" w:cs="仿宋_GB2312" w:eastAsia="仿宋_GB2312"/>
                <w:sz w:val="28"/>
              </w:rPr>
              <w:t>入院记录表数据操作</w:t>
            </w:r>
            <w:r>
              <w:rPr>
                <w:rFonts w:ascii="仿宋_GB2312" w:hAnsi="仿宋_GB2312" w:cs="仿宋_GB2312" w:eastAsia="仿宋_GB2312"/>
                <w:sz w:val="28"/>
              </w:rPr>
              <w:t>API 接口</w:t>
            </w:r>
          </w:p>
          <w:p>
            <w:pPr>
              <w:pStyle w:val="null3"/>
              <w:jc w:val="both"/>
            </w:pPr>
            <w:r>
              <w:rPr>
                <w:rFonts w:ascii="仿宋_GB2312" w:hAnsi="仿宋_GB2312" w:cs="仿宋_GB2312" w:eastAsia="仿宋_GB2312"/>
                <w:sz w:val="28"/>
              </w:rPr>
              <w:t>住院病案首页表数据操作</w:t>
            </w:r>
            <w:r>
              <w:rPr>
                <w:rFonts w:ascii="仿宋_GB2312" w:hAnsi="仿宋_GB2312" w:cs="仿宋_GB2312" w:eastAsia="仿宋_GB2312"/>
                <w:sz w:val="28"/>
              </w:rPr>
              <w:t>API 接口</w:t>
            </w:r>
          </w:p>
          <w:p>
            <w:pPr>
              <w:pStyle w:val="null3"/>
              <w:jc w:val="both"/>
            </w:pPr>
            <w:r>
              <w:rPr>
                <w:rFonts w:ascii="仿宋_GB2312" w:hAnsi="仿宋_GB2312" w:cs="仿宋_GB2312" w:eastAsia="仿宋_GB2312"/>
                <w:sz w:val="28"/>
              </w:rPr>
              <w:t>出院记录表数据操作</w:t>
            </w:r>
            <w:r>
              <w:rPr>
                <w:rFonts w:ascii="仿宋_GB2312" w:hAnsi="仿宋_GB2312" w:cs="仿宋_GB2312" w:eastAsia="仿宋_GB2312"/>
                <w:sz w:val="28"/>
              </w:rPr>
              <w:t>API 接口</w:t>
            </w:r>
          </w:p>
          <w:p>
            <w:pPr>
              <w:pStyle w:val="null3"/>
              <w:jc w:val="both"/>
            </w:pPr>
            <w:r>
              <w:rPr>
                <w:rFonts w:ascii="仿宋_GB2312" w:hAnsi="仿宋_GB2312" w:cs="仿宋_GB2312" w:eastAsia="仿宋_GB2312"/>
                <w:sz w:val="28"/>
              </w:rPr>
              <w:t>医嘱处方信息表数据操作</w:t>
            </w:r>
            <w:r>
              <w:rPr>
                <w:rFonts w:ascii="仿宋_GB2312" w:hAnsi="仿宋_GB2312" w:cs="仿宋_GB2312" w:eastAsia="仿宋_GB2312"/>
                <w:sz w:val="28"/>
              </w:rPr>
              <w:t>API 接口</w:t>
            </w:r>
          </w:p>
          <w:p>
            <w:pPr>
              <w:pStyle w:val="null3"/>
              <w:jc w:val="both"/>
            </w:pPr>
            <w:r>
              <w:rPr>
                <w:rFonts w:ascii="仿宋_GB2312" w:hAnsi="仿宋_GB2312" w:cs="仿宋_GB2312" w:eastAsia="仿宋_GB2312"/>
                <w:sz w:val="28"/>
              </w:rPr>
              <w:t>医嘱处方条目表数据操作</w:t>
            </w:r>
            <w:r>
              <w:rPr>
                <w:rFonts w:ascii="仿宋_GB2312" w:hAnsi="仿宋_GB2312" w:cs="仿宋_GB2312" w:eastAsia="仿宋_GB2312"/>
                <w:sz w:val="28"/>
              </w:rPr>
              <w:t>API 接口</w:t>
            </w:r>
          </w:p>
          <w:p>
            <w:pPr>
              <w:pStyle w:val="null3"/>
              <w:jc w:val="both"/>
            </w:pPr>
            <w:r>
              <w:rPr>
                <w:rFonts w:ascii="仿宋_GB2312" w:hAnsi="仿宋_GB2312" w:cs="仿宋_GB2312" w:eastAsia="仿宋_GB2312"/>
                <w:sz w:val="28"/>
              </w:rPr>
              <w:t>死亡信息表数据操作</w:t>
            </w:r>
            <w:r>
              <w:rPr>
                <w:rFonts w:ascii="仿宋_GB2312" w:hAnsi="仿宋_GB2312" w:cs="仿宋_GB2312" w:eastAsia="仿宋_GB2312"/>
                <w:sz w:val="28"/>
              </w:rPr>
              <w:t>API 接口</w:t>
            </w:r>
          </w:p>
          <w:p>
            <w:pPr>
              <w:pStyle w:val="null3"/>
              <w:jc w:val="both"/>
            </w:pPr>
            <w:r>
              <w:rPr>
                <w:rFonts w:ascii="仿宋_GB2312" w:hAnsi="仿宋_GB2312" w:cs="仿宋_GB2312" w:eastAsia="仿宋_GB2312"/>
                <w:sz w:val="28"/>
              </w:rPr>
              <w:t>测试调试</w:t>
            </w:r>
          </w:p>
          <w:p>
            <w:pPr>
              <w:pStyle w:val="null3"/>
              <w:jc w:val="both"/>
            </w:pPr>
            <w:r>
              <w:rPr>
                <w:rFonts w:ascii="仿宋_GB2312" w:hAnsi="仿宋_GB2312" w:cs="仿宋_GB2312" w:eastAsia="仿宋_GB2312"/>
                <w:sz w:val="32"/>
                <w:b/>
              </w:rPr>
              <w:t>三、技术要求</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一）数据接口规范</w:t>
            </w:r>
          </w:p>
          <w:p>
            <w:pPr>
              <w:pStyle w:val="null3"/>
              <w:ind w:firstLine="560"/>
              <w:jc w:val="both"/>
            </w:pPr>
            <w:r>
              <w:rPr>
                <w:rFonts w:ascii="仿宋_GB2312" w:hAnsi="仿宋_GB2312" w:cs="仿宋_GB2312" w:eastAsia="仿宋_GB2312"/>
                <w:sz w:val="28"/>
              </w:rPr>
              <w:t>严格遵循《国家传染病智能监测预警前置软件数据集成和</w:t>
            </w:r>
            <w:r>
              <w:rPr>
                <w:rFonts w:ascii="仿宋_GB2312" w:hAnsi="仿宋_GB2312" w:cs="仿宋_GB2312" w:eastAsia="仿宋_GB2312"/>
                <w:sz w:val="28"/>
              </w:rPr>
              <w:t>API 接口规范 (试行)》，实现与医院 HIS、LIS、PACS 等内部业务系统的数据对接，确保传染病相关数据（诊断、检验、检查、药品使用、病程记录等）的实时、准确采集。</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）数据采集与处理</w:t>
            </w:r>
          </w:p>
          <w:p>
            <w:pPr>
              <w:pStyle w:val="null3"/>
              <w:ind w:firstLine="560"/>
              <w:jc w:val="both"/>
            </w:pPr>
            <w:r>
              <w:rPr>
                <w:rFonts w:ascii="仿宋_GB2312" w:hAnsi="仿宋_GB2312" w:cs="仿宋_GB2312" w:eastAsia="仿宋_GB2312"/>
                <w:sz w:val="28"/>
              </w:rPr>
              <w:t>具备实时数据采集能力，可根据业务系统数据更新情况，自动触发数据采集，采集时间间隔不超过</w:t>
            </w:r>
            <w:r>
              <w:rPr>
                <w:rFonts w:ascii="仿宋_GB2312" w:hAnsi="仿宋_GB2312" w:cs="仿宋_GB2312" w:eastAsia="仿宋_GB2312"/>
                <w:sz w:val="28"/>
              </w:rPr>
              <w:t>15 分钟，确保传染病数据及时获取。对采集到的数据进行初步校验和清洗，去除重复、无效数据，验证数据的完整性和准确性，如检查关键数据字段是否缺失、数据格式是否正确等，提高数据质量。</w:t>
            </w:r>
          </w:p>
          <w:p>
            <w:pPr>
              <w:pStyle w:val="null3"/>
              <w:ind w:firstLine="560"/>
              <w:jc w:val="both"/>
            </w:pPr>
            <w:r>
              <w:rPr>
                <w:rFonts w:ascii="仿宋_GB2312" w:hAnsi="仿宋_GB2312" w:cs="仿宋_GB2312" w:eastAsia="仿宋_GB2312"/>
                <w:sz w:val="32"/>
                <w:b/>
              </w:rPr>
              <w:t>四、其它商务要求</w:t>
            </w:r>
          </w:p>
          <w:p>
            <w:pPr>
              <w:pStyle w:val="null3"/>
            </w:pPr>
            <w:r>
              <w:rPr>
                <w:rFonts w:ascii="仿宋_GB2312" w:hAnsi="仿宋_GB2312" w:cs="仿宋_GB2312" w:eastAsia="仿宋_GB2312"/>
                <w:sz w:val="28"/>
              </w:rPr>
              <w:t>1.知识产权</w:t>
            </w:r>
          </w:p>
          <w:p>
            <w:pPr>
              <w:pStyle w:val="null3"/>
              <w:ind w:firstLine="560"/>
            </w:pPr>
            <w:r>
              <w:rPr>
                <w:rFonts w:ascii="仿宋_GB2312" w:hAnsi="仿宋_GB2312" w:cs="仿宋_GB2312" w:eastAsia="仿宋_GB2312"/>
                <w:sz w:val="28"/>
              </w:rPr>
              <w:t>项目实施过程中产生的所有软件著作权、技术成果、文档资料等知识产权均归采购人所有，供应商需配合采购人完成相关知识产权登记手续，并不得将项目成果用于其他任何商业用途</w:t>
            </w:r>
            <w:r>
              <w:rPr>
                <w:rFonts w:ascii="仿宋_GB2312" w:hAnsi="仿宋_GB2312" w:cs="仿宋_GB2312" w:eastAsia="仿宋_GB2312"/>
                <w:sz w:val="28"/>
              </w:rPr>
              <w:t>。</w:t>
            </w:r>
          </w:p>
          <w:p>
            <w:pPr>
              <w:pStyle w:val="null3"/>
            </w:pPr>
            <w:r>
              <w:rPr>
                <w:rFonts w:ascii="仿宋_GB2312" w:hAnsi="仿宋_GB2312" w:cs="仿宋_GB2312" w:eastAsia="仿宋_GB2312"/>
                <w:sz w:val="28"/>
              </w:rPr>
              <w:t>2.保密条款</w:t>
            </w:r>
          </w:p>
          <w:p>
            <w:pPr>
              <w:pStyle w:val="null3"/>
            </w:pPr>
            <w:r>
              <w:rPr>
                <w:rFonts w:ascii="仿宋_GB2312" w:hAnsi="仿宋_GB2312" w:cs="仿宋_GB2312" w:eastAsia="仿宋_GB2312"/>
                <w:sz w:val="28"/>
              </w:rPr>
              <w:t xml:space="preserve">  </w:t>
            </w:r>
            <w:r>
              <w:rPr>
                <w:rFonts w:ascii="仿宋_GB2312" w:hAnsi="仿宋_GB2312" w:cs="仿宋_GB2312" w:eastAsia="仿宋_GB2312"/>
                <w:sz w:val="28"/>
              </w:rPr>
              <w:t>供应商在项目实施及服务期间，接触到的采购人患者数据、业务信息、技术资料等均属于保密信息，供应商应严格履行保密义务，未经采购人书面同意，不得向任何第三方披露、使用或允许第三方使用保密信息。</w:t>
            </w:r>
          </w:p>
          <w:p>
            <w:pPr>
              <w:pStyle w:val="null3"/>
            </w:pPr>
            <w:r>
              <w:rPr>
                <w:rFonts w:ascii="仿宋_GB2312" w:hAnsi="仿宋_GB2312" w:cs="仿宋_GB2312" w:eastAsia="仿宋_GB2312"/>
                <w:sz w:val="28"/>
              </w:rPr>
              <w:t xml:space="preserve">  </w:t>
            </w:r>
            <w:r>
              <w:rPr>
                <w:rFonts w:ascii="仿宋_GB2312" w:hAnsi="仿宋_GB2312" w:cs="仿宋_GB2312" w:eastAsia="仿宋_GB2312"/>
                <w:sz w:val="28"/>
              </w:rPr>
              <w:t>保密期限自合同签订之日起至合同终止后</w:t>
            </w:r>
            <w:r>
              <w:rPr>
                <w:rFonts w:ascii="仿宋_GB2312" w:hAnsi="仿宋_GB2312" w:cs="仿宋_GB2312" w:eastAsia="仿宋_GB2312"/>
                <w:sz w:val="28"/>
              </w:rPr>
              <w:t xml:space="preserve"> 5 年，不因合同的终止或解除而失效。</w:t>
            </w:r>
          </w:p>
          <w:p>
            <w:pPr>
              <w:pStyle w:val="null3"/>
            </w:pPr>
            <w:r>
              <w:rPr>
                <w:rFonts w:ascii="仿宋_GB2312" w:hAnsi="仿宋_GB2312" w:cs="仿宋_GB2312" w:eastAsia="仿宋_GB2312"/>
                <w:sz w:val="28"/>
              </w:rPr>
              <w:t>3.违约责任</w:t>
            </w:r>
          </w:p>
          <w:p>
            <w:pPr>
              <w:pStyle w:val="null3"/>
              <w:ind w:firstLine="560"/>
            </w:pPr>
            <w:r>
              <w:rPr>
                <w:rFonts w:ascii="仿宋_GB2312" w:hAnsi="仿宋_GB2312" w:cs="仿宋_GB2312" w:eastAsia="仿宋_GB2312"/>
                <w:sz w:val="28"/>
              </w:rPr>
              <w:t>具体违约责任按照合同中约定条款执行，任何一方违反合同约定，需承担相应的违约责任，赔偿对方因此遭受的直接经济损失</w:t>
            </w:r>
            <w:r>
              <w:rPr>
                <w:rFonts w:ascii="仿宋_GB2312" w:hAnsi="仿宋_GB2312" w:cs="仿宋_GB2312" w:eastAsia="仿宋_GB2312"/>
                <w:sz w:val="28"/>
              </w:rPr>
              <w:t>。</w:t>
            </w:r>
          </w:p>
          <w:p>
            <w:pPr>
              <w:pStyle w:val="null3"/>
            </w:pPr>
            <w:r>
              <w:rPr>
                <w:rFonts w:ascii="仿宋_GB2312" w:hAnsi="仿宋_GB2312" w:cs="仿宋_GB2312" w:eastAsia="仿宋_GB2312"/>
                <w:sz w:val="28"/>
              </w:rPr>
              <w:t>4.</w:t>
            </w:r>
            <w:r>
              <w:rPr>
                <w:rFonts w:ascii="仿宋_GB2312" w:hAnsi="仿宋_GB2312" w:cs="仿宋_GB2312" w:eastAsia="仿宋_GB2312"/>
                <w:sz w:val="28"/>
              </w:rPr>
              <w:t>进度要求</w:t>
            </w:r>
          </w:p>
          <w:p>
            <w:pPr>
              <w:pStyle w:val="null3"/>
            </w:pPr>
            <w:r>
              <w:rPr>
                <w:rFonts w:ascii="仿宋_GB2312" w:hAnsi="仿宋_GB2312" w:cs="仿宋_GB2312" w:eastAsia="仿宋_GB2312"/>
                <w:sz w:val="28"/>
              </w:rPr>
              <w:t>传染病前置软件接口项目进度要求</w:t>
            </w:r>
          </w:p>
          <w:p>
            <w:pPr>
              <w:pStyle w:val="null3"/>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、项目调查阶段</w:t>
            </w:r>
          </w:p>
          <w:p>
            <w:pPr>
              <w:pStyle w:val="null3"/>
            </w:pPr>
            <w:r>
              <w:rPr>
                <w:rFonts w:ascii="仿宋_GB2312" w:hAnsi="仿宋_GB2312" w:cs="仿宋_GB2312" w:eastAsia="仿宋_GB2312"/>
                <w:sz w:val="28"/>
                <w:b/>
              </w:rPr>
              <w:t>任务内容</w:t>
            </w:r>
          </w:p>
          <w:p>
            <w:pPr>
              <w:pStyle w:val="null3"/>
              <w:ind w:firstLine="560"/>
            </w:pPr>
            <w:r>
              <w:rPr>
                <w:rFonts w:ascii="仿宋_GB2312" w:hAnsi="仿宋_GB2312" w:cs="仿宋_GB2312" w:eastAsia="仿宋_GB2312"/>
                <w:sz w:val="28"/>
              </w:rPr>
              <w:t>乙方需组建专业的项目调研团队，深入医院各科室、信息部门，与医院管理人员、医护人员、技术人员进行沟通交流，全面了解医院现有</w:t>
            </w:r>
            <w:r>
              <w:rPr>
                <w:rFonts w:ascii="仿宋_GB2312" w:hAnsi="仿宋_GB2312" w:cs="仿宋_GB2312" w:eastAsia="仿宋_GB2312"/>
                <w:sz w:val="28"/>
              </w:rPr>
              <w:t xml:space="preserve"> HIS、LIS、PACS 等业务系统的架构、数据流程、运行情况以及传染病上报业务流程和需求。</w:t>
            </w:r>
          </w:p>
          <w:p>
            <w:pPr>
              <w:pStyle w:val="null3"/>
              <w:ind w:firstLine="560"/>
            </w:pPr>
            <w:r>
              <w:rPr>
                <w:rFonts w:ascii="仿宋_GB2312" w:hAnsi="仿宋_GB2312" w:cs="仿宋_GB2312" w:eastAsia="仿宋_GB2312"/>
                <w:sz w:val="28"/>
              </w:rPr>
              <w:t>对医院现有网络环境，尤其是传染病前置服务器连接政务网、接入市数据中心的网络架构、设备配置、网络带宽等进行详细勘察与分析，评估网络现状对项目实施的影响。</w:t>
            </w:r>
          </w:p>
          <w:p>
            <w:pPr>
              <w:pStyle w:val="null3"/>
              <w:ind w:firstLine="560"/>
            </w:pPr>
            <w:r>
              <w:rPr>
                <w:rFonts w:ascii="仿宋_GB2312" w:hAnsi="仿宋_GB2312" w:cs="仿宋_GB2312" w:eastAsia="仿宋_GB2312"/>
                <w:sz w:val="28"/>
              </w:rPr>
              <w:t>研究国家及地方关于传染病监测信息系统的数据标准、接口规范、安全要求等相关政策法规，确保项目符合国家标准和行业规范。</w:t>
            </w:r>
          </w:p>
          <w:p>
            <w:pPr>
              <w:pStyle w:val="null3"/>
            </w:pPr>
            <w:r>
              <w:rPr>
                <w:rFonts w:ascii="仿宋_GB2312" w:hAnsi="仿宋_GB2312" w:cs="仿宋_GB2312" w:eastAsia="仿宋_GB2312"/>
                <w:sz w:val="28"/>
                <w:b/>
              </w:rPr>
              <w:t>交付成果</w:t>
            </w:r>
          </w:p>
          <w:p>
            <w:pPr>
              <w:pStyle w:val="null3"/>
              <w:ind w:firstLine="560"/>
            </w:pPr>
            <w:r>
              <w:rPr>
                <w:rFonts w:ascii="仿宋_GB2312" w:hAnsi="仿宋_GB2312" w:cs="仿宋_GB2312" w:eastAsia="仿宋_GB2312"/>
                <w:sz w:val="28"/>
              </w:rPr>
              <w:t>提交详细的《项目需求调研报告》，内容涵盖医院业务需求分析、现有系统评估、网络环境分析、政策法规解读、项目风险预判等方面，为项目后续设计与实施提供依据。</w:t>
            </w:r>
          </w:p>
          <w:p>
            <w:pPr>
              <w:pStyle w:val="null3"/>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内业整理、总结及项目评审阶段</w:t>
            </w:r>
          </w:p>
          <w:p>
            <w:pPr>
              <w:pStyle w:val="null3"/>
            </w:pPr>
            <w:r>
              <w:rPr>
                <w:rFonts w:ascii="仿宋_GB2312" w:hAnsi="仿宋_GB2312" w:cs="仿宋_GB2312" w:eastAsia="仿宋_GB2312"/>
                <w:sz w:val="28"/>
                <w:b/>
              </w:rPr>
              <w:t>任务内容</w:t>
            </w:r>
          </w:p>
          <w:p>
            <w:pPr>
              <w:pStyle w:val="null3"/>
            </w:pPr>
            <w:r>
              <w:rPr>
                <w:rFonts w:ascii="仿宋_GB2312" w:hAnsi="仿宋_GB2312" w:cs="仿宋_GB2312" w:eastAsia="仿宋_GB2312"/>
                <w:sz w:val="28"/>
              </w:rPr>
              <w:t>根据项目需求调研报告，进行传染病前置软件接口的设计工作，包括接口方案设计、数据采集与传输流程设计、数据库结构设计、系统功能模块设计等，完成《项目技术设计方案》。</w:t>
            </w:r>
          </w:p>
          <w:p>
            <w:pPr>
              <w:pStyle w:val="null3"/>
            </w:pPr>
            <w:r>
              <w:rPr>
                <w:rFonts w:ascii="仿宋_GB2312" w:hAnsi="仿宋_GB2312" w:cs="仿宋_GB2312" w:eastAsia="仿宋_GB2312"/>
                <w:sz w:val="28"/>
              </w:rPr>
              <w:t>对项目调查阶段的资料、文档进行整理归档，建立完善的项目文档管理体系，确保项目资料的完整性和可追溯性。</w:t>
            </w:r>
          </w:p>
          <w:p>
            <w:pPr>
              <w:pStyle w:val="null3"/>
            </w:pPr>
            <w:r>
              <w:rPr>
                <w:rFonts w:ascii="仿宋_GB2312" w:hAnsi="仿宋_GB2312" w:cs="仿宋_GB2312" w:eastAsia="仿宋_GB2312"/>
                <w:sz w:val="28"/>
              </w:rPr>
              <w:t>组织内部团队对设计方案、项目进度计划、质量保障措施等进行内部评审，优化项目方案，提前发现并解决潜在问题。</w:t>
            </w:r>
          </w:p>
          <w:p>
            <w:pPr>
              <w:pStyle w:val="null3"/>
            </w:pPr>
            <w:r>
              <w:rPr>
                <w:rFonts w:ascii="仿宋_GB2312" w:hAnsi="仿宋_GB2312" w:cs="仿宋_GB2312" w:eastAsia="仿宋_GB2312"/>
                <w:sz w:val="28"/>
                <w:b/>
              </w:rPr>
              <w:t>交付成果</w:t>
            </w:r>
          </w:p>
          <w:p>
            <w:pPr>
              <w:pStyle w:val="null3"/>
            </w:pPr>
            <w:r>
              <w:rPr>
                <w:rFonts w:ascii="仿宋_GB2312" w:hAnsi="仿宋_GB2312" w:cs="仿宋_GB2312" w:eastAsia="仿宋_GB2312"/>
                <w:sz w:val="28"/>
              </w:rPr>
              <w:t>成果交付要求</w:t>
            </w:r>
          </w:p>
          <w:p>
            <w:pPr>
              <w:pStyle w:val="null3"/>
            </w:pPr>
            <w:r>
              <w:rPr>
                <w:rFonts w:ascii="仿宋_GB2312" w:hAnsi="仿宋_GB2312" w:cs="仿宋_GB2312" w:eastAsia="仿宋_GB2312"/>
                <w:sz w:val="28"/>
              </w:rPr>
              <w:t>技术文档接口设计文档：详细描述传染病前置软件接口的设计方案，数据映射规则、接口调用流程等内容，便于技术人员理解和维护接口。</w:t>
            </w:r>
          </w:p>
          <w:p>
            <w:pPr>
              <w:pStyle w:val="null3"/>
            </w:pPr>
            <w:r>
              <w:rPr>
                <w:rFonts w:ascii="仿宋_GB2312" w:hAnsi="仿宋_GB2312" w:cs="仿宋_GB2312" w:eastAsia="仿宋_GB2312"/>
                <w:sz w:val="28"/>
              </w:rPr>
              <w:t>系统部署文档：记录软件系统在服务器上的部署步骤、配置参数、环境要求等信息，指导后续系统的安装和部署工作。</w:t>
            </w:r>
          </w:p>
          <w:p>
            <w:pPr>
              <w:pStyle w:val="null3"/>
            </w:pPr>
            <w:r>
              <w:rPr>
                <w:rFonts w:ascii="仿宋_GB2312" w:hAnsi="仿宋_GB2312" w:cs="仿宋_GB2312" w:eastAsia="仿宋_GB2312"/>
                <w:sz w:val="28"/>
              </w:rPr>
              <w:t>数据库设计文档：说明数据库的表结构设计、存储过程逻辑、数据关系等，为数据库管理和数据维护提供依据。</w:t>
            </w:r>
          </w:p>
          <w:p>
            <w:pPr>
              <w:pStyle w:val="null3"/>
            </w:pPr>
            <w:r>
              <w:rPr>
                <w:rFonts w:ascii="仿宋_GB2312" w:hAnsi="仿宋_GB2312" w:cs="仿宋_GB2312" w:eastAsia="仿宋_GB2312"/>
                <w:sz w:val="28"/>
              </w:rPr>
              <w:t>操作文档用户操作手册：以通俗易懂的语言，介绍传染病前置软件的使用方法，包括各功能模块的操作流程、界面说明、数据上报操作、查询操作等，方便医院工作人员快速上手使用软件。</w:t>
            </w:r>
          </w:p>
          <w:p>
            <w:pPr>
              <w:pStyle w:val="null3"/>
            </w:pPr>
            <w:r>
              <w:rPr>
                <w:rFonts w:ascii="仿宋_GB2312" w:hAnsi="仿宋_GB2312" w:cs="仿宋_GB2312" w:eastAsia="仿宋_GB2312"/>
                <w:sz w:val="28"/>
              </w:rPr>
              <w:t>管理员维护手册：针对医院系统管理员，提供系统日常维护、故障排查、权限管理、数据备份与恢复等方面的操作指南，保障系统的稳定运行。</w:t>
            </w:r>
          </w:p>
          <w:p>
            <w:pPr>
              <w:pStyle w:val="null3"/>
            </w:pPr>
            <w:r>
              <w:rPr>
                <w:rFonts w:ascii="仿宋_GB2312" w:hAnsi="仿宋_GB2312" w:cs="仿宋_GB2312" w:eastAsia="仿宋_GB2312"/>
                <w:sz w:val="28"/>
              </w:rPr>
              <w:t>测试方案：阐述项目测试的目标、范围、测试方法（功能测试、性能测试、安全测试等）、测试环境等内容，体现测试工作的全面性和科学性。</w:t>
            </w:r>
          </w:p>
          <w:p>
            <w:pPr>
              <w:pStyle w:val="null3"/>
            </w:pPr>
            <w:r>
              <w:rPr>
                <w:rFonts w:ascii="仿宋_GB2312" w:hAnsi="仿宋_GB2312" w:cs="仿宋_GB2312" w:eastAsia="仿宋_GB2312"/>
                <w:sz w:val="28"/>
              </w:rPr>
              <w:t>测试报告：记录测试过程中发现的问题、问题解决情况、测试结果分析等信息，证明软件系统满足技术要求和业务需求。</w:t>
            </w:r>
          </w:p>
          <w:p>
            <w:pPr>
              <w:pStyle w:val="null3"/>
            </w:pPr>
            <w:r>
              <w:rPr>
                <w:rFonts w:ascii="仿宋_GB2312" w:hAnsi="仿宋_GB2312" w:cs="仿宋_GB2312" w:eastAsia="仿宋_GB2312"/>
                <w:sz w:val="28"/>
              </w:rPr>
              <w:t>5.</w:t>
            </w:r>
            <w:r>
              <w:rPr>
                <w:rFonts w:ascii="仿宋_GB2312" w:hAnsi="仿宋_GB2312" w:cs="仿宋_GB2312" w:eastAsia="仿宋_GB2312"/>
                <w:sz w:val="28"/>
              </w:rPr>
              <w:t>培训</w:t>
            </w:r>
          </w:p>
          <w:p>
            <w:pPr>
              <w:pStyle w:val="null3"/>
            </w:pPr>
            <w:r>
              <w:rPr>
                <w:rFonts w:ascii="仿宋_GB2312" w:hAnsi="仿宋_GB2312" w:cs="仿宋_GB2312" w:eastAsia="仿宋_GB2312"/>
                <w:sz w:val="28"/>
              </w:rPr>
              <w:t>培训计划：提交完整的培训计划，包括培训目标、培训对象（医院技术人员、业务人员）、培训内容（系统操作、维护、常见故障处理等）、培训时间安排、培训方式等。</w:t>
            </w:r>
          </w:p>
          <w:p>
            <w:pPr>
              <w:pStyle w:val="null3"/>
            </w:pPr>
            <w:r>
              <w:rPr>
                <w:rFonts w:ascii="仿宋_GB2312" w:hAnsi="仿宋_GB2312" w:cs="仿宋_GB2312" w:eastAsia="仿宋_GB2312"/>
                <w:sz w:val="28"/>
              </w:rPr>
              <w:t>培训记录：提供培训过程中的签到表、培训内容记录、学员反馈等资料，证明培训工作的有效开展。</w:t>
            </w:r>
          </w:p>
          <w:p>
            <w:pPr>
              <w:pStyle w:val="null3"/>
            </w:pPr>
            <w:r>
              <w:rPr>
                <w:rFonts w:ascii="仿宋_GB2312" w:hAnsi="仿宋_GB2312" w:cs="仿宋_GB2312" w:eastAsia="仿宋_GB2312"/>
                <w:sz w:val="28"/>
              </w:rPr>
              <w:t>6、</w:t>
            </w:r>
            <w:r>
              <w:rPr>
                <w:rFonts w:ascii="仿宋_GB2312" w:hAnsi="仿宋_GB2312" w:cs="仿宋_GB2312" w:eastAsia="仿宋_GB2312"/>
                <w:sz w:val="28"/>
              </w:rPr>
              <w:t>质量验收标准或规范</w:t>
            </w:r>
          </w:p>
          <w:p>
            <w:pPr>
              <w:pStyle w:val="null3"/>
            </w:pPr>
            <w:r>
              <w:rPr>
                <w:rFonts w:ascii="仿宋_GB2312" w:hAnsi="仿宋_GB2312" w:cs="仿宋_GB2312" w:eastAsia="仿宋_GB2312"/>
                <w:sz w:val="28"/>
              </w:rPr>
              <w:t>现行的国家标准或国家行政部门颁布的法律法规、规章制度等，是项目验收的另一个重要依据。</w:t>
            </w:r>
          </w:p>
          <w:p>
            <w:pPr>
              <w:pStyle w:val="null3"/>
            </w:pPr>
            <w:r>
              <w:rPr>
                <w:rFonts w:ascii="仿宋_GB2312" w:hAnsi="仿宋_GB2312" w:cs="仿宋_GB2312" w:eastAsia="仿宋_GB2312"/>
                <w:sz w:val="28"/>
              </w:rPr>
              <w:t>数据采集功能能够按照规定的时间自动从医院</w:t>
            </w:r>
            <w:r>
              <w:rPr>
                <w:rFonts w:ascii="仿宋_GB2312" w:hAnsi="仿宋_GB2312" w:cs="仿宋_GB2312" w:eastAsia="仿宋_GB2312"/>
                <w:sz w:val="28"/>
              </w:rPr>
              <w:t xml:space="preserve"> HIS、LIS 等系统中采集传染病相关数据，数据采集准确率达到 99% 以上。</w:t>
            </w:r>
          </w:p>
          <w:p>
            <w:pPr>
              <w:pStyle w:val="null3"/>
            </w:pPr>
            <w:r>
              <w:rPr>
                <w:rFonts w:ascii="仿宋_GB2312" w:hAnsi="仿宋_GB2312" w:cs="仿宋_GB2312" w:eastAsia="仿宋_GB2312"/>
                <w:sz w:val="28"/>
              </w:rPr>
              <w:t>支持手动触发数据采集，采集过程中若出现数据异常，能及时记录并告警。数据映射与转换功能依据国家和地方传染病监测信息系统的数据标准，将采集到的医院内部数据准确映射和转换为标准格式，数据转换错误率低于</w:t>
            </w:r>
            <w:r>
              <w:rPr>
                <w:rFonts w:ascii="仿宋_GB2312" w:hAnsi="仿宋_GB2312" w:cs="仿宋_GB2312" w:eastAsia="仿宋_GB2312"/>
                <w:sz w:val="28"/>
              </w:rPr>
              <w:t xml:space="preserve"> 0.1%。对于不同类型的传染病数据，如甲类、乙类、丙类传染病，能按照相应的规范进行分类映射和转换。数据传输功能采用安全可靠的传输协议，将转换后的数据实时传输至市级数据中心，数据传输成功率达到 99% 以上。具备数据断点续传功能，在网络故障恢复后能自动续传未传输成功的数据，确保数据不丢失。</w:t>
            </w:r>
          </w:p>
          <w:p>
            <w:pPr>
              <w:pStyle w:val="null3"/>
            </w:pPr>
            <w:r>
              <w:rPr>
                <w:rFonts w:ascii="仿宋_GB2312" w:hAnsi="仿宋_GB2312" w:cs="仿宋_GB2312" w:eastAsia="仿宋_GB2312"/>
                <w:sz w:val="28"/>
              </w:rPr>
              <w:t>软件性能验收</w:t>
            </w:r>
          </w:p>
          <w:p>
            <w:pPr>
              <w:pStyle w:val="null3"/>
            </w:pPr>
            <w:r>
              <w:rPr>
                <w:rFonts w:ascii="仿宋_GB2312" w:hAnsi="仿宋_GB2312" w:cs="仿宋_GB2312" w:eastAsia="仿宋_GB2312"/>
                <w:sz w:val="28"/>
              </w:rPr>
              <w:t>响应时间</w:t>
            </w:r>
          </w:p>
          <w:p>
            <w:pPr>
              <w:pStyle w:val="null3"/>
            </w:pPr>
            <w:r>
              <w:rPr>
                <w:rFonts w:ascii="仿宋_GB2312" w:hAnsi="仿宋_GB2312" w:cs="仿宋_GB2312" w:eastAsia="仿宋_GB2312"/>
                <w:sz w:val="28"/>
              </w:rPr>
              <w:t>在正常业务负载下，数据采集、映射、传输等操作的平均响应时间不超过</w:t>
            </w:r>
            <w:r>
              <w:rPr>
                <w:rFonts w:ascii="仿宋_GB2312" w:hAnsi="仿宋_GB2312" w:cs="仿宋_GB2312" w:eastAsia="仿宋_GB2312"/>
                <w:sz w:val="28"/>
              </w:rPr>
              <w:t xml:space="preserve"> 3 秒。在高峰时段，系统能够处理大量并发数据，且响应时间不超过 5 秒。</w:t>
            </w:r>
          </w:p>
          <w:p>
            <w:pPr>
              <w:pStyle w:val="null3"/>
            </w:pPr>
            <w:r>
              <w:rPr>
                <w:rFonts w:ascii="仿宋_GB2312" w:hAnsi="仿宋_GB2312" w:cs="仿宋_GB2312" w:eastAsia="仿宋_GB2312"/>
                <w:sz w:val="28"/>
              </w:rPr>
              <w:t>吞吐量软件系统能够满足医院每日至少</w:t>
            </w:r>
            <w:r>
              <w:rPr>
                <w:rFonts w:ascii="仿宋_GB2312" w:hAnsi="仿宋_GB2312" w:cs="仿宋_GB2312" w:eastAsia="仿宋_GB2312"/>
                <w:sz w:val="28"/>
              </w:rPr>
              <w:t xml:space="preserve"> 1000 条传染病数据的采集、处理和传输需求，且在处理能力上具备一定的扩展性，可根据医院业务发展进行调整。</w:t>
            </w:r>
          </w:p>
          <w:p>
            <w:pPr>
              <w:pStyle w:val="null3"/>
            </w:pPr>
            <w:r>
              <w:rPr>
                <w:rFonts w:ascii="仿宋_GB2312" w:hAnsi="仿宋_GB2312" w:cs="仿宋_GB2312" w:eastAsia="仿宋_GB2312"/>
                <w:sz w:val="28"/>
              </w:rPr>
              <w:t>软件安全性验收数据加密</w:t>
            </w:r>
          </w:p>
          <w:p>
            <w:pPr>
              <w:pStyle w:val="null3"/>
            </w:pPr>
            <w:r>
              <w:rPr>
                <w:rFonts w:ascii="仿宋_GB2312" w:hAnsi="仿宋_GB2312" w:cs="仿宋_GB2312" w:eastAsia="仿宋_GB2312"/>
                <w:sz w:val="28"/>
              </w:rPr>
              <w:t>采用符合国家标准的加密算法（如</w:t>
            </w:r>
            <w:r>
              <w:rPr>
                <w:rFonts w:ascii="仿宋_GB2312" w:hAnsi="仿宋_GB2312" w:cs="仿宋_GB2312" w:eastAsia="仿宋_GB2312"/>
                <w:sz w:val="28"/>
              </w:rPr>
              <w:t xml:space="preserve"> SM4 算法）对传输和存储的传染病数据进行加密，确保数据在传输过程中不被窃取或篡改。</w:t>
            </w:r>
          </w:p>
          <w:p>
            <w:pPr>
              <w:pStyle w:val="null3"/>
            </w:pPr>
            <w:r>
              <w:rPr>
                <w:rFonts w:ascii="仿宋_GB2312" w:hAnsi="仿宋_GB2312" w:cs="仿宋_GB2312" w:eastAsia="仿宋_GB2312"/>
                <w:sz w:val="28"/>
              </w:rPr>
              <w:t>访问控制</w:t>
            </w:r>
          </w:p>
          <w:p>
            <w:pPr>
              <w:pStyle w:val="null3"/>
            </w:pPr>
            <w:r>
              <w:rPr>
                <w:rFonts w:ascii="仿宋_GB2312" w:hAnsi="仿宋_GB2312" w:cs="仿宋_GB2312" w:eastAsia="仿宋_GB2312"/>
                <w:sz w:val="28"/>
              </w:rPr>
              <w:t>建立严格的用户身份认证和访问控制机制，只有经过授权的用户才能访问和操作传染病前置软件系统。</w:t>
            </w:r>
          </w:p>
          <w:p>
            <w:pPr>
              <w:pStyle w:val="null3"/>
            </w:pPr>
            <w:r>
              <w:rPr>
                <w:rFonts w:ascii="仿宋_GB2312" w:hAnsi="仿宋_GB2312" w:cs="仿宋_GB2312" w:eastAsia="仿宋_GB2312"/>
                <w:sz w:val="28"/>
              </w:rPr>
              <w:t>对不同角色的用户（如系统管理员、数据录入员、数据查询员等）设置不同的权限，确保用户只能进行与其职责相符的操作。</w:t>
            </w:r>
          </w:p>
          <w:p>
            <w:pPr>
              <w:pStyle w:val="null3"/>
            </w:pPr>
            <w:r>
              <w:rPr>
                <w:rFonts w:ascii="仿宋_GB2312" w:hAnsi="仿宋_GB2312" w:cs="仿宋_GB2312" w:eastAsia="仿宋_GB2312"/>
                <w:sz w:val="28"/>
              </w:rPr>
              <w:t>安全漏洞检测</w:t>
            </w:r>
          </w:p>
          <w:p>
            <w:pPr>
              <w:pStyle w:val="null3"/>
            </w:pPr>
            <w:r>
              <w:rPr>
                <w:rFonts w:ascii="仿宋_GB2312" w:hAnsi="仿宋_GB2312" w:cs="仿宋_GB2312" w:eastAsia="仿宋_GB2312"/>
                <w:sz w:val="28"/>
              </w:rPr>
              <w:t>软件系统通过专业的安全漏洞检测工具进行检测，不存在高危安全漏洞。定期进行安全评估和漏洞扫描，及时修复发现的安全问题。</w:t>
            </w:r>
          </w:p>
          <w:p>
            <w:pPr>
              <w:pStyle w:val="null3"/>
            </w:pPr>
            <w:r>
              <w:rPr>
                <w:rFonts w:ascii="仿宋_GB2312" w:hAnsi="仿宋_GB2312" w:cs="仿宋_GB2312" w:eastAsia="仿宋_GB2312"/>
                <w:sz w:val="28"/>
              </w:rPr>
              <w:t>文档验收</w:t>
            </w:r>
          </w:p>
          <w:p>
            <w:pPr>
              <w:pStyle w:val="null3"/>
            </w:pPr>
            <w:r>
              <w:rPr>
                <w:rFonts w:ascii="仿宋_GB2312" w:hAnsi="仿宋_GB2312" w:cs="仿宋_GB2312" w:eastAsia="仿宋_GB2312"/>
                <w:sz w:val="28"/>
              </w:rPr>
              <w:t>完整性</w:t>
            </w:r>
          </w:p>
          <w:p>
            <w:pPr>
              <w:pStyle w:val="null3"/>
            </w:pPr>
            <w:r>
              <w:rPr>
                <w:rFonts w:ascii="仿宋_GB2312" w:hAnsi="仿宋_GB2312" w:cs="仿宋_GB2312" w:eastAsia="仿宋_GB2312"/>
                <w:sz w:val="28"/>
              </w:rPr>
              <w:t>提交的技术文档、操作文档、测试文档等应涵盖项目的各个方面，包括系统设计、部署、使用、维护、测试等内容，无遗漏。</w:t>
            </w:r>
          </w:p>
          <w:p>
            <w:pPr>
              <w:pStyle w:val="null3"/>
            </w:pPr>
            <w:r>
              <w:rPr>
                <w:rFonts w:ascii="仿宋_GB2312" w:hAnsi="仿宋_GB2312" w:cs="仿宋_GB2312" w:eastAsia="仿宋_GB2312"/>
                <w:sz w:val="28"/>
              </w:rPr>
              <w:t>准确性</w:t>
            </w:r>
          </w:p>
          <w:p>
            <w:pPr>
              <w:pStyle w:val="null3"/>
            </w:pPr>
            <w:r>
              <w:rPr>
                <w:rFonts w:ascii="仿宋_GB2312" w:hAnsi="仿宋_GB2312" w:cs="仿宋_GB2312" w:eastAsia="仿宋_GB2312"/>
                <w:sz w:val="28"/>
              </w:rPr>
              <w:t>文档内容应准确无误，与实际的软件系统和项目实施情况相符。技术文档中的技术参数、接口定义、数据结构等应清晰准确；操作文档中的操作步骤应详细、可操作；测试文档中的测试用例、测试结果应真实可靠。</w:t>
            </w:r>
          </w:p>
          <w:p>
            <w:pPr>
              <w:pStyle w:val="null3"/>
            </w:pPr>
            <w:r>
              <w:rPr>
                <w:rFonts w:ascii="仿宋_GB2312" w:hAnsi="仿宋_GB2312" w:cs="仿宋_GB2312" w:eastAsia="仿宋_GB2312"/>
                <w:sz w:val="28"/>
              </w:rPr>
              <w:t>7.</w:t>
            </w:r>
            <w:r>
              <w:rPr>
                <w:rFonts w:ascii="仿宋_GB2312" w:hAnsi="仿宋_GB2312" w:cs="仿宋_GB2312" w:eastAsia="仿宋_GB2312"/>
                <w:sz w:val="28"/>
              </w:rPr>
              <w:t>违约责任</w:t>
            </w:r>
          </w:p>
          <w:p>
            <w:pPr>
              <w:pStyle w:val="null3"/>
            </w:pPr>
            <w:r>
              <w:rPr>
                <w:rFonts w:ascii="仿宋_GB2312" w:hAnsi="仿宋_GB2312" w:cs="仿宋_GB2312" w:eastAsia="仿宋_GB2312"/>
                <w:sz w:val="28"/>
              </w:rPr>
              <w:t xml:space="preserve">  </w:t>
            </w:r>
            <w:r>
              <w:rPr>
                <w:rFonts w:ascii="仿宋_GB2312" w:hAnsi="仿宋_GB2312" w:cs="仿宋_GB2312" w:eastAsia="仿宋_GB2312"/>
                <w:sz w:val="28"/>
              </w:rPr>
              <w:t>甲方（采购方）违约责任：若甲方未按合同约定时间支付款项，每逾期一日，应向乙方（服务提供方）支付未付款项万分之三的逾期付款违约金，但违约金总额不超过合同总金额的</w:t>
            </w:r>
            <w:r>
              <w:rPr>
                <w:rFonts w:ascii="仿宋_GB2312" w:hAnsi="仿宋_GB2312" w:cs="仿宋_GB2312" w:eastAsia="仿宋_GB2312"/>
                <w:sz w:val="28"/>
              </w:rPr>
              <w:t xml:space="preserve"> 5% 。若逾期付款超过 6 天，乙方有权暂停服务直至甲方支付款项及违约金，由此给乙方造成的额外损失，甲方应予以赔偿。因甲方原因导致项目进度延误、无法正常验收等情况，甲方承担相应责任，包括但不限于乙方因等待甲方决策、提供资料等产生的额外人力成本等合理费用 。</w:t>
            </w:r>
          </w:p>
          <w:p>
            <w:pPr>
              <w:pStyle w:val="null3"/>
              <w:jc w:val="both"/>
            </w:pPr>
            <w:r>
              <w:rPr>
                <w:rFonts w:ascii="仿宋_GB2312" w:hAnsi="仿宋_GB2312" w:cs="仿宋_GB2312" w:eastAsia="仿宋_GB2312"/>
                <w:sz w:val="28"/>
              </w:rPr>
              <w:t>乙方（服务提供方）违约责任：若乙方未能按合同规定时间完成传染病前置软件接口项目的交付、部署及相关服务，每逾期一日，应向甲方支付合同总额万分之三的逾期交付违约金，但因甲方原因造成延期交付的除外。若逾期交付超过</w:t>
            </w:r>
            <w:r>
              <w:rPr>
                <w:rFonts w:ascii="仿宋_GB2312" w:hAnsi="仿宋_GB2312" w:cs="仿宋_GB2312" w:eastAsia="仿宋_GB2312"/>
                <w:sz w:val="28"/>
              </w:rPr>
              <w:t xml:space="preserve"> 6天，甲方有权单方面终止本合同，乙方需退还甲方已支付的所有款项，并支付合同款 20% 的违约金。若乙方提供的软件接口未达到合同规定的功能、性能、安全等质量验收标准或规范，乙方应负责无偿修正、改进，直至达到合同要求。如因此导致项目交付延迟，按逾期交付承担违约责任。若因软件接口问题给甲方造成实际损失，乙方应负责全额赔偿，赔偿金额以实际损失为限，但不超过合同总金额的 30%。未经甲方书面同意，乙方不得将本项目进行分包、转包。若乙方违反此规定，甲方有权解除合同，乙方应返还已收取的款项，并支付合同总金额 30% 的违约金，若违约金不足以弥补甲方损失，乙方还需继续赔偿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本项目服务期自合同签订之日起，至项目完成终验后 1个月止。其中，项目建设周期为合同签订后 1个月内完成全部系统开发、部署及联调测试工作；质保服务期为项目终验合格之日起 12个月，供应商需在质保期内提供免费的软件维护、技术支持及系统优化服务 。</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合同签订且供应商提交等额预付款保函后 15 个工作日内，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项目完成系统开发并通过初验后，采购人在收到供应商提交的合规发票及付款申请材料后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项目完成终验后，采购人在收到供应商提交的完整项目资料、合规发票及付款申请材料后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在质保期届满且无质量问题及履约争议后，采购人在收到供应商付款申请后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开标会议结束后，成交单位须提供与上传电子版一致的一正一副两套纸质版响应文件。联系电话：18066718602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具有独立承担民事责任能力的法人、其他组织或自然人，提供合法有效的营业执照等相关证明，自然人参与的提供其身份证明；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提供2023年度（或者2024年度）经审计的财务审计报告或者开标前三个月内的银行资信证明；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提供投标人自2024年11月以来已缴纳任意一个月完税凭证或税务机关开具的完税证明（任意税种）；依法免税的应提供相关文件证明；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提供投标人自2024年11月以来已缴存的任意一个月的社会保障资金缴存单据或社保机构开具的社会保险参保缴费情况证明；依法不需要缴纳社会保障资金的投标人应提供相关文件证明；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供应商参加政府采购活动承诺书.docx 响应文件封面 中小企业声明函 残疾人福利性单位声明函 服务方案 标的清单 报价表 商务应答表.docx 协商报价表及分项报价表.docx 响应函 监狱企业的证明文件 产品技术参数响应表.docx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服务方案 商务应答表.docx 协商报价表及分项报价表.docx 响应函 产品技术参数响应表.docx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供应商参加政府采购活动承诺书.docx 服务方案 标的清单 报价表 商务应答表.docx 响应函 协商报价表及分项报价表.docx 产品技术参数响应表.docx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详见附件：协商报价表及分项报价表.docx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详见附件：产品技术参数响应表.docx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