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19F2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32"/>
          <w:szCs w:val="32"/>
          <w:highlight w:val="none"/>
          <w:lang w:val="zh-CN"/>
        </w:rPr>
      </w:pPr>
      <w:bookmarkStart w:id="0" w:name="_Toc351203480"/>
      <w:bookmarkStart w:id="1" w:name="_Toc533704933"/>
      <w:bookmarkStart w:id="2" w:name="_Toc9328"/>
      <w:bookmarkStart w:id="3" w:name="_Toc475451547"/>
      <w:r>
        <w:rPr>
          <w:rFonts w:hint="eastAsia" w:ascii="宋体" w:hAnsi="宋体" w:cs="宋体"/>
          <w:b/>
          <w:bCs/>
          <w:color w:val="auto"/>
          <w:spacing w:val="-4"/>
          <w:sz w:val="32"/>
          <w:szCs w:val="32"/>
          <w:highlight w:val="none"/>
          <w:lang w:val="en-US" w:eastAsia="zh-CN"/>
        </w:rPr>
        <w:t>合同草案主要条款</w:t>
      </w:r>
    </w:p>
    <w:p w14:paraId="64BCAC08">
      <w:pPr>
        <w:keepNext w:val="0"/>
        <w:keepLines w:val="0"/>
        <w:pageBreakBefore w:val="0"/>
        <w:widowControl w:val="0"/>
        <w:kinsoku/>
        <w:wordWrap/>
        <w:overflowPunct/>
        <w:topLinePunct w:val="0"/>
        <w:autoSpaceDE/>
        <w:autoSpaceDN/>
        <w:bidi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一、服务内容及要求</w:t>
      </w:r>
      <w:bookmarkStart w:id="4" w:name="_GoBack"/>
      <w:bookmarkEnd w:id="4"/>
    </w:p>
    <w:bookmarkEnd w:id="0"/>
    <w:bookmarkEnd w:id="1"/>
    <w:bookmarkEnd w:id="2"/>
    <w:p w14:paraId="734155F3">
      <w:pPr>
        <w:keepNext w:val="0"/>
        <w:keepLines w:val="0"/>
        <w:pageBreakBefore w:val="0"/>
        <w:widowControl w:val="0"/>
        <w:kinsoku/>
        <w:wordWrap/>
        <w:overflowPunct/>
        <w:topLinePunct w:val="0"/>
        <w:autoSpaceDE/>
        <w:autoSpaceDN/>
        <w:bidi w:val="0"/>
        <w:adjustRightInd w:val="0"/>
        <w:snapToGrid/>
        <w:spacing w:line="360" w:lineRule="auto"/>
        <w:ind w:firstLine="546" w:firstLineChars="200"/>
        <w:textAlignment w:val="auto"/>
        <w:rPr>
          <w:rFonts w:hint="eastAsia" w:ascii="宋体" w:hAnsi="宋体" w:cs="宋体"/>
          <w:b/>
          <w:bCs/>
          <w:color w:val="auto"/>
          <w:spacing w:val="-4"/>
          <w:sz w:val="28"/>
          <w:szCs w:val="28"/>
          <w:highlight w:val="none"/>
          <w:lang w:val="zh-CN"/>
        </w:rPr>
      </w:pPr>
      <w:r>
        <w:rPr>
          <w:rFonts w:hint="eastAsia" w:ascii="宋体" w:hAnsi="宋体" w:cs="宋体"/>
          <w:b/>
          <w:bCs/>
          <w:color w:val="auto"/>
          <w:spacing w:val="-4"/>
          <w:sz w:val="28"/>
          <w:szCs w:val="28"/>
          <w:highlight w:val="none"/>
          <w:lang w:val="zh-CN" w:eastAsia="zh-CN"/>
        </w:rPr>
        <w:t>（</w:t>
      </w:r>
      <w:r>
        <w:rPr>
          <w:rFonts w:hint="eastAsia" w:ascii="宋体" w:hAnsi="宋体" w:cs="宋体"/>
          <w:b/>
          <w:bCs/>
          <w:color w:val="auto"/>
          <w:spacing w:val="-4"/>
          <w:sz w:val="28"/>
          <w:szCs w:val="28"/>
          <w:highlight w:val="none"/>
          <w:lang w:val="en-US" w:eastAsia="zh-CN"/>
        </w:rPr>
        <w:t>一</w:t>
      </w:r>
      <w:r>
        <w:rPr>
          <w:rFonts w:hint="eastAsia" w:ascii="宋体" w:hAnsi="宋体" w:cs="宋体"/>
          <w:b/>
          <w:bCs/>
          <w:color w:val="auto"/>
          <w:spacing w:val="-4"/>
          <w:sz w:val="28"/>
          <w:szCs w:val="28"/>
          <w:highlight w:val="none"/>
          <w:lang w:val="zh-CN" w:eastAsia="zh-CN"/>
        </w:rPr>
        <w:t>）</w:t>
      </w:r>
      <w:r>
        <w:rPr>
          <w:rFonts w:hint="eastAsia" w:ascii="宋体" w:hAnsi="宋体" w:cs="宋体"/>
          <w:b/>
          <w:bCs/>
          <w:color w:val="auto"/>
          <w:spacing w:val="-4"/>
          <w:sz w:val="28"/>
          <w:szCs w:val="28"/>
          <w:highlight w:val="none"/>
          <w:lang w:val="en-US" w:eastAsia="zh-CN"/>
        </w:rPr>
        <w:t>专线</w:t>
      </w:r>
      <w:r>
        <w:rPr>
          <w:rFonts w:hint="eastAsia" w:ascii="宋体" w:hAnsi="宋体" w:cs="宋体"/>
          <w:b/>
          <w:bCs/>
          <w:color w:val="auto"/>
          <w:spacing w:val="-4"/>
          <w:sz w:val="28"/>
          <w:szCs w:val="28"/>
          <w:highlight w:val="none"/>
          <w:lang w:val="zh-CN"/>
        </w:rPr>
        <w:t>版</w:t>
      </w:r>
    </w:p>
    <w:p w14:paraId="3B0D756F">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eastAsia="zh-CN"/>
        </w:rPr>
      </w:pPr>
      <w:r>
        <w:rPr>
          <w:rFonts w:hint="eastAsia" w:ascii="宋体" w:hAnsi="宋体" w:cs="宋体"/>
          <w:color w:val="auto"/>
          <w:spacing w:val="-4"/>
          <w:sz w:val="28"/>
          <w:szCs w:val="28"/>
          <w:highlight w:val="none"/>
          <w:lang w:val="zh-CN"/>
        </w:rPr>
        <w:t>1、提供1条为带宽</w:t>
      </w:r>
      <w:r>
        <w:rPr>
          <w:rFonts w:hint="eastAsia" w:ascii="宋体" w:hAnsi="宋体" w:cs="宋体"/>
          <w:color w:val="auto"/>
          <w:spacing w:val="-4"/>
          <w:sz w:val="28"/>
          <w:szCs w:val="28"/>
          <w:highlight w:val="none"/>
          <w:lang w:val="zh-CN" w:eastAsia="zh-CN"/>
        </w:rPr>
        <w:t>不低于</w:t>
      </w:r>
      <w:r>
        <w:rPr>
          <w:rFonts w:hint="eastAsia" w:ascii="宋体" w:hAnsi="宋体" w:cs="宋体"/>
          <w:color w:val="auto"/>
          <w:spacing w:val="-4"/>
          <w:sz w:val="28"/>
          <w:szCs w:val="28"/>
          <w:highlight w:val="none"/>
          <w:lang w:val="zh-CN"/>
        </w:rPr>
        <w:t>1000M专用数据传输光纤，（含</w:t>
      </w:r>
      <w:r>
        <w:rPr>
          <w:rFonts w:hint="eastAsia" w:ascii="宋体" w:hAnsi="宋体" w:cs="宋体"/>
          <w:color w:val="auto"/>
          <w:spacing w:val="-4"/>
          <w:sz w:val="28"/>
          <w:szCs w:val="28"/>
          <w:highlight w:val="none"/>
          <w:lang w:val="en-US" w:eastAsia="zh-CN"/>
        </w:rPr>
        <w:t>4</w:t>
      </w:r>
      <w:r>
        <w:rPr>
          <w:rFonts w:hint="eastAsia" w:ascii="宋体" w:hAnsi="宋体" w:cs="宋体"/>
          <w:color w:val="auto"/>
          <w:spacing w:val="-4"/>
          <w:sz w:val="28"/>
          <w:szCs w:val="28"/>
          <w:highlight w:val="none"/>
          <w:lang w:val="zh-CN"/>
        </w:rPr>
        <w:t>组公网IP），用于灞桥区政府机房互联网接入</w:t>
      </w:r>
      <w:r>
        <w:rPr>
          <w:rFonts w:hint="eastAsia" w:ascii="宋体" w:hAnsi="宋体" w:cs="宋体"/>
          <w:color w:val="auto"/>
          <w:spacing w:val="-4"/>
          <w:sz w:val="28"/>
          <w:szCs w:val="28"/>
          <w:highlight w:val="none"/>
          <w:lang w:val="zh-CN" w:eastAsia="zh-CN"/>
        </w:rPr>
        <w:t>。</w:t>
      </w:r>
    </w:p>
    <w:p w14:paraId="3FFD2454">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2、提供1条为带宽</w:t>
      </w:r>
      <w:r>
        <w:rPr>
          <w:rFonts w:hint="eastAsia" w:ascii="宋体" w:hAnsi="宋体" w:cs="宋体"/>
          <w:color w:val="auto"/>
          <w:spacing w:val="-4"/>
          <w:sz w:val="28"/>
          <w:szCs w:val="28"/>
          <w:highlight w:val="none"/>
          <w:lang w:val="zh-CN" w:eastAsia="zh-CN"/>
        </w:rPr>
        <w:t>不低于</w:t>
      </w:r>
      <w:r>
        <w:rPr>
          <w:rFonts w:hint="eastAsia" w:ascii="宋体" w:hAnsi="宋体" w:cs="宋体"/>
          <w:color w:val="auto"/>
          <w:spacing w:val="-4"/>
          <w:sz w:val="28"/>
          <w:szCs w:val="28"/>
          <w:highlight w:val="none"/>
          <w:lang w:val="zh-CN"/>
        </w:rPr>
        <w:t>300M专用数据传输光纤，（含</w:t>
      </w:r>
      <w:r>
        <w:rPr>
          <w:rFonts w:hint="eastAsia" w:ascii="宋体" w:hAnsi="宋体" w:cs="宋体"/>
          <w:color w:val="auto"/>
          <w:spacing w:val="-4"/>
          <w:sz w:val="28"/>
          <w:szCs w:val="28"/>
          <w:highlight w:val="none"/>
          <w:lang w:val="en-US" w:eastAsia="zh-CN"/>
        </w:rPr>
        <w:t>2</w:t>
      </w:r>
      <w:r>
        <w:rPr>
          <w:rFonts w:hint="eastAsia" w:ascii="宋体" w:hAnsi="宋体" w:cs="宋体"/>
          <w:color w:val="auto"/>
          <w:spacing w:val="-4"/>
          <w:sz w:val="28"/>
          <w:szCs w:val="28"/>
          <w:highlight w:val="none"/>
          <w:lang w:val="zh-CN"/>
        </w:rPr>
        <w:t>组公网IP），用于灞桥区政府无线wifi网络接入。</w:t>
      </w:r>
    </w:p>
    <w:p w14:paraId="50869BE8">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zh-CN"/>
        </w:rPr>
        <w:t>3、提供灞桥区政府到院外55家单位各单位一条裸光纤线路，用于电子政务外网数据传输。同时预留5条裸光纤线路作为备用，备用线路位置待定，故要求供应商具有西安市灞桥区行政区划全境布设光纤线路的能力。备用线路若开通按月计费，若不开通不产生费用</w:t>
      </w:r>
      <w:r>
        <w:rPr>
          <w:rFonts w:hint="eastAsia" w:ascii="宋体" w:hAnsi="宋体" w:cs="宋体"/>
          <w:color w:val="auto"/>
          <w:spacing w:val="-4"/>
          <w:sz w:val="28"/>
          <w:szCs w:val="28"/>
          <w:highlight w:val="none"/>
          <w:lang w:val="en-US" w:eastAsia="zh-CN"/>
        </w:rPr>
        <w:t>。</w:t>
      </w:r>
    </w:p>
    <w:p w14:paraId="134EB0A0">
      <w:pPr>
        <w:keepNext w:val="0"/>
        <w:keepLines w:val="0"/>
        <w:pageBreakBefore w:val="0"/>
        <w:widowControl w:val="0"/>
        <w:kinsoku/>
        <w:wordWrap/>
        <w:overflowPunct/>
        <w:topLinePunct w:val="0"/>
        <w:autoSpaceDE/>
        <w:autoSpaceDN/>
        <w:bidi w:val="0"/>
        <w:adjustRightInd w:val="0"/>
        <w:snapToGrid/>
        <w:spacing w:line="360" w:lineRule="auto"/>
        <w:ind w:firstLine="546" w:firstLineChars="200"/>
        <w:textAlignment w:val="auto"/>
        <w:rPr>
          <w:rFonts w:hint="eastAsia" w:ascii="宋体" w:hAnsi="宋体" w:cs="宋体"/>
          <w:b/>
          <w:bCs/>
          <w:color w:val="auto"/>
          <w:spacing w:val="-4"/>
          <w:sz w:val="28"/>
          <w:szCs w:val="28"/>
          <w:highlight w:val="none"/>
          <w:lang w:val="zh-CN"/>
        </w:rPr>
      </w:pPr>
      <w:r>
        <w:rPr>
          <w:rFonts w:hint="eastAsia" w:ascii="宋体" w:hAnsi="宋体" w:cs="宋体"/>
          <w:b/>
          <w:bCs/>
          <w:color w:val="auto"/>
          <w:spacing w:val="-4"/>
          <w:sz w:val="28"/>
          <w:szCs w:val="28"/>
          <w:highlight w:val="none"/>
          <w:lang w:val="zh-CN" w:eastAsia="zh-CN"/>
        </w:rPr>
        <w:t>（</w:t>
      </w:r>
      <w:r>
        <w:rPr>
          <w:rFonts w:hint="eastAsia" w:ascii="宋体" w:hAnsi="宋体" w:cs="宋体"/>
          <w:b/>
          <w:bCs/>
          <w:color w:val="auto"/>
          <w:spacing w:val="-4"/>
          <w:sz w:val="28"/>
          <w:szCs w:val="28"/>
          <w:highlight w:val="none"/>
          <w:lang w:val="en-US" w:eastAsia="zh-CN"/>
        </w:rPr>
        <w:t>二</w:t>
      </w:r>
      <w:r>
        <w:rPr>
          <w:rFonts w:hint="eastAsia" w:ascii="宋体" w:hAnsi="宋体" w:cs="宋体"/>
          <w:b/>
          <w:bCs/>
          <w:color w:val="auto"/>
          <w:spacing w:val="-4"/>
          <w:sz w:val="28"/>
          <w:szCs w:val="28"/>
          <w:highlight w:val="none"/>
          <w:lang w:val="zh-CN" w:eastAsia="zh-CN"/>
        </w:rPr>
        <w:t>）</w:t>
      </w:r>
      <w:r>
        <w:rPr>
          <w:rFonts w:hint="eastAsia" w:ascii="宋体" w:hAnsi="宋体" w:cs="宋体"/>
          <w:b/>
          <w:bCs/>
          <w:color w:val="auto"/>
          <w:spacing w:val="-4"/>
          <w:sz w:val="28"/>
          <w:szCs w:val="28"/>
          <w:highlight w:val="none"/>
          <w:lang w:val="zh-CN"/>
        </w:rPr>
        <w:t>所有线路起点均为灞桥区政府中心机房，线路需求及走向如下表：</w:t>
      </w: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6"/>
        <w:gridCol w:w="2515"/>
        <w:gridCol w:w="5963"/>
      </w:tblGrid>
      <w:tr w14:paraId="3438B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4BB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488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乙端名称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B842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乙端地址</w:t>
            </w:r>
          </w:p>
        </w:tc>
      </w:tr>
      <w:tr w14:paraId="51BDC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5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7A8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灞桥区疫情指挥部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EC4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纺渭路柳韵巷泰尔发现新坐标潮漫酒店633房间</w:t>
            </w:r>
          </w:p>
        </w:tc>
      </w:tr>
      <w:tr w14:paraId="10F1E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970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3B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灞桥区城建开发有限公司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35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纺一路9号4楼404（灞桥分局、鹿塬支局）</w:t>
            </w:r>
          </w:p>
        </w:tc>
      </w:tr>
      <w:tr w14:paraId="469CE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4E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1DF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灞桥区行政审批服务局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98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纺北路路北公交站灞桥区市民中心市民中心1层（灞桥分局、纺渭路支局）</w:t>
            </w:r>
          </w:p>
        </w:tc>
      </w:tr>
      <w:tr w14:paraId="2D34F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C70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EDD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灞桥区人社局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9E8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新医路87号西二楼主控机房（灞桥分局、鹿塬支局）</w:t>
            </w:r>
          </w:p>
        </w:tc>
      </w:tr>
      <w:tr w14:paraId="27FC6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0DF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EE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灞桥区交通运输局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EE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纺一路135号办公楼5楼机房（灞桥分局、鹿塬支局）</w:t>
            </w:r>
          </w:p>
        </w:tc>
      </w:tr>
      <w:tr w14:paraId="0FD4C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D3F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72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4A4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纺一路151号卫计局四楼机房（灞桥分局、鹿塬支局）</w:t>
            </w:r>
          </w:p>
        </w:tc>
      </w:tr>
      <w:tr w14:paraId="4AEA8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CB6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4A1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灞桥区工业总公司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53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纺一路135号交通局院西楼303室（灞桥分局、鹿塬支局）</w:t>
            </w:r>
          </w:p>
        </w:tc>
      </w:tr>
      <w:tr w14:paraId="371D7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1D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E8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资源规划灞桥分局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5D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纺一路108号四楼404室（灞桥分局、鹿塬支局）</w:t>
            </w:r>
          </w:p>
        </w:tc>
      </w:tr>
      <w:tr w14:paraId="6402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BCC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8A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生态环境灞桥分局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88E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新医路87号办公楼306室（灞桥分局、鹿塬支局）</w:t>
            </w:r>
          </w:p>
        </w:tc>
      </w:tr>
      <w:tr w14:paraId="73399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B4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68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灞桥区红旗街道办事处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5D8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穆将王街1号办公楼1楼楼梯间（灞桥分局、红旗支局）</w:t>
            </w:r>
          </w:p>
        </w:tc>
      </w:tr>
      <w:tr w14:paraId="6D6AD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7DF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A3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灞桥区投资服务中心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6FA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纺织城纺西街419号灞河国资3楼302号（灞桥分局、鹿塬支局）</w:t>
            </w:r>
          </w:p>
        </w:tc>
      </w:tr>
      <w:tr w14:paraId="44211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5C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7C0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灞桥区教育局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698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纺东街419号区委党校西楼南侧301号房（灞桥分局、鹿塬支局）</w:t>
            </w:r>
          </w:p>
        </w:tc>
      </w:tr>
      <w:tr w14:paraId="1B977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516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532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灞桥区中小企业促进局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0A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纺正街556号西安银行三楼三楼楼道北侧（灞桥分局、鹿塬支局）</w:t>
            </w:r>
          </w:p>
        </w:tc>
      </w:tr>
      <w:tr w14:paraId="55A19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C6C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87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党校南一楼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284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纺东街419号党校南一楼（灞桥分局、鹿塬支局）</w:t>
            </w:r>
          </w:p>
        </w:tc>
      </w:tr>
      <w:tr w14:paraId="42A9A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F8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7114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公安局灞桥分局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F9D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纺一路23号分局办公楼304房间（灞桥分局、鹿原支局）</w:t>
            </w:r>
          </w:p>
        </w:tc>
      </w:tr>
      <w:tr w14:paraId="270C8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A1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85B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灞桥区建设和住房保障局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409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纺一路43号（灞桥分局、鹿塬支局）</w:t>
            </w:r>
          </w:p>
        </w:tc>
      </w:tr>
      <w:tr w14:paraId="145D9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A2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21E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原灞桥区质量技术监督局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47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纺新街园丁小区西门1号楼东单元5层503（灞桥分局、鹿塬支局）</w:t>
            </w:r>
          </w:p>
        </w:tc>
      </w:tr>
      <w:tr w14:paraId="27E72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01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B7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灞桥区残疾人联合会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723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纺北路园丁小区1号楼1号楼1层102（灞桥分局、鹿塬支局）</w:t>
            </w:r>
          </w:p>
        </w:tc>
      </w:tr>
      <w:tr w14:paraId="62023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99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EC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灞桥区席王街道办事处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EE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席王路与柳虹路交叉口席王街道门房（灞桥分局、纺渭路支局）</w:t>
            </w:r>
          </w:p>
        </w:tc>
      </w:tr>
      <w:tr w14:paraId="0E60E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036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348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灞桥区财政局党校会议室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BF4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纺东街419号党校中楼5楼会议室（二）</w:t>
            </w:r>
          </w:p>
        </w:tc>
      </w:tr>
      <w:tr w14:paraId="1B7AA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EC5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A2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灞桥区浐灞办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47C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世博中路吕段加油站对面征地拆迁指挥部二楼201室（灞桥分局、浐灞支局）</w:t>
            </w:r>
          </w:p>
        </w:tc>
      </w:tr>
      <w:tr w14:paraId="27406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28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5B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灞桥区民政局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3A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长乐东路1633号民政局4楼404室（灞桥分局、鹿塬支局）</w:t>
            </w:r>
          </w:p>
        </w:tc>
      </w:tr>
      <w:tr w14:paraId="58B8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12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5A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灞桥区洪庆街道办事处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E0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田洪正街668号主楼205（灞桥分局、洪庆支局）</w:t>
            </w:r>
          </w:p>
        </w:tc>
      </w:tr>
      <w:tr w14:paraId="10A15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403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CB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灞桥区现代纺织产业园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AA6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灞柳二路纺园三路599号管理办办公楼1层机房111号（灞桥分局、洪庆支局）</w:t>
            </w:r>
          </w:p>
        </w:tc>
      </w:tr>
      <w:tr w14:paraId="3C08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8B1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9FA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灞桥区农林局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E9B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纺一路109号局办公楼二楼机房（灞桥分局、鹿塬支局）</w:t>
            </w:r>
          </w:p>
        </w:tc>
      </w:tr>
      <w:tr w14:paraId="3151F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A1B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1A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灞桥区乡村振兴局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E71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灞河西路3208号综合科办公室(灞桥分局、纺渭路支局)</w:t>
            </w:r>
          </w:p>
        </w:tc>
      </w:tr>
      <w:tr w14:paraId="6039C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6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39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灞桥区秦保执法局智慧秦岭平台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4D5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田洪正街新村社区4楼405室（灞桥分局、洪庆支局）（智慧秦岭平台）</w:t>
            </w:r>
          </w:p>
        </w:tc>
      </w:tr>
      <w:tr w14:paraId="08B5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29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69B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灞桥区灞桥街道办事处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AB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东城大道5919号 院内东二楼201室（灞桥分局、灞桥支局）</w:t>
            </w:r>
          </w:p>
        </w:tc>
      </w:tr>
      <w:tr w14:paraId="49A45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E47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6D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灞桥区商业贸易总公司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904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纺正街409号2楼西侧党政办公室（灞桥分局、鹿塬支局）</w:t>
            </w:r>
          </w:p>
        </w:tc>
      </w:tr>
      <w:tr w14:paraId="3113A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EB6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A3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灞桥区物资总公司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53E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纺东街419号党校北四楼东一房间（灞桥分局、鹿塬支局）</w:t>
            </w:r>
          </w:p>
        </w:tc>
      </w:tr>
      <w:tr w14:paraId="17CA0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9D2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037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灞桥区狄寨街道办事处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2446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狄寨正街中段服务大厅二楼会议室（灞桥分局、红旗支局）</w:t>
            </w:r>
          </w:p>
        </w:tc>
      </w:tr>
      <w:tr w14:paraId="4E175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E78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5DC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灞桥区气象局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0F3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席王街办龙湾村北气象局三楼306室（灞桥分局、红旗支局）</w:t>
            </w:r>
          </w:p>
        </w:tc>
      </w:tr>
      <w:tr w14:paraId="24B7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30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75A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灞桥区基投公司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666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纺建路2号二层西南角第一间（灞桥分局、鹿塬支局）</w:t>
            </w:r>
          </w:p>
        </w:tc>
      </w:tr>
      <w:tr w14:paraId="6A63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65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402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灞桥区工商业联合会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5E9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纺东街409号党校南楼304室（灞桥分局、鹿塬支局）</w:t>
            </w:r>
          </w:p>
        </w:tc>
      </w:tr>
      <w:tr w14:paraId="6ACF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AE9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936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灞桥区白鹿原管委会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00A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狄寨街道夏寨村东一楼男更衣室（灞桥分局、红旗支局）</w:t>
            </w:r>
          </w:p>
        </w:tc>
      </w:tr>
      <w:tr w14:paraId="6ECAD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E99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33B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灞桥区十里铺街道办事处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B99F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十里铺街道十里铺正街 办公楼二楼204（灞桥分局、鹿塬支局）</w:t>
            </w:r>
          </w:p>
        </w:tc>
      </w:tr>
      <w:tr w14:paraId="244A9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69C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DF23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灞桥区灞河新区管委会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0CC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柳雪路9号总部经济大楼经济大楼1号楼109室（灞桥分局、纺渭路支局）</w:t>
            </w:r>
          </w:p>
        </w:tc>
      </w:tr>
      <w:tr w14:paraId="2B177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D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E48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灞桥区供销合作社联合社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311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长乐东路8号办公楼二楼打字室（灞桥分局、半坡支局）</w:t>
            </w:r>
          </w:p>
        </w:tc>
      </w:tr>
      <w:tr w14:paraId="7FD34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BAB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84E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灞桥区便民服务中心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16DB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祥云路699号公共法律服务中心法律服务中心1层西侧机房（纺渭路支局）</w:t>
            </w:r>
          </w:p>
        </w:tc>
      </w:tr>
      <w:tr w14:paraId="55AAF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8B6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59F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3C01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纺一路419号机关办公楼二楼机房（灞桥分局、鹿塬支局）</w:t>
            </w:r>
          </w:p>
        </w:tc>
      </w:tr>
      <w:tr w14:paraId="43C05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04C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000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灞桥区税务局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C07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纺一路39号机关大楼201（灞桥分局、鹿塬支局）</w:t>
            </w:r>
          </w:p>
        </w:tc>
      </w:tr>
      <w:tr w14:paraId="58350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EE3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AC3E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灞桥区纺织城开发公司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396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灞桥区竹林广场东南150米公司一楼机房</w:t>
            </w:r>
          </w:p>
        </w:tc>
      </w:tr>
      <w:tr w14:paraId="3895B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89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FD3D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7334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灞桥区纺一路668号法院后3楼8305室</w:t>
            </w:r>
          </w:p>
        </w:tc>
      </w:tr>
      <w:tr w14:paraId="374F5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B6D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6DBA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席王街道办事处司法所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4D7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灞桥区席王街道办事处旁司法所三楼</w:t>
            </w:r>
          </w:p>
        </w:tc>
      </w:tr>
      <w:tr w14:paraId="56B80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84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8387D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纺织城街道办事处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A5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纺织城正街臻园阳光17号楼3楼301室</w:t>
            </w:r>
          </w:p>
        </w:tc>
      </w:tr>
      <w:tr w14:paraId="3D114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E69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74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灞桥区人民检察院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744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灞桥区灞柳二路699号办公室301室</w:t>
            </w:r>
          </w:p>
        </w:tc>
      </w:tr>
      <w:tr w14:paraId="3835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4CA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E8D0D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区委社会工作部网格中心</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75CB0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纺新街与纺三路交叉路口西北角两层独栋</w:t>
            </w:r>
          </w:p>
        </w:tc>
      </w:tr>
      <w:tr w14:paraId="69B95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93E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D1A8B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灞桥区红十字会</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A8027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西北电建四公司办公楼东隔壁招待所</w:t>
            </w:r>
          </w:p>
        </w:tc>
      </w:tr>
      <w:tr w14:paraId="59020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E7A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894D9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白鹿原现代农旅投资集团</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D5BF5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狄寨街道夏寨村白鹿原管委会内一楼大厅</w:t>
            </w:r>
          </w:p>
        </w:tc>
      </w:tr>
      <w:tr w14:paraId="759C6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898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31B6A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灞桥区信访局</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D97F8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灞桥区纺织城街道新欧洲小区</w:t>
            </w:r>
          </w:p>
        </w:tc>
      </w:tr>
      <w:tr w14:paraId="6BDE8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D19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45BA2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西安灞桥东城投资集团有限公司</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43DBF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西安市灞桥区纺正街262号万兴广场五楼</w:t>
            </w:r>
          </w:p>
        </w:tc>
      </w:tr>
      <w:tr w14:paraId="4E937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80C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79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灞桥区消防救援大队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B5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灞桥区洪庆街道纺织产业园纺园二路369号</w:t>
            </w:r>
          </w:p>
        </w:tc>
      </w:tr>
      <w:tr w14:paraId="6B5D9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BD8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A3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交警灞桥大队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48F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交警大队警务大厅六楼指挥中心</w:t>
            </w:r>
          </w:p>
        </w:tc>
      </w:tr>
      <w:tr w14:paraId="05BD4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8AC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061F66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灞桥区秦创园</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77992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纺渭路泰尔发现新坐标写字楼25楼南</w:t>
            </w:r>
          </w:p>
        </w:tc>
      </w:tr>
      <w:tr w14:paraId="047E3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DC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B284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灞桥区秦保执法局</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15471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席王街道灞河西路3208号灞桥区林业站2楼203室</w:t>
            </w:r>
          </w:p>
        </w:tc>
      </w:tr>
    </w:tbl>
    <w:p w14:paraId="53C99B1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p>
    <w:p w14:paraId="4EAE9F9D">
      <w:pPr>
        <w:keepNext w:val="0"/>
        <w:keepLines w:val="0"/>
        <w:pageBreakBefore w:val="0"/>
        <w:widowControl w:val="0"/>
        <w:kinsoku/>
        <w:wordWrap/>
        <w:overflowPunct/>
        <w:topLinePunct w:val="0"/>
        <w:autoSpaceDE/>
        <w:autoSpaceDN/>
        <w:bidi w:val="0"/>
        <w:adjustRightInd w:val="0"/>
        <w:snapToGrid/>
        <w:spacing w:line="360" w:lineRule="auto"/>
        <w:ind w:firstLine="546" w:firstLineChars="200"/>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（三）服务要求</w:t>
      </w:r>
    </w:p>
    <w:p w14:paraId="432F657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1、</w:t>
      </w:r>
      <w:r>
        <w:rPr>
          <w:rFonts w:hint="eastAsia" w:ascii="宋体" w:hAnsi="宋体" w:cs="宋体"/>
          <w:color w:val="auto"/>
          <w:spacing w:val="-4"/>
          <w:sz w:val="28"/>
          <w:szCs w:val="28"/>
          <w:highlight w:val="none"/>
          <w:lang w:val="zh-CN" w:eastAsia="zh-CN"/>
        </w:rPr>
        <w:t>供应商</w:t>
      </w:r>
      <w:r>
        <w:rPr>
          <w:rFonts w:hint="eastAsia" w:ascii="宋体" w:hAnsi="宋体" w:cs="宋体"/>
          <w:color w:val="auto"/>
          <w:spacing w:val="-4"/>
          <w:sz w:val="28"/>
          <w:szCs w:val="28"/>
          <w:highlight w:val="none"/>
          <w:lang w:val="zh-CN"/>
        </w:rPr>
        <w:t>应提供7</w:t>
      </w:r>
      <w:r>
        <w:rPr>
          <w:rFonts w:hint="eastAsia" w:ascii="宋体" w:hAnsi="宋体" w:cs="宋体"/>
          <w:color w:val="auto"/>
          <w:spacing w:val="-4"/>
          <w:sz w:val="28"/>
          <w:szCs w:val="28"/>
          <w:highlight w:val="none"/>
          <w:lang w:val="en-US" w:eastAsia="zh-CN"/>
        </w:rPr>
        <w:t>×</w:t>
      </w:r>
      <w:r>
        <w:rPr>
          <w:rFonts w:hint="eastAsia" w:ascii="宋体" w:hAnsi="宋体" w:cs="宋体"/>
          <w:color w:val="auto"/>
          <w:spacing w:val="-4"/>
          <w:sz w:val="28"/>
          <w:szCs w:val="28"/>
          <w:highlight w:val="none"/>
          <w:lang w:val="zh-CN"/>
        </w:rPr>
        <w:t>24小时热线电话或其他平台，受理线路故障报修和各项业务；安排一名客户经理提供各项业务咨询和业务办理服务；安排一名技术支持经理提供线路技术咨询和技术支持。</w:t>
      </w:r>
    </w:p>
    <w:p w14:paraId="50344D67">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2、供应商必须做到</w:t>
      </w:r>
      <w:r>
        <w:rPr>
          <w:rFonts w:hint="eastAsia" w:ascii="宋体" w:hAnsi="宋体" w:cs="宋体"/>
          <w:color w:val="auto"/>
          <w:spacing w:val="-4"/>
          <w:sz w:val="28"/>
          <w:szCs w:val="28"/>
          <w:highlight w:val="none"/>
          <w:lang w:val="zh-CN"/>
        </w:rPr>
        <w:t>线路故障受理7</w:t>
      </w:r>
      <w:r>
        <w:rPr>
          <w:rFonts w:hint="eastAsia" w:ascii="宋体" w:hAnsi="宋体" w:cs="宋体"/>
          <w:color w:val="auto"/>
          <w:spacing w:val="-4"/>
          <w:sz w:val="28"/>
          <w:szCs w:val="28"/>
          <w:highlight w:val="none"/>
          <w:lang w:val="en-US" w:eastAsia="zh-CN"/>
        </w:rPr>
        <w:t>×</w:t>
      </w:r>
      <w:r>
        <w:rPr>
          <w:rFonts w:hint="eastAsia" w:ascii="宋体" w:hAnsi="宋体" w:cs="宋体"/>
          <w:color w:val="auto"/>
          <w:spacing w:val="-4"/>
          <w:sz w:val="28"/>
          <w:szCs w:val="28"/>
          <w:highlight w:val="none"/>
          <w:lang w:val="zh-CN"/>
        </w:rPr>
        <w:t>24小时响应</w:t>
      </w:r>
      <w:r>
        <w:rPr>
          <w:rFonts w:hint="eastAsia" w:ascii="宋体" w:hAnsi="宋体" w:cs="宋体"/>
          <w:color w:val="auto"/>
          <w:spacing w:val="-4"/>
          <w:sz w:val="28"/>
          <w:szCs w:val="28"/>
          <w:highlight w:val="none"/>
          <w:lang w:val="zh-CN" w:eastAsia="zh-CN"/>
        </w:rPr>
        <w:t>，</w:t>
      </w:r>
      <w:r>
        <w:rPr>
          <w:rFonts w:hint="eastAsia" w:ascii="宋体" w:hAnsi="宋体" w:cs="宋体"/>
          <w:color w:val="auto"/>
          <w:spacing w:val="-4"/>
          <w:sz w:val="28"/>
          <w:szCs w:val="28"/>
          <w:highlight w:val="none"/>
          <w:lang w:val="en-US" w:eastAsia="zh-CN"/>
        </w:rPr>
        <w:t>8</w:t>
      </w:r>
      <w:r>
        <w:rPr>
          <w:rFonts w:hint="eastAsia" w:ascii="宋体" w:hAnsi="宋体" w:cs="宋体"/>
          <w:color w:val="auto"/>
          <w:spacing w:val="-4"/>
          <w:sz w:val="28"/>
          <w:szCs w:val="28"/>
          <w:highlight w:val="none"/>
          <w:lang w:val="zh-CN"/>
        </w:rPr>
        <w:t>小时</w:t>
      </w:r>
      <w:r>
        <w:rPr>
          <w:rFonts w:hint="eastAsia" w:ascii="宋体" w:hAnsi="宋体" w:cs="宋体"/>
          <w:color w:val="auto"/>
          <w:spacing w:val="-4"/>
          <w:sz w:val="28"/>
          <w:szCs w:val="28"/>
          <w:highlight w:val="none"/>
          <w:lang w:val="zh-CN" w:eastAsia="zh-CN"/>
        </w:rPr>
        <w:t>内</w:t>
      </w:r>
      <w:r>
        <w:rPr>
          <w:rFonts w:hint="eastAsia" w:ascii="宋体" w:hAnsi="宋体" w:cs="宋体"/>
          <w:color w:val="auto"/>
          <w:spacing w:val="-4"/>
          <w:sz w:val="28"/>
          <w:szCs w:val="28"/>
          <w:highlight w:val="none"/>
          <w:lang w:val="zh-CN"/>
        </w:rPr>
        <w:t>到达现场，</w:t>
      </w:r>
      <w:r>
        <w:rPr>
          <w:rFonts w:hint="eastAsia" w:ascii="宋体" w:hAnsi="宋体" w:cs="宋体"/>
          <w:color w:val="auto"/>
          <w:spacing w:val="-4"/>
          <w:sz w:val="28"/>
          <w:szCs w:val="28"/>
          <w:highlight w:val="none"/>
          <w:lang w:val="en-US" w:eastAsia="zh-CN"/>
        </w:rPr>
        <w:t>48</w:t>
      </w:r>
      <w:r>
        <w:rPr>
          <w:rFonts w:hint="eastAsia" w:ascii="宋体" w:hAnsi="宋体" w:cs="宋体"/>
          <w:color w:val="auto"/>
          <w:spacing w:val="-4"/>
          <w:sz w:val="28"/>
          <w:szCs w:val="28"/>
          <w:highlight w:val="none"/>
          <w:lang w:val="zh-CN"/>
        </w:rPr>
        <w:t>小时内</w:t>
      </w:r>
      <w:r>
        <w:rPr>
          <w:rFonts w:hint="eastAsia" w:ascii="宋体" w:hAnsi="宋体" w:cs="宋体"/>
          <w:color w:val="auto"/>
          <w:spacing w:val="-4"/>
          <w:sz w:val="28"/>
          <w:szCs w:val="28"/>
          <w:highlight w:val="none"/>
          <w:lang w:val="zh-CN" w:eastAsia="zh-CN"/>
        </w:rPr>
        <w:t>解决故障</w:t>
      </w:r>
      <w:r>
        <w:rPr>
          <w:rFonts w:hint="eastAsia" w:ascii="宋体" w:hAnsi="宋体" w:cs="宋体"/>
          <w:color w:val="auto"/>
          <w:spacing w:val="-4"/>
          <w:sz w:val="28"/>
          <w:szCs w:val="28"/>
          <w:highlight w:val="none"/>
          <w:lang w:val="zh-CN"/>
        </w:rPr>
        <w:t>。</w:t>
      </w:r>
    </w:p>
    <w:p w14:paraId="3A250C7C">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3、</w:t>
      </w:r>
      <w:r>
        <w:rPr>
          <w:rFonts w:hint="eastAsia" w:ascii="宋体" w:hAnsi="宋体" w:cs="宋体"/>
          <w:color w:val="auto"/>
          <w:spacing w:val="-4"/>
          <w:sz w:val="28"/>
          <w:szCs w:val="28"/>
          <w:highlight w:val="none"/>
          <w:lang w:val="zh-CN"/>
        </w:rPr>
        <w:t>供应商能够在采购人提供完整迁移（线路乙端或B端）和新装所需资料后，一周（或五个工作日）内完成线路铺设、设备安装调试，测试通过，可以进行数据通信</w:t>
      </w:r>
      <w:r>
        <w:rPr>
          <w:rFonts w:hint="eastAsia" w:ascii="宋体" w:hAnsi="宋体" w:cs="宋体"/>
          <w:color w:val="auto"/>
          <w:spacing w:val="-4"/>
          <w:sz w:val="28"/>
          <w:szCs w:val="28"/>
          <w:highlight w:val="none"/>
          <w:lang w:val="zh-CN" w:eastAsia="zh-CN"/>
        </w:rPr>
        <w:t>，</w:t>
      </w:r>
      <w:r>
        <w:rPr>
          <w:rFonts w:hint="eastAsia" w:ascii="宋体" w:hAnsi="宋体" w:cs="宋体"/>
          <w:color w:val="auto"/>
          <w:spacing w:val="-4"/>
          <w:sz w:val="28"/>
          <w:szCs w:val="28"/>
          <w:highlight w:val="none"/>
          <w:lang w:val="zh-CN"/>
        </w:rPr>
        <w:t>若迁移范围在同一大楼内，减免相关移线费用。如发生确实需要整体迁移线路甲端（A端）的情况，采购人提前一个月通知供应商，双方共同协商迁移事宜。</w:t>
      </w:r>
    </w:p>
    <w:p w14:paraId="186201F3">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4、</w:t>
      </w:r>
      <w:r>
        <w:rPr>
          <w:rFonts w:hint="eastAsia" w:ascii="宋体" w:hAnsi="宋体" w:cs="宋体"/>
          <w:color w:val="auto"/>
          <w:spacing w:val="-4"/>
          <w:sz w:val="28"/>
          <w:szCs w:val="28"/>
          <w:highlight w:val="none"/>
          <w:lang w:val="zh-CN" w:eastAsia="zh-CN"/>
        </w:rPr>
        <w:t>供应商</w:t>
      </w:r>
      <w:r>
        <w:rPr>
          <w:rFonts w:hint="eastAsia" w:ascii="宋体" w:hAnsi="宋体" w:cs="宋体"/>
          <w:color w:val="auto"/>
          <w:spacing w:val="-4"/>
          <w:sz w:val="28"/>
          <w:szCs w:val="28"/>
          <w:highlight w:val="none"/>
          <w:lang w:val="zh-CN"/>
        </w:rPr>
        <w:t>承诺每条线路自电路</w:t>
      </w:r>
      <w:r>
        <w:rPr>
          <w:rFonts w:hint="eastAsia" w:ascii="宋体" w:hAnsi="宋体" w:cs="宋体"/>
          <w:color w:val="auto"/>
          <w:spacing w:val="-4"/>
          <w:sz w:val="28"/>
          <w:szCs w:val="28"/>
          <w:highlight w:val="none"/>
          <w:lang w:val="zh-CN" w:eastAsia="zh-CN"/>
        </w:rPr>
        <w:t>调</w:t>
      </w:r>
      <w:r>
        <w:rPr>
          <w:rFonts w:hint="eastAsia" w:ascii="宋体" w:hAnsi="宋体" w:cs="宋体"/>
          <w:color w:val="auto"/>
          <w:spacing w:val="-4"/>
          <w:sz w:val="28"/>
          <w:szCs w:val="28"/>
          <w:highlight w:val="none"/>
          <w:lang w:val="zh-CN"/>
        </w:rPr>
        <w:t>通之日起的30日为免费测试期，30个工作日后进行验收。测试期内，</w:t>
      </w:r>
      <w:r>
        <w:rPr>
          <w:rFonts w:hint="eastAsia" w:ascii="宋体" w:hAnsi="宋体" w:cs="宋体"/>
          <w:color w:val="auto"/>
          <w:spacing w:val="-4"/>
          <w:sz w:val="28"/>
          <w:szCs w:val="28"/>
          <w:highlight w:val="none"/>
          <w:lang w:val="zh-CN" w:eastAsia="zh-CN"/>
        </w:rPr>
        <w:t>供应商</w:t>
      </w:r>
      <w:r>
        <w:rPr>
          <w:rFonts w:hint="eastAsia" w:ascii="宋体" w:hAnsi="宋体" w:cs="宋体"/>
          <w:color w:val="auto"/>
          <w:spacing w:val="-4"/>
          <w:sz w:val="28"/>
          <w:szCs w:val="28"/>
          <w:highlight w:val="none"/>
          <w:lang w:val="zh-CN"/>
        </w:rPr>
        <w:t>提供与线路租期内同样的服务。</w:t>
      </w:r>
    </w:p>
    <w:p w14:paraId="6D6E155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zh-CN"/>
        </w:rPr>
        <w:t>5、</w:t>
      </w:r>
      <w:r>
        <w:rPr>
          <w:rFonts w:hint="eastAsia" w:ascii="宋体" w:hAnsi="宋体" w:cs="宋体"/>
          <w:color w:val="auto"/>
          <w:spacing w:val="-4"/>
          <w:sz w:val="28"/>
          <w:szCs w:val="28"/>
          <w:highlight w:val="none"/>
          <w:lang w:val="zh-CN" w:eastAsia="zh-CN"/>
        </w:rPr>
        <w:t>供应商</w:t>
      </w:r>
      <w:r>
        <w:rPr>
          <w:rFonts w:hint="eastAsia" w:ascii="宋体" w:hAnsi="宋体" w:cs="宋体"/>
          <w:color w:val="auto"/>
          <w:spacing w:val="-4"/>
          <w:sz w:val="28"/>
          <w:szCs w:val="28"/>
          <w:highlight w:val="none"/>
          <w:lang w:val="zh-CN"/>
        </w:rPr>
        <w:t>负责对所提供的网络设备进行安装和调试。</w:t>
      </w:r>
    </w:p>
    <w:p w14:paraId="6441A951">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二、服务条件</w:t>
      </w:r>
    </w:p>
    <w:p w14:paraId="7474514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u w:val="single"/>
          <w:lang w:val="en-US" w:eastAsia="zh-CN"/>
        </w:rPr>
      </w:pPr>
      <w:r>
        <w:rPr>
          <w:rFonts w:hint="eastAsia" w:ascii="宋体" w:hAnsi="宋体" w:cs="宋体"/>
          <w:color w:val="auto"/>
          <w:spacing w:val="-4"/>
          <w:sz w:val="28"/>
          <w:szCs w:val="28"/>
          <w:highlight w:val="none"/>
          <w:lang w:val="en-US" w:eastAsia="zh-CN"/>
        </w:rPr>
        <w:t>（一）服务期限：</w:t>
      </w:r>
      <w:r>
        <w:rPr>
          <w:rFonts w:hint="eastAsia" w:ascii="宋体" w:hAnsi="宋体" w:cs="宋体"/>
          <w:color w:val="auto"/>
          <w:spacing w:val="-4"/>
          <w:sz w:val="28"/>
          <w:szCs w:val="28"/>
          <w:highlight w:val="none"/>
          <w:u w:val="single"/>
          <w:lang w:val="zh-CN" w:eastAsia="zh-CN"/>
        </w:rPr>
        <w:t>自合同签订之日起一年（</w:t>
      </w:r>
      <w:r>
        <w:rPr>
          <w:rFonts w:hint="eastAsia" w:ascii="宋体" w:hAnsi="宋体" w:cs="宋体"/>
          <w:color w:val="auto"/>
          <w:spacing w:val="-4"/>
          <w:sz w:val="28"/>
          <w:szCs w:val="28"/>
          <w:highlight w:val="none"/>
          <w:u w:val="single"/>
          <w:lang w:val="en-US" w:eastAsia="zh-CN"/>
        </w:rPr>
        <w:t>合同生效后30日内完成线路的开通调试交付工作）</w:t>
      </w:r>
    </w:p>
    <w:p w14:paraId="5193573F">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（二）服务地点：采购人指定地点</w:t>
      </w:r>
    </w:p>
    <w:p w14:paraId="299853EE">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三、合同价款</w:t>
      </w:r>
    </w:p>
    <w:p w14:paraId="65FFC888">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合同总价一次性包死，不受市场价格变化因素的影响。</w:t>
      </w:r>
    </w:p>
    <w:p w14:paraId="75522B67">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四、款项结算</w:t>
      </w:r>
    </w:p>
    <w:p w14:paraId="636EC0C0">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 xml:space="preserve">（一）支付方式：银行转账 </w:t>
      </w:r>
    </w:p>
    <w:p w14:paraId="0CE8608E">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 xml:space="preserve">（二）货币单位：人民币 </w:t>
      </w:r>
    </w:p>
    <w:p w14:paraId="7B25FA27">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yellow"/>
          <w:lang w:val="zh-CN" w:eastAsia="zh-CN"/>
        </w:rPr>
      </w:pPr>
      <w:r>
        <w:rPr>
          <w:rFonts w:hint="eastAsia" w:ascii="宋体" w:hAnsi="宋体" w:cs="宋体"/>
          <w:color w:val="auto"/>
          <w:spacing w:val="-4"/>
          <w:sz w:val="28"/>
          <w:szCs w:val="28"/>
          <w:highlight w:val="none"/>
          <w:lang w:val="en-US" w:eastAsia="zh-CN"/>
        </w:rPr>
        <w:t>（三）结算方式：</w:t>
      </w:r>
      <w:r>
        <w:rPr>
          <w:rFonts w:hint="eastAsia" w:ascii="宋体" w:hAnsi="宋体" w:cs="宋体"/>
          <w:color w:val="auto"/>
          <w:spacing w:val="-4"/>
          <w:sz w:val="28"/>
          <w:szCs w:val="28"/>
          <w:highlight w:val="none"/>
          <w:u w:val="single"/>
          <w:lang w:val="zh-CN" w:eastAsia="zh-CN"/>
        </w:rPr>
        <w:t>从线路调通之日起算三个月内，达到付款条件起30日内，支付合同总金额的50%；运行正常6个月后，达到付款条件起30日内，支付合同总金额的50%。</w:t>
      </w:r>
    </w:p>
    <w:p w14:paraId="38541122">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五、验收</w:t>
      </w:r>
    </w:p>
    <w:p w14:paraId="39F58293">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满足采购人需求及相关行业要求</w:t>
      </w:r>
    </w:p>
    <w:p w14:paraId="62D0E63F">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六、服务承诺</w:t>
      </w:r>
    </w:p>
    <w:p w14:paraId="4A38A93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以磋商文件、响应文件、澄清表（函）、合同等相关文件为准。</w:t>
      </w:r>
    </w:p>
    <w:p w14:paraId="4841C3A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zh-CN" w:eastAsia="zh-CN"/>
        </w:rPr>
      </w:pPr>
      <w:r>
        <w:rPr>
          <w:rFonts w:hint="eastAsia" w:ascii="宋体" w:hAnsi="宋体" w:cs="宋体"/>
          <w:b/>
          <w:bCs/>
          <w:color w:val="auto"/>
          <w:spacing w:val="-4"/>
          <w:sz w:val="28"/>
          <w:szCs w:val="28"/>
          <w:highlight w:val="none"/>
          <w:lang w:val="en-US" w:eastAsia="zh-CN"/>
        </w:rPr>
        <w:t>七、</w:t>
      </w:r>
      <w:r>
        <w:rPr>
          <w:rFonts w:hint="eastAsia" w:ascii="宋体" w:hAnsi="宋体" w:cs="宋体"/>
          <w:b/>
          <w:bCs/>
          <w:color w:val="auto"/>
          <w:spacing w:val="-4"/>
          <w:sz w:val="28"/>
          <w:szCs w:val="28"/>
          <w:highlight w:val="none"/>
          <w:lang w:val="zh-CN" w:eastAsia="zh-CN"/>
        </w:rPr>
        <w:t>双方权利和义务</w:t>
      </w:r>
    </w:p>
    <w:p w14:paraId="41C032C8">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1、甲方职责</w:t>
      </w:r>
    </w:p>
    <w:p w14:paraId="5EC726DC">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（1）在光纤线路调通并经甲方验收合格后,甲方应按合同约定的时间和方式及时、足额地向乙方缴纳相关费用。</w:t>
      </w:r>
    </w:p>
    <w:p w14:paraId="0106BA6C">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（2）甲方负责配合乙方开展光纤通道的建设、调试和维护工作。</w:t>
      </w:r>
    </w:p>
    <w:p w14:paraId="07AF731B">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（3）甲方为乙方无偿提供场地</w:t>
      </w:r>
      <w:r>
        <w:rPr>
          <w:rFonts w:hint="eastAsia" w:ascii="宋体" w:hAnsi="宋体" w:cs="宋体"/>
          <w:color w:val="auto"/>
          <w:spacing w:val="-4"/>
          <w:sz w:val="28"/>
          <w:szCs w:val="28"/>
          <w:highlight w:val="none"/>
          <w:lang w:val="en-US" w:eastAsia="zh-CN"/>
        </w:rPr>
        <w:t>及</w:t>
      </w:r>
      <w:r>
        <w:rPr>
          <w:rFonts w:hint="eastAsia" w:ascii="宋体" w:hAnsi="宋体" w:cs="宋体"/>
          <w:color w:val="auto"/>
          <w:spacing w:val="-4"/>
          <w:sz w:val="28"/>
          <w:szCs w:val="28"/>
          <w:highlight w:val="none"/>
          <w:lang w:val="zh-CN"/>
        </w:rPr>
        <w:t>环境。</w:t>
      </w:r>
    </w:p>
    <w:p w14:paraId="4A9CBF0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（4）甲方发现线路故障时，应立即告知乙方，并采取必要的补救措施防止损失扩大。</w:t>
      </w:r>
    </w:p>
    <w:p w14:paraId="4AFBD1C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（5）甲方有权对乙方的工作进行监督及验收确认。</w:t>
      </w:r>
    </w:p>
    <w:p w14:paraId="47E4CCD6">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2、乙方职责</w:t>
      </w:r>
    </w:p>
    <w:p w14:paraId="2B31B4E7">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w:t>
      </w:r>
      <w:r>
        <w:rPr>
          <w:rFonts w:hint="eastAsia" w:ascii="宋体" w:hAnsi="宋体" w:cs="宋体"/>
          <w:color w:val="auto"/>
          <w:spacing w:val="-4"/>
          <w:sz w:val="28"/>
          <w:szCs w:val="28"/>
          <w:highlight w:val="none"/>
          <w:lang w:val="en-US" w:eastAsia="zh-CN"/>
        </w:rPr>
        <w:t>1</w:t>
      </w:r>
      <w:r>
        <w:rPr>
          <w:rFonts w:hint="eastAsia" w:ascii="宋体" w:hAnsi="宋体" w:cs="宋体"/>
          <w:color w:val="auto"/>
          <w:spacing w:val="-4"/>
          <w:sz w:val="28"/>
          <w:szCs w:val="28"/>
          <w:highlight w:val="none"/>
          <w:lang w:val="zh-CN"/>
        </w:rPr>
        <w:t>）乙方必须严格按照合同</w:t>
      </w:r>
      <w:r>
        <w:rPr>
          <w:rFonts w:hint="eastAsia" w:ascii="宋体" w:hAnsi="宋体" w:cs="宋体"/>
          <w:color w:val="auto"/>
          <w:spacing w:val="-4"/>
          <w:sz w:val="28"/>
          <w:szCs w:val="28"/>
          <w:highlight w:val="none"/>
          <w:lang w:val="en-US" w:eastAsia="zh-CN"/>
        </w:rPr>
        <w:t>及响应文件</w:t>
      </w:r>
      <w:r>
        <w:rPr>
          <w:rFonts w:hint="eastAsia" w:ascii="宋体" w:hAnsi="宋体" w:cs="宋体"/>
          <w:color w:val="auto"/>
          <w:spacing w:val="-4"/>
          <w:sz w:val="28"/>
          <w:szCs w:val="28"/>
          <w:highlight w:val="none"/>
          <w:lang w:val="zh-CN"/>
        </w:rPr>
        <w:t>的服务要求，合理安排提供技术服务的进度、 高效、及时的完成本合同规定的</w:t>
      </w:r>
      <w:r>
        <w:rPr>
          <w:rFonts w:hint="eastAsia" w:ascii="宋体" w:hAnsi="宋体" w:cs="宋体"/>
          <w:color w:val="auto"/>
          <w:spacing w:val="-4"/>
          <w:sz w:val="28"/>
          <w:szCs w:val="28"/>
          <w:highlight w:val="none"/>
          <w:lang w:val="en-US" w:eastAsia="zh-CN"/>
        </w:rPr>
        <w:t>全部工作内容</w:t>
      </w:r>
      <w:r>
        <w:rPr>
          <w:rFonts w:hint="eastAsia" w:ascii="宋体" w:hAnsi="宋体" w:cs="宋体"/>
          <w:color w:val="auto"/>
          <w:spacing w:val="-4"/>
          <w:sz w:val="28"/>
          <w:szCs w:val="28"/>
          <w:highlight w:val="none"/>
          <w:lang w:val="zh-CN"/>
        </w:rPr>
        <w:t>。</w:t>
      </w:r>
    </w:p>
    <w:p w14:paraId="6F5EF2EB">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（2）乙方应按照甲方及甲方相关单位的要求及规定的线路进行施工。</w:t>
      </w:r>
    </w:p>
    <w:p w14:paraId="3BDD7F9B">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（3）乙方应严格遵守《中华人民共和国电信条例》和信息产业部颁布的《电信服务标准(试行)》、《电信服务规范》的线路质量要求，保障租用线路畅通。</w:t>
      </w:r>
    </w:p>
    <w:p w14:paraId="23D4644F">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（4）乙方遇线路升速时，应采取安全、合理的技术方案，完善的协调保障措施，并以书面的形式提交甲方，经甲方确认后实施，实施过程中确保平滑过渡。</w:t>
      </w:r>
    </w:p>
    <w:p w14:paraId="41F01856">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（5）乙方施工、网络割接等原因影响租用线路正常使用的，乙方应当提前通知甲方，并尽快消除故障，恢复通信线路。</w:t>
      </w:r>
    </w:p>
    <w:p w14:paraId="7A0B0636">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color w:val="auto"/>
          <w:spacing w:val="-4"/>
          <w:sz w:val="28"/>
          <w:szCs w:val="28"/>
          <w:highlight w:val="none"/>
          <w:lang w:val="zh-CN" w:eastAsia="zh-CN"/>
        </w:rPr>
      </w:pPr>
      <w:r>
        <w:rPr>
          <w:rFonts w:hint="eastAsia" w:ascii="宋体" w:hAnsi="宋体" w:cs="宋体"/>
          <w:b/>
          <w:bCs/>
          <w:color w:val="auto"/>
          <w:spacing w:val="-4"/>
          <w:sz w:val="28"/>
          <w:szCs w:val="28"/>
          <w:highlight w:val="none"/>
          <w:lang w:val="zh-CN" w:eastAsia="zh-CN"/>
        </w:rPr>
        <w:t>八、违约责任</w:t>
      </w:r>
    </w:p>
    <w:p w14:paraId="13F0ECE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在合同实施过程中，若乙方未按磋商响应文件中的承诺及合同要求提供的服务，甲方将提出限期整改要求，乙方应根据要求及时整改。若乙方未按要求进行整改或经整改仍不能符合磋商文件及合同要求的，甲方有权单方面终止合同，并有权要求乙方退还甲方支付的当年费用，并承担合同总额</w:t>
      </w:r>
      <w:r>
        <w:rPr>
          <w:rFonts w:hint="eastAsia" w:ascii="宋体" w:hAnsi="宋体" w:cs="宋体"/>
          <w:color w:val="auto"/>
          <w:spacing w:val="-4"/>
          <w:sz w:val="28"/>
          <w:szCs w:val="28"/>
          <w:highlight w:val="none"/>
          <w:lang w:val="en-US" w:eastAsia="zh-CN"/>
        </w:rPr>
        <w:t>5</w:t>
      </w:r>
      <w:r>
        <w:rPr>
          <w:rFonts w:hint="eastAsia" w:ascii="宋体" w:hAnsi="宋体" w:cs="宋体"/>
          <w:color w:val="auto"/>
          <w:spacing w:val="-4"/>
          <w:sz w:val="28"/>
          <w:szCs w:val="28"/>
          <w:highlight w:val="none"/>
          <w:lang w:val="zh-CN"/>
        </w:rPr>
        <w:t>%的违约金。违约金不足以弥补给甲方造成损失的，乙方应当予以赔偿。</w:t>
      </w:r>
    </w:p>
    <w:p w14:paraId="53A4277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zh-CN" w:eastAsia="zh-CN"/>
        </w:rPr>
        <w:t>九、</w:t>
      </w:r>
      <w:r>
        <w:rPr>
          <w:rFonts w:hint="eastAsia" w:ascii="宋体" w:hAnsi="宋体" w:cs="宋体"/>
          <w:b/>
          <w:bCs/>
          <w:color w:val="auto"/>
          <w:spacing w:val="-4"/>
          <w:sz w:val="28"/>
          <w:szCs w:val="28"/>
          <w:highlight w:val="none"/>
          <w:lang w:val="en-US" w:eastAsia="zh-CN"/>
        </w:rPr>
        <w:t>争议解决</w:t>
      </w:r>
    </w:p>
    <w:p w14:paraId="2D21D66C">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双方应首先通过友好协商解决，如果协商不成，任何一方可向采购人所在地有管辖权的人民法院提起诉讼。</w:t>
      </w:r>
    </w:p>
    <w:p w14:paraId="1A5DEE8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十、</w:t>
      </w:r>
      <w:r>
        <w:rPr>
          <w:rFonts w:hint="eastAsia" w:ascii="宋体" w:hAnsi="宋体" w:cs="宋体"/>
          <w:b/>
          <w:bCs/>
          <w:color w:val="auto"/>
          <w:spacing w:val="-4"/>
          <w:sz w:val="28"/>
          <w:szCs w:val="28"/>
          <w:highlight w:val="none"/>
          <w:lang w:val="zh-CN" w:eastAsia="zh-CN"/>
        </w:rPr>
        <w:t>合同生效</w:t>
      </w:r>
      <w:r>
        <w:rPr>
          <w:rFonts w:hint="eastAsia" w:ascii="宋体" w:hAnsi="宋体" w:cs="宋体"/>
          <w:b/>
          <w:bCs/>
          <w:color w:val="auto"/>
          <w:spacing w:val="-4"/>
          <w:sz w:val="28"/>
          <w:szCs w:val="28"/>
          <w:highlight w:val="none"/>
          <w:lang w:val="en-US" w:eastAsia="zh-CN"/>
        </w:rPr>
        <w:t>及其他</w:t>
      </w:r>
    </w:p>
    <w:bookmarkEnd w:id="3"/>
    <w:p w14:paraId="2B07020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 xml:space="preserve">（一）本合同自签订之日起生效。 </w:t>
      </w:r>
    </w:p>
    <w:p w14:paraId="6586661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 xml:space="preserve">（二）合同份数由采购人和成交供应商具体商定。 </w:t>
      </w:r>
    </w:p>
    <w:p w14:paraId="206B14ED">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（三）未尽事宜由双方在签订合同时具体明确。</w:t>
      </w:r>
    </w:p>
    <w:p w14:paraId="530F464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p>
    <w:sectPr>
      <w:headerReference r:id="rId3" w:type="default"/>
      <w:footerReference r:id="rId4" w:type="default"/>
      <w:type w:val="continuous"/>
      <w:pgSz w:w="11906" w:h="16838"/>
      <w:pgMar w:top="998" w:right="1418" w:bottom="1140" w:left="1587" w:header="851" w:footer="992" w:gutter="0"/>
      <w:pgBorders>
        <w:top w:val="none" w:sz="0" w:space="0"/>
        <w:left w:val="none" w:sz="0" w:space="0"/>
        <w:bottom w:val="none" w:sz="0" w:space="0"/>
        <w:right w:val="none" w:sz="0" w:space="0"/>
      </w:pgBorders>
      <w:pgNumType w:fmt="decimal"/>
      <w:cols w:space="425" w:num="1" w:sep="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3E2E7">
    <w:pPr>
      <w:tabs>
        <w:tab w:val="right" w:pos="8820"/>
      </w:tabs>
      <w:ind w:right="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6D67B">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262E9"/>
    <w:rsid w:val="0001743B"/>
    <w:rsid w:val="00082B70"/>
    <w:rsid w:val="000A3605"/>
    <w:rsid w:val="000C747A"/>
    <w:rsid w:val="002C1C64"/>
    <w:rsid w:val="00316ADC"/>
    <w:rsid w:val="00322C10"/>
    <w:rsid w:val="003319F1"/>
    <w:rsid w:val="00331D83"/>
    <w:rsid w:val="0043238A"/>
    <w:rsid w:val="00440CEA"/>
    <w:rsid w:val="005A1968"/>
    <w:rsid w:val="005F15F0"/>
    <w:rsid w:val="005F18B3"/>
    <w:rsid w:val="00672788"/>
    <w:rsid w:val="006D15DA"/>
    <w:rsid w:val="006D38FF"/>
    <w:rsid w:val="006F715A"/>
    <w:rsid w:val="0076128D"/>
    <w:rsid w:val="00773BD1"/>
    <w:rsid w:val="00887A37"/>
    <w:rsid w:val="008F1A47"/>
    <w:rsid w:val="00A96F02"/>
    <w:rsid w:val="00B0711E"/>
    <w:rsid w:val="00B32368"/>
    <w:rsid w:val="00B70885"/>
    <w:rsid w:val="00BB5A52"/>
    <w:rsid w:val="00BE368A"/>
    <w:rsid w:val="00C62ADF"/>
    <w:rsid w:val="00DA4739"/>
    <w:rsid w:val="00E34455"/>
    <w:rsid w:val="00E52CD5"/>
    <w:rsid w:val="00EE6ED1"/>
    <w:rsid w:val="00F20E62"/>
    <w:rsid w:val="00FA201B"/>
    <w:rsid w:val="00FB00C3"/>
    <w:rsid w:val="00FE1258"/>
    <w:rsid w:val="01612F1E"/>
    <w:rsid w:val="01AD70C0"/>
    <w:rsid w:val="01BF5575"/>
    <w:rsid w:val="01D35FC9"/>
    <w:rsid w:val="01F12967"/>
    <w:rsid w:val="025832D3"/>
    <w:rsid w:val="02B2223C"/>
    <w:rsid w:val="034666B2"/>
    <w:rsid w:val="03E313D9"/>
    <w:rsid w:val="04CB570F"/>
    <w:rsid w:val="055B3806"/>
    <w:rsid w:val="056703FD"/>
    <w:rsid w:val="05740424"/>
    <w:rsid w:val="09050558"/>
    <w:rsid w:val="0AA20035"/>
    <w:rsid w:val="0C875C0C"/>
    <w:rsid w:val="0D3658AA"/>
    <w:rsid w:val="0D5004E9"/>
    <w:rsid w:val="0E5262E9"/>
    <w:rsid w:val="10FD1C16"/>
    <w:rsid w:val="116A5F52"/>
    <w:rsid w:val="11CF3483"/>
    <w:rsid w:val="123328FD"/>
    <w:rsid w:val="12E20D98"/>
    <w:rsid w:val="12E326D0"/>
    <w:rsid w:val="143700FF"/>
    <w:rsid w:val="15C27ED2"/>
    <w:rsid w:val="175372AA"/>
    <w:rsid w:val="17A32722"/>
    <w:rsid w:val="189E6C73"/>
    <w:rsid w:val="18AC4164"/>
    <w:rsid w:val="19397AAF"/>
    <w:rsid w:val="1988148C"/>
    <w:rsid w:val="19933CA1"/>
    <w:rsid w:val="1B665A6F"/>
    <w:rsid w:val="1B780194"/>
    <w:rsid w:val="1BB37B8D"/>
    <w:rsid w:val="1BE977DD"/>
    <w:rsid w:val="1C8F5073"/>
    <w:rsid w:val="1CB11B06"/>
    <w:rsid w:val="1DE546F4"/>
    <w:rsid w:val="1F406AD1"/>
    <w:rsid w:val="1F8A08FC"/>
    <w:rsid w:val="20A165BD"/>
    <w:rsid w:val="215A77B7"/>
    <w:rsid w:val="24143E1B"/>
    <w:rsid w:val="24F13B63"/>
    <w:rsid w:val="260D5D9A"/>
    <w:rsid w:val="26BC05C1"/>
    <w:rsid w:val="26E02DFE"/>
    <w:rsid w:val="273B094A"/>
    <w:rsid w:val="28DC3571"/>
    <w:rsid w:val="29465D55"/>
    <w:rsid w:val="29920858"/>
    <w:rsid w:val="2AD92954"/>
    <w:rsid w:val="2CD05A06"/>
    <w:rsid w:val="2D881F35"/>
    <w:rsid w:val="2DAB4725"/>
    <w:rsid w:val="2E344D2B"/>
    <w:rsid w:val="2E8B0409"/>
    <w:rsid w:val="2F2A267B"/>
    <w:rsid w:val="311918F0"/>
    <w:rsid w:val="316118F5"/>
    <w:rsid w:val="318B0720"/>
    <w:rsid w:val="32334B40"/>
    <w:rsid w:val="33CB74FA"/>
    <w:rsid w:val="341E52E0"/>
    <w:rsid w:val="345A663E"/>
    <w:rsid w:val="345B0136"/>
    <w:rsid w:val="36502D8B"/>
    <w:rsid w:val="3848736B"/>
    <w:rsid w:val="397202B7"/>
    <w:rsid w:val="3A021DC8"/>
    <w:rsid w:val="3BFA628C"/>
    <w:rsid w:val="3CC61A61"/>
    <w:rsid w:val="3D581DFE"/>
    <w:rsid w:val="3EB51455"/>
    <w:rsid w:val="3EE73376"/>
    <w:rsid w:val="3EF5083B"/>
    <w:rsid w:val="40500053"/>
    <w:rsid w:val="416074D3"/>
    <w:rsid w:val="41713EB7"/>
    <w:rsid w:val="422C7B47"/>
    <w:rsid w:val="432307B8"/>
    <w:rsid w:val="442E5A16"/>
    <w:rsid w:val="44C922B6"/>
    <w:rsid w:val="46DB5788"/>
    <w:rsid w:val="47DC2A23"/>
    <w:rsid w:val="47FA4353"/>
    <w:rsid w:val="48526618"/>
    <w:rsid w:val="489F493C"/>
    <w:rsid w:val="49B54747"/>
    <w:rsid w:val="4A425F5E"/>
    <w:rsid w:val="4B221A14"/>
    <w:rsid w:val="4B414F8E"/>
    <w:rsid w:val="4C16303B"/>
    <w:rsid w:val="4DD51249"/>
    <w:rsid w:val="4EB42245"/>
    <w:rsid w:val="4EE00CAD"/>
    <w:rsid w:val="4F824A5D"/>
    <w:rsid w:val="4F9C26E7"/>
    <w:rsid w:val="505F1B5E"/>
    <w:rsid w:val="50CE2312"/>
    <w:rsid w:val="514432B2"/>
    <w:rsid w:val="51A72EFC"/>
    <w:rsid w:val="51E17844"/>
    <w:rsid w:val="56BC7C2B"/>
    <w:rsid w:val="56E818AB"/>
    <w:rsid w:val="57C660AD"/>
    <w:rsid w:val="581D1AA6"/>
    <w:rsid w:val="59D506BC"/>
    <w:rsid w:val="5AE71107"/>
    <w:rsid w:val="5B085B21"/>
    <w:rsid w:val="5B497D43"/>
    <w:rsid w:val="5B7D748A"/>
    <w:rsid w:val="5C8566E6"/>
    <w:rsid w:val="5C9A38F6"/>
    <w:rsid w:val="5D2B6790"/>
    <w:rsid w:val="5D35492A"/>
    <w:rsid w:val="5D704AA7"/>
    <w:rsid w:val="5EBB44D1"/>
    <w:rsid w:val="600C1063"/>
    <w:rsid w:val="6045400C"/>
    <w:rsid w:val="608B4897"/>
    <w:rsid w:val="612C3490"/>
    <w:rsid w:val="6194199C"/>
    <w:rsid w:val="62C87859"/>
    <w:rsid w:val="630C2351"/>
    <w:rsid w:val="650D31B5"/>
    <w:rsid w:val="65B91E20"/>
    <w:rsid w:val="6747778F"/>
    <w:rsid w:val="68C11B82"/>
    <w:rsid w:val="68D27CC8"/>
    <w:rsid w:val="69E21E92"/>
    <w:rsid w:val="6A0E5AB7"/>
    <w:rsid w:val="6AB613EB"/>
    <w:rsid w:val="6AF93A8C"/>
    <w:rsid w:val="6B851761"/>
    <w:rsid w:val="6BB064AA"/>
    <w:rsid w:val="6D35260A"/>
    <w:rsid w:val="6E5B72A1"/>
    <w:rsid w:val="6F9C236B"/>
    <w:rsid w:val="6FF66839"/>
    <w:rsid w:val="701E2184"/>
    <w:rsid w:val="70877D29"/>
    <w:rsid w:val="717D3552"/>
    <w:rsid w:val="72210599"/>
    <w:rsid w:val="72E6342D"/>
    <w:rsid w:val="73392261"/>
    <w:rsid w:val="73CA4BCC"/>
    <w:rsid w:val="73F66B03"/>
    <w:rsid w:val="748E2539"/>
    <w:rsid w:val="74E41BEE"/>
    <w:rsid w:val="75823513"/>
    <w:rsid w:val="761D2883"/>
    <w:rsid w:val="76381A6B"/>
    <w:rsid w:val="76EE0067"/>
    <w:rsid w:val="76F33D53"/>
    <w:rsid w:val="77093F05"/>
    <w:rsid w:val="77130569"/>
    <w:rsid w:val="77982157"/>
    <w:rsid w:val="77BF249E"/>
    <w:rsid w:val="77FF0721"/>
    <w:rsid w:val="78CB070C"/>
    <w:rsid w:val="79E04592"/>
    <w:rsid w:val="7A4976F0"/>
    <w:rsid w:val="7A666C01"/>
    <w:rsid w:val="7C30396B"/>
    <w:rsid w:val="7CEA5613"/>
    <w:rsid w:val="7CEA57AC"/>
    <w:rsid w:val="7D480840"/>
    <w:rsid w:val="7DAB14FB"/>
    <w:rsid w:val="7DFF2C2F"/>
    <w:rsid w:val="7E022C63"/>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link w:val="20"/>
    <w:qFormat/>
    <w:uiPriority w:val="0"/>
    <w:pPr>
      <w:keepNext/>
      <w:jc w:val="center"/>
      <w:outlineLvl w:val="0"/>
    </w:pPr>
    <w:rPr>
      <w:rFonts w:ascii="黑体" w:hAnsi="黑体" w:eastAsia="黑体"/>
      <w:b/>
      <w:sz w:val="32"/>
    </w:rPr>
  </w:style>
  <w:style w:type="paragraph" w:styleId="5">
    <w:name w:val="heading 3"/>
    <w:basedOn w:val="1"/>
    <w:next w:val="6"/>
    <w:qFormat/>
    <w:uiPriority w:val="0"/>
    <w:pPr>
      <w:keepNext/>
      <w:keepLines/>
      <w:widowControl/>
      <w:tabs>
        <w:tab w:val="left" w:pos="360"/>
      </w:tabs>
      <w:spacing w:before="120" w:after="120" w:line="360" w:lineRule="auto"/>
      <w:ind w:left="360" w:hanging="360"/>
      <w:jc w:val="center"/>
      <w:outlineLvl w:val="2"/>
    </w:pPr>
    <w:rPr>
      <w:b/>
      <w:kern w:val="0"/>
      <w:sz w:val="32"/>
    </w:rPr>
  </w:style>
  <w:style w:type="paragraph" w:styleId="7">
    <w:name w:val="heading 4"/>
    <w:basedOn w:val="1"/>
    <w:next w:val="1"/>
    <w:qFormat/>
    <w:uiPriority w:val="0"/>
    <w:pPr>
      <w:keepNext/>
      <w:spacing w:line="600" w:lineRule="exact"/>
      <w:jc w:val="center"/>
      <w:outlineLvl w:val="3"/>
    </w:pPr>
    <w:rPr>
      <w:rFonts w:ascii="楷体_GB2312" w:hAnsi="Times New Roman" w:eastAsia="楷体_GB2312"/>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jc w:val="left"/>
    </w:pPr>
    <w:rPr>
      <w:rFonts w:ascii="Copperplate Gothic Bold" w:hAnsi="Copperplate Gothic Bold"/>
      <w:sz w:val="28"/>
    </w:rPr>
  </w:style>
  <w:style w:type="paragraph" w:styleId="6">
    <w:name w:val="Normal Indent"/>
    <w:basedOn w:val="1"/>
    <w:qFormat/>
    <w:uiPriority w:val="0"/>
    <w:pPr>
      <w:ind w:firstLine="420" w:firstLineChars="200"/>
    </w:pPr>
  </w:style>
  <w:style w:type="paragraph" w:styleId="8">
    <w:name w:val="Plain Text"/>
    <w:basedOn w:val="1"/>
    <w:qFormat/>
    <w:uiPriority w:val="0"/>
    <w:rPr>
      <w:rFonts w:ascii="宋体" w:hAnsi="Courier New"/>
      <w:kern w:val="0"/>
      <w:sz w:val="20"/>
    </w:rPr>
  </w:style>
  <w:style w:type="paragraph" w:styleId="9">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0">
    <w:name w:val="envelope return"/>
    <w:basedOn w:val="1"/>
    <w:qFormat/>
    <w:uiPriority w:val="0"/>
    <w:pPr>
      <w:snapToGrid w:val="0"/>
    </w:pPr>
    <w:rPr>
      <w:rFonts w:ascii="Arial" w:hAnsi="Arial"/>
    </w:rPr>
  </w:style>
  <w:style w:type="paragraph" w:styleId="11">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tabs>
        <w:tab w:val="right" w:leader="dot" w:pos="9060"/>
      </w:tabs>
      <w:spacing w:line="360" w:lineRule="auto"/>
    </w:pPr>
    <w:rPr>
      <w:rFonts w:ascii="Times New Roman" w:hAnsi="Times New Roman"/>
    </w:rPr>
  </w:style>
  <w:style w:type="paragraph" w:styleId="13">
    <w:name w:val="toc 2"/>
    <w:basedOn w:val="1"/>
    <w:next w:val="1"/>
    <w:qFormat/>
    <w:uiPriority w:val="0"/>
    <w:pPr>
      <w:tabs>
        <w:tab w:val="right" w:leader="dot" w:pos="9060"/>
      </w:tabs>
      <w:spacing w:line="360" w:lineRule="auto"/>
      <w:ind w:left="420" w:leftChars="200"/>
    </w:pPr>
    <w:rPr>
      <w:rFonts w:ascii="Times New Roman" w:hAnsi="Times New Roman"/>
    </w:rPr>
  </w:style>
  <w:style w:type="paragraph" w:styleId="14">
    <w:name w:val="Body Text 2"/>
    <w:basedOn w:val="1"/>
    <w:qFormat/>
    <w:uiPriority w:val="0"/>
    <w:rPr>
      <w:rFonts w:ascii="楷体_GB2312" w:hAnsi="Copperplate Gothic Bold" w:eastAsia="楷体_GB2312"/>
      <w:kern w:val="2"/>
      <w:sz w:val="28"/>
    </w:rPr>
  </w:style>
  <w:style w:type="paragraph" w:styleId="15">
    <w:name w:val="Normal (Web)"/>
    <w:basedOn w:val="1"/>
    <w:next w:val="10"/>
    <w:qFormat/>
    <w:uiPriority w:val="99"/>
    <w:pPr>
      <w:widowControl/>
      <w:spacing w:before="100" w:beforeAutospacing="1" w:after="100" w:afterAutospacing="1"/>
      <w:jc w:val="left"/>
    </w:pPr>
    <w:rPr>
      <w:rFonts w:ascii="宋体" w:hAnsi="宋体" w:cs="宋体"/>
      <w:kern w:val="0"/>
      <w:sz w:val="24"/>
      <w:szCs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9">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标题 1 Char"/>
    <w:link w:val="4"/>
    <w:qFormat/>
    <w:uiPriority w:val="0"/>
    <w:rPr>
      <w:rFonts w:ascii="黑体" w:hAnsi="黑体" w:eastAsia="黑体" w:cs="Times New Roman"/>
      <w:b/>
      <w:sz w:val="32"/>
    </w:rPr>
  </w:style>
  <w:style w:type="paragraph" w:customStyle="1" w:styleId="21">
    <w:name w:val="title1"/>
    <w:basedOn w:val="1"/>
    <w:qFormat/>
    <w:uiPriority w:val="0"/>
    <w:pPr>
      <w:spacing w:before="150" w:line="450" w:lineRule="atLeast"/>
      <w:jc w:val="left"/>
    </w:pPr>
    <w:rPr>
      <w:b/>
      <w:kern w:val="0"/>
      <w:sz w:val="24"/>
      <w:szCs w:val="24"/>
    </w:rPr>
  </w:style>
  <w:style w:type="paragraph" w:customStyle="1" w:styleId="22">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3">
    <w:name w:val="p15"/>
    <w:basedOn w:val="1"/>
    <w:qFormat/>
    <w:uiPriority w:val="99"/>
    <w:pPr>
      <w:widowControl/>
    </w:pPr>
    <w:rPr>
      <w:kern w:val="0"/>
      <w:szCs w:val="21"/>
    </w:rPr>
  </w:style>
  <w:style w:type="paragraph" w:customStyle="1" w:styleId="24">
    <w:name w:val="Heading #1|1"/>
    <w:basedOn w:val="1"/>
    <w:qFormat/>
    <w:uiPriority w:val="0"/>
    <w:pPr>
      <w:spacing w:after="340"/>
      <w:jc w:val="center"/>
      <w:outlineLvl w:val="0"/>
    </w:pPr>
    <w:rPr>
      <w:rFonts w:ascii="宋体" w:hAnsi="宋体" w:cs="宋体"/>
      <w:sz w:val="44"/>
      <w:szCs w:val="44"/>
      <w:lang w:val="zh-TW" w:eastAsia="zh-TW" w:bidi="zh-TW"/>
    </w:rPr>
  </w:style>
  <w:style w:type="paragraph" w:customStyle="1" w:styleId="25">
    <w:name w:val="Body text|1"/>
    <w:basedOn w:val="1"/>
    <w:qFormat/>
    <w:uiPriority w:val="0"/>
    <w:pPr>
      <w:spacing w:after="50" w:line="480" w:lineRule="auto"/>
      <w:ind w:firstLine="400"/>
    </w:pPr>
    <w:rPr>
      <w:rFonts w:ascii="宋体" w:hAnsi="宋体" w:cs="宋体"/>
      <w:sz w:val="20"/>
      <w:lang w:val="zh-TW" w:eastAsia="zh-TW" w:bidi="zh-TW"/>
    </w:rPr>
  </w:style>
  <w:style w:type="paragraph" w:customStyle="1" w:styleId="26">
    <w:name w:val="Heading #2|1"/>
    <w:basedOn w:val="1"/>
    <w:qFormat/>
    <w:uiPriority w:val="0"/>
    <w:pPr>
      <w:spacing w:after="40"/>
      <w:outlineLvl w:val="1"/>
    </w:pPr>
    <w:rPr>
      <w:rFonts w:ascii="宋体" w:hAnsi="宋体" w:cs="宋体"/>
      <w:sz w:val="32"/>
      <w:szCs w:val="32"/>
      <w:lang w:val="zh-TW" w:eastAsia="zh-TW" w:bidi="zh-TW"/>
    </w:rPr>
  </w:style>
  <w:style w:type="paragraph" w:customStyle="1" w:styleId="27">
    <w:name w:val="Body text|2"/>
    <w:basedOn w:val="1"/>
    <w:qFormat/>
    <w:uiPriority w:val="0"/>
    <w:pPr>
      <w:spacing w:after="360" w:line="900" w:lineRule="exact"/>
    </w:pPr>
    <w:rPr>
      <w:rFonts w:ascii="宋体" w:hAnsi="宋体" w:cs="宋体"/>
      <w:sz w:val="26"/>
      <w:szCs w:val="26"/>
      <w:lang w:val="zh-TW" w:eastAsia="zh-TW" w:bidi="zh-TW"/>
    </w:rPr>
  </w:style>
  <w:style w:type="paragraph" w:customStyle="1" w:styleId="28">
    <w:name w:val="Other|1"/>
    <w:basedOn w:val="1"/>
    <w:qFormat/>
    <w:uiPriority w:val="0"/>
    <w:pPr>
      <w:spacing w:after="50" w:line="480" w:lineRule="auto"/>
      <w:ind w:firstLine="400"/>
    </w:pPr>
    <w:rPr>
      <w:rFonts w:ascii="宋体" w:hAnsi="宋体" w:cs="宋体"/>
      <w:sz w:val="20"/>
      <w:lang w:val="zh-TW" w:eastAsia="zh-TW" w:bidi="zh-TW"/>
    </w:rPr>
  </w:style>
  <w:style w:type="paragraph" w:customStyle="1" w:styleId="29">
    <w:name w:val="Header or footer|2"/>
    <w:basedOn w:val="1"/>
    <w:qFormat/>
    <w:uiPriority w:val="0"/>
    <w:rPr>
      <w:sz w:val="20"/>
      <w:lang w:val="zh-TW" w:eastAsia="zh-TW" w:bidi="zh-TW"/>
    </w:rPr>
  </w:style>
  <w:style w:type="paragraph" w:customStyle="1" w:styleId="30">
    <w:name w:val="Header or footer|1"/>
    <w:basedOn w:val="1"/>
    <w:qFormat/>
    <w:uiPriority w:val="0"/>
    <w:rPr>
      <w:sz w:val="13"/>
      <w:szCs w:val="13"/>
      <w:lang w:val="zh-TW" w:eastAsia="zh-TW" w:bidi="zh-TW"/>
    </w:rPr>
  </w:style>
  <w:style w:type="character" w:customStyle="1" w:styleId="31">
    <w:name w:val="页眉 Char"/>
    <w:basedOn w:val="18"/>
    <w:link w:val="11"/>
    <w:qFormat/>
    <w:uiPriority w:val="0"/>
    <w:rPr>
      <w:rFonts w:ascii="Calibri" w:hAnsi="Calibri" w:eastAsia="宋体" w:cs="Times New Roman"/>
      <w:kern w:val="2"/>
      <w:sz w:val="18"/>
      <w:szCs w:val="18"/>
    </w:rPr>
  </w:style>
  <w:style w:type="paragraph" w:customStyle="1" w:styleId="32">
    <w:name w:val="@正文"/>
    <w:basedOn w:val="3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33">
    <w:name w:val="※正文"/>
    <w:basedOn w:val="1"/>
    <w:autoRedefine/>
    <w:qFormat/>
    <w:uiPriority w:val="0"/>
    <w:pPr>
      <w:widowControl/>
      <w:wordWrap w:val="0"/>
      <w:spacing w:line="400" w:lineRule="exact"/>
    </w:pPr>
    <w:rPr>
      <w:rFonts w:ascii="Calibri Light" w:hAnsi="Calibri Light" w:eastAsia="华文仿宋"/>
      <w:sz w:val="28"/>
      <w:szCs w:val="28"/>
    </w:rPr>
  </w:style>
  <w:style w:type="paragraph" w:customStyle="1" w:styleId="34">
    <w:name w:val="List Paragraph"/>
    <w:basedOn w:val="1"/>
    <w:qFormat/>
    <w:uiPriority w:val="34"/>
    <w:pPr>
      <w:ind w:firstLine="420" w:firstLineChars="200"/>
    </w:pPr>
    <w:rPr>
      <w:rFonts w:asciiTheme="minorHAnsi" w:hAnsiTheme="minorHAnsi" w:eastAsiaTheme="minorEastAsia" w:cstheme="minorBidi"/>
    </w:rPr>
  </w:style>
  <w:style w:type="paragraph" w:customStyle="1" w:styleId="3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794</Words>
  <Characters>850</Characters>
  <Lines>39</Lines>
  <Paragraphs>11</Paragraphs>
  <TotalTime>0</TotalTime>
  <ScaleCrop>false</ScaleCrop>
  <LinksUpToDate>false</LinksUpToDate>
  <CharactersWithSpaces>850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2022-02-16T06:14:00Z</dcterms:created>
  <dc:creator>Administrator</dc:creator>
  <cp:lastModifiedBy>Jorva</cp:lastModifiedBy>
  <dcterms:modified xsi:type="dcterms:W3CDTF">2025-06-18T03:31:23Z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EE384698EA4C44B3935511F5E291FE26</vt:lpwstr>
  </property>
  <property fmtid="{D5CDD505-2E9C-101B-9397-08002B2CF9AE}" pid="4" name="KSOTemplateDocerSaveRecord">
    <vt:lpwstr>eyJoZGlkIjoiYzc3ODQ1MzE1OGZjNzcwNzc3YmIwNjMxNjMwODEyNjciLCJ1c2VySWQiOiI2NDA5NzM0MDYifQ==</vt:lpwstr>
  </property>
</Properties>
</file>